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A3E6" w14:textId="3BDAD68E" w:rsidR="006B48B2" w:rsidRPr="00306B53" w:rsidRDefault="006B48B2" w:rsidP="006B48B2">
      <w:pPr>
        <w:spacing w:before="240" w:after="60" w:line="256" w:lineRule="auto"/>
        <w:jc w:val="center"/>
        <w:outlineLvl w:val="0"/>
        <w:rPr>
          <w:rFonts w:ascii="Arial" w:eastAsia="Times New Roman" w:hAnsi="Arial" w:cs="Arial"/>
          <w:b/>
          <w:bCs/>
          <w:color w:val="008080"/>
          <w:kern w:val="28"/>
          <w:sz w:val="44"/>
          <w:szCs w:val="44"/>
        </w:rPr>
      </w:pPr>
      <w:r>
        <w:rPr>
          <w:rFonts w:ascii="Arial" w:eastAsia="Times New Roman" w:hAnsi="Arial" w:cs="Arial"/>
          <w:b/>
          <w:bCs/>
          <w:noProof/>
          <w:color w:val="008080"/>
          <w:kern w:val="28"/>
          <w:sz w:val="44"/>
          <w:szCs w:val="44"/>
          <w14:ligatures w14:val="standardContextual"/>
        </w:rPr>
        <w:drawing>
          <wp:anchor distT="0" distB="0" distL="114300" distR="114300" simplePos="0" relativeHeight="251666432" behindDoc="0" locked="0" layoutInCell="1" allowOverlap="1" wp14:anchorId="5565E45F" wp14:editId="4492917A">
            <wp:simplePos x="0" y="0"/>
            <wp:positionH relativeFrom="column">
              <wp:posOffset>4558665</wp:posOffset>
            </wp:positionH>
            <wp:positionV relativeFrom="paragraph">
              <wp:posOffset>0</wp:posOffset>
            </wp:positionV>
            <wp:extent cx="1660525" cy="962025"/>
            <wp:effectExtent l="0" t="0" r="0" b="9525"/>
            <wp:wrapThrough wrapText="bothSides">
              <wp:wrapPolygon edited="0">
                <wp:start x="8425" y="0"/>
                <wp:lineTo x="8425" y="6844"/>
                <wp:lineTo x="6443" y="12404"/>
                <wp:lineTo x="0" y="17109"/>
                <wp:lineTo x="0" y="21386"/>
                <wp:lineTo x="21311" y="21386"/>
                <wp:lineTo x="21311" y="0"/>
                <wp:lineTo x="8425" y="0"/>
              </wp:wrapPolygon>
            </wp:wrapThrough>
            <wp:docPr id="165135332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53328" name="Picture 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0525" cy="962025"/>
                    </a:xfrm>
                    <a:prstGeom prst="rect">
                      <a:avLst/>
                    </a:prstGeom>
                  </pic:spPr>
                </pic:pic>
              </a:graphicData>
            </a:graphic>
            <wp14:sizeRelH relativeFrom="margin">
              <wp14:pctWidth>0</wp14:pctWidth>
            </wp14:sizeRelH>
            <wp14:sizeRelV relativeFrom="margin">
              <wp14:pctHeight>0</wp14:pctHeight>
            </wp14:sizeRelV>
          </wp:anchor>
        </w:drawing>
      </w:r>
    </w:p>
    <w:p w14:paraId="34ABA9D0" w14:textId="77777777" w:rsidR="006B48B2" w:rsidRPr="00306B53" w:rsidRDefault="006B48B2" w:rsidP="006B48B2">
      <w:pPr>
        <w:spacing w:before="240" w:after="60" w:line="256" w:lineRule="auto"/>
        <w:jc w:val="center"/>
        <w:outlineLvl w:val="0"/>
        <w:rPr>
          <w:rFonts w:ascii="Arial" w:eastAsia="Times New Roman" w:hAnsi="Arial" w:cs="Arial"/>
          <w:b/>
          <w:bCs/>
          <w:color w:val="008080"/>
          <w:kern w:val="28"/>
          <w:sz w:val="44"/>
          <w:szCs w:val="44"/>
        </w:rPr>
      </w:pPr>
    </w:p>
    <w:p w14:paraId="389E62C2" w14:textId="77777777" w:rsidR="006B48B2" w:rsidRPr="00306B53" w:rsidRDefault="006B48B2" w:rsidP="006B48B2">
      <w:pPr>
        <w:spacing w:before="240" w:after="60" w:line="256" w:lineRule="auto"/>
        <w:jc w:val="center"/>
        <w:outlineLvl w:val="0"/>
        <w:rPr>
          <w:rFonts w:ascii="Arial" w:eastAsia="Times New Roman" w:hAnsi="Arial" w:cs="Arial"/>
          <w:b/>
          <w:bCs/>
          <w:color w:val="008080"/>
          <w:kern w:val="28"/>
          <w:sz w:val="44"/>
          <w:szCs w:val="44"/>
        </w:rPr>
      </w:pPr>
    </w:p>
    <w:p w14:paraId="2F3F9048" w14:textId="77777777" w:rsidR="006B48B2" w:rsidRPr="00306B53" w:rsidRDefault="006B48B2" w:rsidP="006B48B2">
      <w:pPr>
        <w:spacing w:before="240" w:after="60" w:line="256" w:lineRule="auto"/>
        <w:jc w:val="center"/>
        <w:outlineLvl w:val="0"/>
        <w:rPr>
          <w:rFonts w:ascii="Arial" w:eastAsia="Times New Roman" w:hAnsi="Arial" w:cs="Arial"/>
          <w:b/>
          <w:bCs/>
          <w:color w:val="000000"/>
          <w:kern w:val="28"/>
          <w:sz w:val="44"/>
          <w:szCs w:val="44"/>
        </w:rPr>
      </w:pPr>
      <w:r w:rsidRPr="00306B53">
        <w:rPr>
          <w:rFonts w:ascii="Arial" w:eastAsia="Times New Roman" w:hAnsi="Arial" w:cs="Arial"/>
          <w:b/>
          <w:bCs/>
          <w:color w:val="000000"/>
          <w:kern w:val="28"/>
          <w:sz w:val="44"/>
          <w:szCs w:val="44"/>
        </w:rPr>
        <w:t>Workforce Race Equality Standard</w:t>
      </w:r>
    </w:p>
    <w:p w14:paraId="348EF1E6" w14:textId="77777777" w:rsidR="006B48B2" w:rsidRPr="00306B53" w:rsidRDefault="006B48B2" w:rsidP="006B48B2">
      <w:pPr>
        <w:spacing w:before="240" w:after="60" w:line="256" w:lineRule="auto"/>
        <w:jc w:val="center"/>
        <w:outlineLvl w:val="0"/>
        <w:rPr>
          <w:rFonts w:ascii="Arial" w:eastAsia="Times New Roman" w:hAnsi="Arial" w:cs="Arial"/>
          <w:b/>
          <w:bCs/>
          <w:color w:val="000000"/>
          <w:kern w:val="28"/>
          <w:sz w:val="44"/>
          <w:szCs w:val="44"/>
        </w:rPr>
      </w:pPr>
      <w:r w:rsidRPr="00306B53">
        <w:rPr>
          <w:rFonts w:ascii="Arial" w:eastAsia="Times New Roman" w:hAnsi="Arial" w:cs="Arial"/>
          <w:b/>
          <w:bCs/>
          <w:color w:val="000000"/>
          <w:kern w:val="28"/>
          <w:sz w:val="44"/>
          <w:szCs w:val="44"/>
        </w:rPr>
        <w:t>(WRES) Report 2025</w:t>
      </w:r>
    </w:p>
    <w:p w14:paraId="6AE2D2ED" w14:textId="77777777" w:rsidR="006B48B2" w:rsidRPr="00306B53" w:rsidRDefault="006B48B2" w:rsidP="006B48B2">
      <w:pPr>
        <w:spacing w:after="0" w:line="240" w:lineRule="auto"/>
        <w:rPr>
          <w:rFonts w:ascii="Arial" w:eastAsia="Calibri" w:hAnsi="Arial" w:cs="Arial"/>
          <w:b/>
          <w:sz w:val="28"/>
          <w:szCs w:val="20"/>
          <w:lang w:eastAsia="en-GB"/>
        </w:rPr>
      </w:pPr>
      <w:r w:rsidRPr="00306B53">
        <w:rPr>
          <w:rFonts w:ascii="Calibri" w:eastAsia="Calibri" w:hAnsi="Calibri" w:cs="Arial"/>
          <w:noProof/>
          <w:sz w:val="20"/>
          <w:szCs w:val="20"/>
          <w:lang w:eastAsia="en-GB"/>
        </w:rPr>
        <w:drawing>
          <wp:anchor distT="0" distB="0" distL="114300" distR="114300" simplePos="0" relativeHeight="251663360" behindDoc="1" locked="0" layoutInCell="1" allowOverlap="1" wp14:anchorId="1C45FBF7" wp14:editId="43DFFFFB">
            <wp:simplePos x="0" y="0"/>
            <wp:positionH relativeFrom="column">
              <wp:posOffset>159385</wp:posOffset>
            </wp:positionH>
            <wp:positionV relativeFrom="paragraph">
              <wp:posOffset>2247900</wp:posOffset>
            </wp:positionV>
            <wp:extent cx="5895975" cy="2620645"/>
            <wp:effectExtent l="0" t="0" r="9525" b="8255"/>
            <wp:wrapTight wrapText="bothSides">
              <wp:wrapPolygon edited="0">
                <wp:start x="0" y="0"/>
                <wp:lineTo x="0" y="21511"/>
                <wp:lineTo x="21565" y="21511"/>
                <wp:lineTo x="21565" y="0"/>
                <wp:lineTo x="0" y="0"/>
              </wp:wrapPolygon>
            </wp:wrapTight>
            <wp:docPr id="27" name="Picture 2" descr="peopl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ople_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5895975" cy="2620645"/>
                    </a:xfrm>
                    <a:prstGeom prst="rect">
                      <a:avLst/>
                    </a:prstGeom>
                    <a:noFill/>
                  </pic:spPr>
                </pic:pic>
              </a:graphicData>
            </a:graphic>
            <wp14:sizeRelH relativeFrom="page">
              <wp14:pctWidth>0</wp14:pctWidth>
            </wp14:sizeRelH>
            <wp14:sizeRelV relativeFrom="page">
              <wp14:pctHeight>0</wp14:pctHeight>
            </wp14:sizeRelV>
          </wp:anchor>
        </w:drawing>
      </w:r>
      <w:r w:rsidRPr="00306B53">
        <w:rPr>
          <w:rFonts w:ascii="Arial" w:eastAsia="Calibri" w:hAnsi="Arial" w:cs="Arial"/>
          <w:sz w:val="20"/>
          <w:szCs w:val="20"/>
          <w:lang w:eastAsia="en-GB"/>
        </w:rPr>
        <w:br w:type="page"/>
      </w:r>
    </w:p>
    <w:p w14:paraId="1AC2CE27" w14:textId="77777777" w:rsidR="006B48B2" w:rsidRPr="00306B53" w:rsidRDefault="006B48B2" w:rsidP="006B48B2">
      <w:pPr>
        <w:spacing w:after="0" w:line="240" w:lineRule="auto"/>
        <w:rPr>
          <w:rFonts w:ascii="Arial" w:eastAsia="Calibri" w:hAnsi="Arial" w:cs="Arial"/>
          <w:b/>
          <w:sz w:val="28"/>
          <w:szCs w:val="20"/>
          <w:lang w:eastAsia="en-GB"/>
        </w:rPr>
      </w:pPr>
      <w:r w:rsidRPr="00306B53">
        <w:rPr>
          <w:rFonts w:ascii="Arial" w:eastAsia="Calibri" w:hAnsi="Arial" w:cs="Arial"/>
          <w:b/>
          <w:sz w:val="28"/>
          <w:szCs w:val="20"/>
          <w:lang w:eastAsia="en-GB"/>
        </w:rPr>
        <w:lastRenderedPageBreak/>
        <w:t>Introduction</w:t>
      </w:r>
    </w:p>
    <w:p w14:paraId="3E6B71FA" w14:textId="77777777" w:rsidR="006B48B2" w:rsidRPr="00306B53" w:rsidRDefault="006B48B2" w:rsidP="006B48B2">
      <w:pPr>
        <w:spacing w:after="0" w:line="200" w:lineRule="exact"/>
        <w:rPr>
          <w:rFonts w:ascii="Times New Roman" w:eastAsia="Times New Roman" w:hAnsi="Times New Roman" w:cs="Arial"/>
          <w:sz w:val="20"/>
          <w:szCs w:val="20"/>
          <w:lang w:eastAsia="en-GB"/>
        </w:rPr>
      </w:pPr>
    </w:p>
    <w:p w14:paraId="3B006C6C" w14:textId="77777777" w:rsidR="006B48B2" w:rsidRPr="00306B53" w:rsidRDefault="006B48B2" w:rsidP="006B48B2">
      <w:pPr>
        <w:autoSpaceDE w:val="0"/>
        <w:autoSpaceDN w:val="0"/>
        <w:adjustRightInd w:val="0"/>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 NHS Workforce Race Equality Standard (WRES) was made available to the NHS from April 2015, following sustained engagement and consultation with key stakeholders including a widespread of NHS organisations across England. The WRES is included in the NHS standard contract, and since July 2015, NHS trusts have been producing and publishing their WRES data on an annual basis.</w:t>
      </w:r>
    </w:p>
    <w:p w14:paraId="1A4C3498" w14:textId="77777777" w:rsidR="006B48B2" w:rsidRPr="00306B53" w:rsidRDefault="006B48B2" w:rsidP="006B48B2">
      <w:pPr>
        <w:autoSpaceDE w:val="0"/>
        <w:autoSpaceDN w:val="0"/>
        <w:adjustRightInd w:val="0"/>
        <w:spacing w:after="0" w:line="240" w:lineRule="auto"/>
        <w:jc w:val="both"/>
        <w:rPr>
          <w:rFonts w:ascii="Arial" w:eastAsia="Calibri" w:hAnsi="Arial" w:cs="Arial"/>
          <w:sz w:val="24"/>
          <w:szCs w:val="24"/>
          <w:lang w:eastAsia="en-GB"/>
        </w:rPr>
      </w:pPr>
    </w:p>
    <w:p w14:paraId="788A5806"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 main purpose of the WRES is:</w:t>
      </w:r>
    </w:p>
    <w:p w14:paraId="6E5FCFD8" w14:textId="77777777" w:rsidR="006B48B2" w:rsidRPr="00306B53" w:rsidRDefault="006B48B2" w:rsidP="006B48B2">
      <w:pPr>
        <w:spacing w:after="0" w:line="240" w:lineRule="auto"/>
        <w:jc w:val="both"/>
        <w:rPr>
          <w:rFonts w:ascii="Arial" w:eastAsia="Calibri" w:hAnsi="Arial" w:cs="Arial"/>
          <w:sz w:val="24"/>
          <w:szCs w:val="24"/>
          <w:lang w:eastAsia="en-GB"/>
        </w:rPr>
      </w:pPr>
    </w:p>
    <w:p w14:paraId="6CB5806F" w14:textId="77777777" w:rsidR="006B48B2" w:rsidRPr="00306B53" w:rsidRDefault="006B48B2" w:rsidP="006B48B2">
      <w:pPr>
        <w:numPr>
          <w:ilvl w:val="0"/>
          <w:numId w:val="1"/>
        </w:num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to help local, and national, NHS organisations (and other organisations providing NHS services) to review their data against the nine WRES indicators,</w:t>
      </w:r>
    </w:p>
    <w:p w14:paraId="0A0D22FB" w14:textId="77777777" w:rsidR="006B48B2" w:rsidRPr="00306B53" w:rsidRDefault="006B48B2" w:rsidP="006B48B2">
      <w:pPr>
        <w:numPr>
          <w:ilvl w:val="0"/>
          <w:numId w:val="1"/>
        </w:numPr>
        <w:spacing w:before="120" w:after="0" w:line="240" w:lineRule="auto"/>
        <w:ind w:left="714" w:hanging="357"/>
        <w:jc w:val="both"/>
        <w:rPr>
          <w:rFonts w:ascii="Arial" w:eastAsia="Calibri" w:hAnsi="Arial" w:cs="Arial"/>
          <w:sz w:val="24"/>
          <w:szCs w:val="24"/>
          <w:lang w:eastAsia="en-GB"/>
        </w:rPr>
      </w:pPr>
      <w:r w:rsidRPr="00306B53">
        <w:rPr>
          <w:rFonts w:ascii="Arial" w:eastAsia="Calibri" w:hAnsi="Arial" w:cs="Arial"/>
          <w:sz w:val="24"/>
          <w:szCs w:val="24"/>
          <w:lang w:eastAsia="en-GB"/>
        </w:rPr>
        <w:t>to produce action plans to close the gaps in workplace experience between white and Black and Ethnic Minority (BME) staff, and,</w:t>
      </w:r>
    </w:p>
    <w:p w14:paraId="3503A604" w14:textId="77777777" w:rsidR="006B48B2" w:rsidRPr="00306B53" w:rsidRDefault="006B48B2" w:rsidP="006B48B2">
      <w:pPr>
        <w:numPr>
          <w:ilvl w:val="0"/>
          <w:numId w:val="1"/>
        </w:numPr>
        <w:spacing w:before="120" w:after="0" w:line="240" w:lineRule="auto"/>
        <w:ind w:left="714" w:hanging="357"/>
        <w:jc w:val="both"/>
        <w:rPr>
          <w:rFonts w:ascii="Arial" w:eastAsia="Calibri" w:hAnsi="Arial" w:cs="Arial"/>
          <w:sz w:val="24"/>
          <w:szCs w:val="24"/>
          <w:lang w:eastAsia="en-GB"/>
        </w:rPr>
      </w:pPr>
      <w:r w:rsidRPr="00306B53">
        <w:rPr>
          <w:rFonts w:ascii="Arial" w:eastAsia="Calibri" w:hAnsi="Arial" w:cs="Arial"/>
          <w:sz w:val="24"/>
          <w:szCs w:val="24"/>
          <w:lang w:eastAsia="en-GB"/>
        </w:rPr>
        <w:t>to improve BME representation at the Board level of the organisation.</w:t>
      </w:r>
    </w:p>
    <w:p w14:paraId="6804AF15" w14:textId="77777777" w:rsidR="006B48B2" w:rsidRPr="00306B53" w:rsidRDefault="006B48B2" w:rsidP="006B48B2">
      <w:pPr>
        <w:spacing w:after="0" w:line="240" w:lineRule="auto"/>
        <w:jc w:val="both"/>
        <w:rPr>
          <w:rFonts w:ascii="Arial" w:eastAsia="Calibri" w:hAnsi="Arial" w:cs="Arial"/>
          <w:sz w:val="24"/>
          <w:szCs w:val="24"/>
          <w:lang w:eastAsia="en-GB"/>
        </w:rPr>
      </w:pPr>
    </w:p>
    <w:p w14:paraId="16BDAB59"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This document reports on Trust’s activity between 1</w:t>
      </w:r>
      <w:r w:rsidRPr="00306B53">
        <w:rPr>
          <w:rFonts w:ascii="Arial" w:eastAsia="Calibri" w:hAnsi="Arial" w:cs="Arial"/>
          <w:sz w:val="24"/>
          <w:szCs w:val="24"/>
          <w:vertAlign w:val="superscript"/>
          <w:lang w:eastAsia="en-GB"/>
        </w:rPr>
        <w:t>st</w:t>
      </w:r>
      <w:r w:rsidRPr="00306B53">
        <w:rPr>
          <w:rFonts w:ascii="Arial" w:eastAsia="Calibri" w:hAnsi="Arial" w:cs="Arial"/>
          <w:sz w:val="24"/>
          <w:szCs w:val="24"/>
          <w:lang w:eastAsia="en-GB"/>
        </w:rPr>
        <w:t xml:space="preserve"> April 2024 and 31</w:t>
      </w:r>
      <w:r w:rsidRPr="00306B53">
        <w:rPr>
          <w:rFonts w:ascii="Arial" w:eastAsia="Calibri" w:hAnsi="Arial" w:cs="Arial"/>
          <w:sz w:val="24"/>
          <w:szCs w:val="24"/>
          <w:vertAlign w:val="superscript"/>
          <w:lang w:eastAsia="en-GB"/>
        </w:rPr>
        <w:t>st</w:t>
      </w:r>
      <w:r w:rsidRPr="00306B53">
        <w:rPr>
          <w:rFonts w:ascii="Arial" w:eastAsia="Calibri" w:hAnsi="Arial" w:cs="Arial"/>
          <w:sz w:val="24"/>
          <w:szCs w:val="24"/>
          <w:lang w:eastAsia="en-GB"/>
        </w:rPr>
        <w:t xml:space="preserve"> March 2025 against the WRES, in accordance with the three workforce themes: workforce diversity (indicators 1 – 4), staff experience (indicators 5 – 8) and leadership diversity (indicator 9).  </w:t>
      </w:r>
    </w:p>
    <w:p w14:paraId="05632C55" w14:textId="77777777" w:rsidR="006B48B2" w:rsidRPr="00306B53" w:rsidRDefault="006B48B2" w:rsidP="006B48B2">
      <w:pPr>
        <w:spacing w:after="0" w:line="240" w:lineRule="auto"/>
        <w:jc w:val="both"/>
        <w:rPr>
          <w:rFonts w:ascii="Arial" w:eastAsia="Calibri" w:hAnsi="Arial" w:cs="Arial"/>
          <w:sz w:val="24"/>
          <w:szCs w:val="24"/>
          <w:lang w:eastAsia="en-GB"/>
        </w:rPr>
      </w:pPr>
    </w:p>
    <w:p w14:paraId="48A878CB" w14:textId="77777777" w:rsidR="006B48B2" w:rsidRPr="00306B53" w:rsidRDefault="006B48B2" w:rsidP="006B48B2">
      <w:pPr>
        <w:spacing w:after="0" w:line="240" w:lineRule="auto"/>
        <w:rPr>
          <w:rFonts w:ascii="Arial" w:eastAsia="Times New Roman" w:hAnsi="Arial" w:cs="Arial"/>
          <w:sz w:val="24"/>
          <w:szCs w:val="24"/>
          <w:lang w:eastAsia="en-GB"/>
        </w:rPr>
      </w:pPr>
      <w:r w:rsidRPr="00306B53">
        <w:rPr>
          <w:rFonts w:ascii="Arial" w:eastAsia="Calibri" w:hAnsi="Arial" w:cs="Arial"/>
          <w:sz w:val="24"/>
          <w:szCs w:val="24"/>
          <w:lang w:eastAsia="en-GB"/>
        </w:rPr>
        <w:t>In addition to reporting the metrics required of the WRES, this report also sets out actions that will be undertaken to address the inequalities identified.</w:t>
      </w:r>
    </w:p>
    <w:p w14:paraId="022EDB44" w14:textId="77777777" w:rsidR="006B48B2" w:rsidRPr="00306B53" w:rsidRDefault="006B48B2" w:rsidP="006B48B2">
      <w:pPr>
        <w:spacing w:after="0" w:line="240" w:lineRule="auto"/>
        <w:rPr>
          <w:rFonts w:ascii="Arial" w:eastAsia="Times New Roman" w:hAnsi="Arial" w:cs="Arial"/>
          <w:sz w:val="24"/>
          <w:szCs w:val="24"/>
          <w:lang w:eastAsia="en-GB"/>
        </w:rPr>
        <w:sectPr w:rsidR="006B48B2" w:rsidRPr="00306B53" w:rsidSect="006B48B2">
          <w:pgSz w:w="11920" w:h="16857"/>
          <w:pgMar w:top="1440" w:right="1440" w:bottom="1440" w:left="1440" w:header="0" w:footer="0" w:gutter="0"/>
          <w:cols w:space="720"/>
        </w:sectPr>
      </w:pPr>
    </w:p>
    <w:p w14:paraId="5A9E792C" w14:textId="77777777" w:rsidR="006B48B2" w:rsidRPr="00306B53" w:rsidRDefault="006B48B2" w:rsidP="006B48B2">
      <w:pPr>
        <w:tabs>
          <w:tab w:val="left" w:pos="2460"/>
        </w:tabs>
        <w:spacing w:after="0" w:line="399" w:lineRule="exact"/>
        <w:rPr>
          <w:rFonts w:ascii="Arial" w:eastAsia="Times New Roman" w:hAnsi="Arial" w:cs="Arial"/>
          <w:b/>
          <w:sz w:val="28"/>
          <w:szCs w:val="36"/>
          <w:lang w:eastAsia="en-GB"/>
        </w:rPr>
      </w:pPr>
      <w:r w:rsidRPr="00306B53">
        <w:rPr>
          <w:rFonts w:ascii="Arial" w:eastAsia="Times New Roman" w:hAnsi="Arial" w:cs="Arial"/>
          <w:b/>
          <w:sz w:val="28"/>
          <w:szCs w:val="36"/>
          <w:lang w:eastAsia="en-GB"/>
        </w:rPr>
        <w:lastRenderedPageBreak/>
        <w:t>The WRES Indicators</w:t>
      </w:r>
    </w:p>
    <w:p w14:paraId="0C9B730B" w14:textId="77777777" w:rsidR="006B48B2" w:rsidRPr="00306B53" w:rsidRDefault="006B48B2" w:rsidP="006B48B2">
      <w:pPr>
        <w:spacing w:after="0" w:line="399" w:lineRule="exact"/>
        <w:rPr>
          <w:rFonts w:ascii="Times New Roman" w:eastAsia="Times New Roman" w:hAnsi="Times New Roman" w:cs="Arial"/>
          <w:sz w:val="20"/>
          <w:szCs w:val="20"/>
          <w:lang w:eastAsia="en-GB"/>
        </w:rPr>
      </w:pPr>
      <w:r w:rsidRPr="00306B53">
        <w:rPr>
          <w:rFonts w:ascii="Calibri" w:eastAsia="Calibri" w:hAnsi="Calibri" w:cs="Arial"/>
          <w:noProof/>
          <w:sz w:val="20"/>
          <w:szCs w:val="20"/>
          <w:lang w:eastAsia="en-GB"/>
        </w:rPr>
        <w:drawing>
          <wp:anchor distT="0" distB="0" distL="114300" distR="114300" simplePos="0" relativeHeight="251659264" behindDoc="1" locked="0" layoutInCell="1" allowOverlap="1" wp14:anchorId="036C2471" wp14:editId="66BEB7E0">
            <wp:simplePos x="0" y="0"/>
            <wp:positionH relativeFrom="margin">
              <wp:align>left</wp:align>
            </wp:positionH>
            <wp:positionV relativeFrom="paragraph">
              <wp:posOffset>201295</wp:posOffset>
            </wp:positionV>
            <wp:extent cx="750570" cy="750570"/>
            <wp:effectExtent l="0" t="0" r="0" b="0"/>
            <wp:wrapNone/>
            <wp:docPr id="23" name="Picture 8"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8" descr="A group of people in a circ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4299203F" w14:textId="77777777" w:rsidR="006B48B2" w:rsidRPr="00306B53" w:rsidRDefault="006B48B2" w:rsidP="006B48B2">
      <w:pPr>
        <w:spacing w:after="0" w:line="0" w:lineRule="atLeast"/>
        <w:ind w:left="940"/>
        <w:rPr>
          <w:rFonts w:ascii="Arial" w:eastAsia="Arial" w:hAnsi="Arial" w:cs="Arial"/>
          <w:b/>
          <w:sz w:val="24"/>
          <w:szCs w:val="20"/>
          <w:lang w:eastAsia="en-GB"/>
        </w:rPr>
      </w:pPr>
    </w:p>
    <w:p w14:paraId="0776F405" w14:textId="77777777" w:rsidR="006B48B2" w:rsidRPr="00306B53" w:rsidRDefault="006B48B2" w:rsidP="006B48B2">
      <w:pPr>
        <w:spacing w:after="0" w:line="0" w:lineRule="atLeast"/>
        <w:ind w:left="940" w:firstLine="500"/>
        <w:rPr>
          <w:rFonts w:ascii="Arial" w:eastAsia="Arial" w:hAnsi="Arial" w:cs="Arial"/>
          <w:b/>
          <w:sz w:val="24"/>
          <w:szCs w:val="20"/>
          <w:lang w:eastAsia="en-GB"/>
        </w:rPr>
      </w:pPr>
      <w:r w:rsidRPr="00306B53">
        <w:rPr>
          <w:rFonts w:ascii="Arial" w:eastAsia="Arial" w:hAnsi="Arial" w:cs="Arial"/>
          <w:b/>
          <w:sz w:val="24"/>
          <w:szCs w:val="20"/>
          <w:lang w:eastAsia="en-GB"/>
        </w:rPr>
        <w:t>Workforce indicators</w:t>
      </w:r>
    </w:p>
    <w:p w14:paraId="797C2334" w14:textId="77777777" w:rsidR="006B48B2" w:rsidRPr="00306B53" w:rsidRDefault="006B48B2" w:rsidP="006B48B2">
      <w:pPr>
        <w:spacing w:after="0" w:line="54" w:lineRule="exact"/>
        <w:rPr>
          <w:rFonts w:ascii="Times New Roman" w:eastAsia="Times New Roman" w:hAnsi="Times New Roman" w:cs="Arial"/>
          <w:sz w:val="20"/>
          <w:szCs w:val="20"/>
          <w:lang w:eastAsia="en-GB"/>
        </w:rPr>
      </w:pPr>
    </w:p>
    <w:p w14:paraId="2A5F755B" w14:textId="77777777" w:rsidR="006B48B2" w:rsidRPr="00306B53" w:rsidRDefault="006B48B2" w:rsidP="006B48B2">
      <w:pPr>
        <w:spacing w:after="0" w:line="328" w:lineRule="auto"/>
        <w:ind w:right="1040"/>
        <w:rPr>
          <w:rFonts w:ascii="Arial" w:eastAsia="Arial" w:hAnsi="Arial" w:cs="Arial"/>
          <w:sz w:val="24"/>
          <w:szCs w:val="20"/>
          <w:lang w:eastAsia="en-GB"/>
        </w:rPr>
      </w:pPr>
    </w:p>
    <w:p w14:paraId="2B25FA74" w14:textId="77777777" w:rsidR="006B48B2" w:rsidRPr="00306B53" w:rsidRDefault="006B48B2" w:rsidP="006B48B2">
      <w:pPr>
        <w:spacing w:after="0" w:line="328" w:lineRule="auto"/>
        <w:ind w:right="1040"/>
        <w:rPr>
          <w:rFonts w:ascii="Arial" w:eastAsia="Arial" w:hAnsi="Arial" w:cs="Arial"/>
          <w:sz w:val="24"/>
          <w:szCs w:val="20"/>
          <w:lang w:eastAsia="en-GB"/>
        </w:rPr>
      </w:pPr>
    </w:p>
    <w:tbl>
      <w:tblPr>
        <w:tblStyle w:val="GridTable6Colorful1"/>
        <w:tblW w:w="0" w:type="auto"/>
        <w:tblInd w:w="0" w:type="dxa"/>
        <w:tblLook w:val="04A0" w:firstRow="1" w:lastRow="0" w:firstColumn="1" w:lastColumn="0" w:noHBand="0" w:noVBand="1"/>
      </w:tblPr>
      <w:tblGrid>
        <w:gridCol w:w="2270"/>
        <w:gridCol w:w="6746"/>
      </w:tblGrid>
      <w:tr w:rsidR="006B48B2" w:rsidRPr="00306B53" w14:paraId="512277D7"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6B05F82C"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8172" w:type="dxa"/>
            <w:tcBorders>
              <w:top w:val="single" w:sz="4" w:space="0" w:color="666666"/>
              <w:left w:val="single" w:sz="4" w:space="0" w:color="666666"/>
              <w:bottom w:val="single" w:sz="4" w:space="0" w:color="666666"/>
              <w:right w:val="single" w:sz="4" w:space="0" w:color="666666"/>
            </w:tcBorders>
            <w:hideMark/>
          </w:tcPr>
          <w:p w14:paraId="5F0EAD7D" w14:textId="77777777" w:rsidR="006B48B2" w:rsidRPr="00306B53" w:rsidRDefault="006B48B2"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6B48B2" w:rsidRPr="00306B53" w14:paraId="56E37CCE"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325C4E5F"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1</w:t>
            </w:r>
          </w:p>
        </w:tc>
        <w:tc>
          <w:tcPr>
            <w:tcW w:w="8172" w:type="dxa"/>
            <w:tcBorders>
              <w:top w:val="single" w:sz="4" w:space="0" w:color="666666"/>
              <w:left w:val="single" w:sz="4" w:space="0" w:color="666666"/>
              <w:bottom w:val="single" w:sz="4" w:space="0" w:color="666666"/>
              <w:right w:val="single" w:sz="4" w:space="0" w:color="666666"/>
            </w:tcBorders>
            <w:hideMark/>
          </w:tcPr>
          <w:p w14:paraId="1A374F22"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 xml:space="preserve">Percentage of staff in each of the </w:t>
            </w:r>
            <w:proofErr w:type="spellStart"/>
            <w:r w:rsidRPr="00306B53">
              <w:rPr>
                <w:rFonts w:ascii="Arial" w:hAnsi="Arial"/>
                <w:lang w:eastAsia="en-GB"/>
              </w:rPr>
              <w:t>AfC</w:t>
            </w:r>
            <w:proofErr w:type="spellEnd"/>
            <w:r w:rsidRPr="00306B53">
              <w:rPr>
                <w:rFonts w:ascii="Arial" w:hAnsi="Arial"/>
                <w:lang w:eastAsia="en-GB"/>
              </w:rPr>
              <w:t xml:space="preserve"> Bands 1-9 and Very Senior Managers (VSM) (including executive Board members) compared with the percentage of staff in the overall workforce Note: organisations should undertake this calculation separately for non-clinical and for clinical staff</w:t>
            </w:r>
          </w:p>
        </w:tc>
      </w:tr>
      <w:tr w:rsidR="006B48B2" w:rsidRPr="00306B53" w14:paraId="6363E06A" w14:textId="77777777" w:rsidTr="00C06DAE">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7037C02D"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2</w:t>
            </w:r>
          </w:p>
        </w:tc>
        <w:tc>
          <w:tcPr>
            <w:tcW w:w="8172" w:type="dxa"/>
            <w:tcBorders>
              <w:top w:val="single" w:sz="4" w:space="0" w:color="666666"/>
              <w:left w:val="single" w:sz="4" w:space="0" w:color="666666"/>
              <w:bottom w:val="single" w:sz="4" w:space="0" w:color="666666"/>
              <w:right w:val="single" w:sz="4" w:space="0" w:color="666666"/>
            </w:tcBorders>
            <w:hideMark/>
          </w:tcPr>
          <w:p w14:paraId="25D47A48" w14:textId="77777777" w:rsidR="006B48B2" w:rsidRPr="00306B53" w:rsidRDefault="006B48B2" w:rsidP="00C06DAE">
            <w:pPr>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306B53">
              <w:rPr>
                <w:rFonts w:ascii="Arial" w:hAnsi="Arial"/>
                <w:lang w:eastAsia="en-GB"/>
              </w:rPr>
              <w:t>Relative likelihood of staff being appointed from shortlisting across all posts</w:t>
            </w:r>
          </w:p>
        </w:tc>
      </w:tr>
      <w:tr w:rsidR="006B48B2" w:rsidRPr="00306B53" w14:paraId="5EA3072F"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09A52E8F"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3</w:t>
            </w:r>
          </w:p>
        </w:tc>
        <w:tc>
          <w:tcPr>
            <w:tcW w:w="8172" w:type="dxa"/>
            <w:tcBorders>
              <w:top w:val="single" w:sz="4" w:space="0" w:color="666666"/>
              <w:left w:val="single" w:sz="4" w:space="0" w:color="666666"/>
              <w:bottom w:val="single" w:sz="4" w:space="0" w:color="666666"/>
              <w:right w:val="single" w:sz="4" w:space="0" w:color="666666"/>
            </w:tcBorders>
            <w:hideMark/>
          </w:tcPr>
          <w:p w14:paraId="20F7D494"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Relative likelihood of BAME staff entering the formal disciplinary process compared to that of White staff</w:t>
            </w:r>
          </w:p>
        </w:tc>
      </w:tr>
      <w:tr w:rsidR="006B48B2" w:rsidRPr="00306B53" w14:paraId="229811AB" w14:textId="77777777" w:rsidTr="00C06DAE">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2F57729D"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4</w:t>
            </w:r>
          </w:p>
        </w:tc>
        <w:tc>
          <w:tcPr>
            <w:tcW w:w="8172" w:type="dxa"/>
            <w:tcBorders>
              <w:top w:val="single" w:sz="4" w:space="0" w:color="666666"/>
              <w:left w:val="single" w:sz="4" w:space="0" w:color="666666"/>
              <w:bottom w:val="single" w:sz="4" w:space="0" w:color="666666"/>
              <w:right w:val="single" w:sz="4" w:space="0" w:color="666666"/>
            </w:tcBorders>
            <w:hideMark/>
          </w:tcPr>
          <w:p w14:paraId="48D4B106" w14:textId="77777777" w:rsidR="006B48B2" w:rsidRPr="00306B53" w:rsidRDefault="006B48B2" w:rsidP="00C06DAE">
            <w:pPr>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306B53">
              <w:rPr>
                <w:rFonts w:ascii="Arial" w:hAnsi="Arial"/>
                <w:lang w:eastAsia="en-GB"/>
              </w:rPr>
              <w:t>Relative likelihood of staff accessing non-mandatory training and continuous professional development (CPD).</w:t>
            </w:r>
          </w:p>
        </w:tc>
      </w:tr>
    </w:tbl>
    <w:p w14:paraId="3EEA8278" w14:textId="77777777" w:rsidR="006B48B2" w:rsidRPr="00306B53" w:rsidRDefault="006B48B2" w:rsidP="006B48B2">
      <w:pPr>
        <w:spacing w:after="0" w:line="328" w:lineRule="auto"/>
        <w:ind w:right="1040"/>
        <w:rPr>
          <w:rFonts w:ascii="Arial" w:eastAsia="Arial" w:hAnsi="Arial" w:cs="Arial"/>
          <w:sz w:val="24"/>
          <w:szCs w:val="20"/>
          <w:lang w:eastAsia="en-GB"/>
        </w:rPr>
      </w:pPr>
    </w:p>
    <w:p w14:paraId="459C1C05" w14:textId="77777777" w:rsidR="006B48B2" w:rsidRPr="00306B53" w:rsidRDefault="006B48B2" w:rsidP="006B48B2">
      <w:pPr>
        <w:spacing w:after="0" w:line="20" w:lineRule="exact"/>
        <w:rPr>
          <w:rFonts w:ascii="Times New Roman" w:eastAsia="Times New Roman" w:hAnsi="Times New Roman" w:cs="Arial"/>
          <w:sz w:val="20"/>
          <w:szCs w:val="20"/>
          <w:lang w:eastAsia="en-GB"/>
        </w:rPr>
      </w:pPr>
    </w:p>
    <w:p w14:paraId="10EBD146" w14:textId="77777777" w:rsidR="006B48B2" w:rsidRPr="00306B53" w:rsidRDefault="006B48B2" w:rsidP="006B48B2">
      <w:pPr>
        <w:spacing w:after="0" w:line="175" w:lineRule="exact"/>
        <w:rPr>
          <w:rFonts w:ascii="Times New Roman" w:eastAsia="Times New Roman" w:hAnsi="Times New Roman" w:cs="Arial"/>
          <w:sz w:val="20"/>
          <w:szCs w:val="20"/>
          <w:lang w:eastAsia="en-GB"/>
        </w:rPr>
      </w:pPr>
      <w:r w:rsidRPr="00306B53">
        <w:rPr>
          <w:rFonts w:ascii="Calibri" w:eastAsia="Calibri" w:hAnsi="Calibri" w:cs="Arial"/>
          <w:noProof/>
          <w:sz w:val="20"/>
          <w:szCs w:val="20"/>
          <w:lang w:eastAsia="en-GB"/>
        </w:rPr>
        <w:drawing>
          <wp:anchor distT="0" distB="0" distL="114300" distR="114300" simplePos="0" relativeHeight="251661312" behindDoc="1" locked="0" layoutInCell="1" allowOverlap="1" wp14:anchorId="3DA0E863" wp14:editId="60FFF9E6">
            <wp:simplePos x="0" y="0"/>
            <wp:positionH relativeFrom="margin">
              <wp:align>left</wp:align>
            </wp:positionH>
            <wp:positionV relativeFrom="paragraph">
              <wp:posOffset>22225</wp:posOffset>
            </wp:positionV>
            <wp:extent cx="750570" cy="750570"/>
            <wp:effectExtent l="0" t="0" r="0" b="0"/>
            <wp:wrapNone/>
            <wp:docPr id="25" name="Picture 10" descr="A white rectangular object with green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0" descr="A white rectangular object with green check mark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41C81BA8" w14:textId="77777777" w:rsidR="006B48B2" w:rsidRPr="00306B53" w:rsidRDefault="006B48B2" w:rsidP="006B48B2">
      <w:pPr>
        <w:spacing w:after="0" w:line="175" w:lineRule="exact"/>
        <w:rPr>
          <w:rFonts w:ascii="Times New Roman" w:eastAsia="Times New Roman" w:hAnsi="Times New Roman" w:cs="Arial"/>
          <w:sz w:val="20"/>
          <w:szCs w:val="20"/>
          <w:lang w:eastAsia="en-GB"/>
        </w:rPr>
      </w:pPr>
    </w:p>
    <w:p w14:paraId="34D9E2D5" w14:textId="77777777" w:rsidR="006B48B2" w:rsidRPr="00306B53" w:rsidRDefault="006B48B2" w:rsidP="006B48B2">
      <w:pPr>
        <w:spacing w:after="0" w:line="0" w:lineRule="atLeast"/>
        <w:ind w:left="900" w:firstLine="540"/>
        <w:rPr>
          <w:rFonts w:ascii="Arial" w:eastAsia="Arial" w:hAnsi="Arial" w:cs="Arial"/>
          <w:b/>
          <w:sz w:val="24"/>
          <w:szCs w:val="20"/>
          <w:lang w:eastAsia="en-GB"/>
        </w:rPr>
      </w:pPr>
      <w:r w:rsidRPr="00306B53">
        <w:rPr>
          <w:rFonts w:ascii="Arial" w:eastAsia="Arial" w:hAnsi="Arial" w:cs="Arial"/>
          <w:b/>
          <w:sz w:val="24"/>
          <w:szCs w:val="20"/>
          <w:lang w:eastAsia="en-GB"/>
        </w:rPr>
        <w:t xml:space="preserve">National NHS Staff Survey indicators </w:t>
      </w:r>
    </w:p>
    <w:p w14:paraId="25DFE750" w14:textId="77777777" w:rsidR="006B48B2" w:rsidRPr="00306B53" w:rsidRDefault="006B48B2" w:rsidP="006B48B2">
      <w:pPr>
        <w:spacing w:after="0" w:line="54" w:lineRule="exact"/>
        <w:rPr>
          <w:rFonts w:ascii="Times New Roman" w:eastAsia="Times New Roman" w:hAnsi="Times New Roman" w:cs="Arial"/>
          <w:sz w:val="20"/>
          <w:szCs w:val="20"/>
          <w:lang w:eastAsia="en-GB"/>
        </w:rPr>
      </w:pPr>
    </w:p>
    <w:p w14:paraId="19B9AB0D" w14:textId="77777777" w:rsidR="006B48B2" w:rsidRPr="00306B53" w:rsidRDefault="006B48B2" w:rsidP="006B48B2">
      <w:pPr>
        <w:spacing w:after="0" w:line="20" w:lineRule="exact"/>
        <w:rPr>
          <w:rFonts w:ascii="Times New Roman" w:eastAsia="Times New Roman" w:hAnsi="Times New Roman" w:cs="Arial"/>
          <w:sz w:val="20"/>
          <w:szCs w:val="20"/>
          <w:lang w:eastAsia="en-GB"/>
        </w:rPr>
      </w:pPr>
    </w:p>
    <w:p w14:paraId="02E3D40A" w14:textId="77777777" w:rsidR="006B48B2" w:rsidRPr="00306B53" w:rsidRDefault="006B48B2" w:rsidP="006B48B2">
      <w:pPr>
        <w:spacing w:after="0" w:line="340" w:lineRule="exact"/>
        <w:rPr>
          <w:rFonts w:ascii="Times New Roman" w:eastAsia="Times New Roman" w:hAnsi="Times New Roman" w:cs="Arial"/>
          <w:sz w:val="20"/>
          <w:szCs w:val="20"/>
          <w:lang w:eastAsia="en-GB"/>
        </w:rPr>
      </w:pPr>
    </w:p>
    <w:p w14:paraId="794A2D97" w14:textId="77777777" w:rsidR="006B48B2" w:rsidRPr="00306B53" w:rsidRDefault="006B48B2" w:rsidP="006B48B2">
      <w:pPr>
        <w:spacing w:after="0" w:line="340" w:lineRule="exact"/>
        <w:rPr>
          <w:rFonts w:ascii="Times New Roman" w:eastAsia="Times New Roman" w:hAnsi="Times New Roman" w:cs="Arial"/>
          <w:sz w:val="20"/>
          <w:szCs w:val="20"/>
          <w:lang w:eastAsia="en-GB"/>
        </w:rPr>
      </w:pPr>
    </w:p>
    <w:tbl>
      <w:tblPr>
        <w:tblStyle w:val="GridTable6Colorful1"/>
        <w:tblpPr w:leftFromText="180" w:rightFromText="180" w:vertAnchor="text" w:horzAnchor="margin" w:tblpY="60"/>
        <w:tblW w:w="0" w:type="auto"/>
        <w:tblInd w:w="0" w:type="dxa"/>
        <w:tblLook w:val="04A0" w:firstRow="1" w:lastRow="0" w:firstColumn="1" w:lastColumn="0" w:noHBand="0" w:noVBand="1"/>
      </w:tblPr>
      <w:tblGrid>
        <w:gridCol w:w="2270"/>
        <w:gridCol w:w="6746"/>
      </w:tblGrid>
      <w:tr w:rsidR="006B48B2" w:rsidRPr="00306B53" w14:paraId="4C58DDB1"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2DC3EF46"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7740" w:type="dxa"/>
            <w:tcBorders>
              <w:top w:val="single" w:sz="4" w:space="0" w:color="666666"/>
              <w:left w:val="single" w:sz="4" w:space="0" w:color="666666"/>
              <w:bottom w:val="single" w:sz="4" w:space="0" w:color="666666"/>
              <w:right w:val="single" w:sz="4" w:space="0" w:color="666666"/>
            </w:tcBorders>
            <w:hideMark/>
          </w:tcPr>
          <w:p w14:paraId="50BF0CBF" w14:textId="77777777" w:rsidR="006B48B2" w:rsidRPr="00306B53" w:rsidRDefault="006B48B2"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6B48B2" w:rsidRPr="00306B53" w14:paraId="25FC1CA6"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83DB522"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5</w:t>
            </w:r>
          </w:p>
        </w:tc>
        <w:tc>
          <w:tcPr>
            <w:tcW w:w="7740" w:type="dxa"/>
            <w:tcBorders>
              <w:top w:val="single" w:sz="4" w:space="0" w:color="666666"/>
              <w:left w:val="single" w:sz="4" w:space="0" w:color="666666"/>
              <w:bottom w:val="single" w:sz="4" w:space="0" w:color="666666"/>
              <w:right w:val="single" w:sz="4" w:space="0" w:color="666666"/>
            </w:tcBorders>
            <w:hideMark/>
          </w:tcPr>
          <w:p w14:paraId="425A870F"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KF 25. Percentage of staff experiencing harassment, bullying or abuse from patients, relatives or the public in last 12 months</w:t>
            </w:r>
          </w:p>
        </w:tc>
      </w:tr>
      <w:tr w:rsidR="006B48B2" w:rsidRPr="00306B53" w14:paraId="2109CC5E"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53E3C9BF"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6</w:t>
            </w:r>
          </w:p>
        </w:tc>
        <w:tc>
          <w:tcPr>
            <w:tcW w:w="7740" w:type="dxa"/>
            <w:tcBorders>
              <w:top w:val="single" w:sz="4" w:space="0" w:color="666666"/>
              <w:left w:val="single" w:sz="4" w:space="0" w:color="666666"/>
              <w:bottom w:val="single" w:sz="4" w:space="0" w:color="666666"/>
              <w:right w:val="single" w:sz="4" w:space="0" w:color="666666"/>
            </w:tcBorders>
            <w:hideMark/>
          </w:tcPr>
          <w:p w14:paraId="64BF7C20" w14:textId="77777777" w:rsidR="006B48B2" w:rsidRPr="00306B53" w:rsidRDefault="006B48B2" w:rsidP="00C06DAE">
            <w:pPr>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306B53">
              <w:rPr>
                <w:rFonts w:ascii="Arial" w:hAnsi="Arial"/>
                <w:lang w:eastAsia="en-GB"/>
              </w:rPr>
              <w:t>KF 26. Percentage of staff experiencing harassment, bullying or abuse from staff in last 12 months</w:t>
            </w:r>
          </w:p>
        </w:tc>
      </w:tr>
      <w:tr w:rsidR="006B48B2" w:rsidRPr="00306B53" w14:paraId="071C23B9"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FF1E57A"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7</w:t>
            </w:r>
          </w:p>
        </w:tc>
        <w:tc>
          <w:tcPr>
            <w:tcW w:w="7740" w:type="dxa"/>
            <w:tcBorders>
              <w:top w:val="single" w:sz="4" w:space="0" w:color="666666"/>
              <w:left w:val="single" w:sz="4" w:space="0" w:color="666666"/>
              <w:bottom w:val="single" w:sz="4" w:space="0" w:color="666666"/>
              <w:right w:val="single" w:sz="4" w:space="0" w:color="666666"/>
            </w:tcBorders>
            <w:hideMark/>
          </w:tcPr>
          <w:p w14:paraId="4DFD3D0E"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eastAsia="Arial" w:hAnsi="Arial"/>
                <w:lang w:eastAsia="en-GB"/>
              </w:rPr>
            </w:pPr>
            <w:r w:rsidRPr="00306B53">
              <w:rPr>
                <w:rFonts w:ascii="Arial" w:eastAsia="Arial" w:hAnsi="Arial"/>
                <w:lang w:eastAsia="en-GB"/>
              </w:rPr>
              <w:t>KF 21. Percentage believing that the trust (or organisation) provides equal opportunities for career progression or promotion</w:t>
            </w:r>
          </w:p>
        </w:tc>
      </w:tr>
      <w:tr w:rsidR="006B48B2" w:rsidRPr="00306B53" w14:paraId="66E28451"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5D931751"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8</w:t>
            </w:r>
          </w:p>
        </w:tc>
        <w:tc>
          <w:tcPr>
            <w:tcW w:w="7740" w:type="dxa"/>
            <w:tcBorders>
              <w:top w:val="single" w:sz="4" w:space="0" w:color="666666"/>
              <w:left w:val="single" w:sz="4" w:space="0" w:color="666666"/>
              <w:bottom w:val="single" w:sz="4" w:space="0" w:color="666666"/>
              <w:right w:val="single" w:sz="4" w:space="0" w:color="666666"/>
            </w:tcBorders>
            <w:hideMark/>
          </w:tcPr>
          <w:p w14:paraId="6EF27795" w14:textId="77777777" w:rsidR="006B48B2" w:rsidRPr="00306B53" w:rsidRDefault="006B48B2" w:rsidP="00C06DAE">
            <w:pPr>
              <w:cnfStyle w:val="000000000000" w:firstRow="0" w:lastRow="0" w:firstColumn="0" w:lastColumn="0" w:oddVBand="0" w:evenVBand="0" w:oddHBand="0" w:evenHBand="0" w:firstRowFirstColumn="0" w:firstRowLastColumn="0" w:lastRowFirstColumn="0" w:lastRowLastColumn="0"/>
              <w:rPr>
                <w:rFonts w:ascii="Arial" w:eastAsia="Arial" w:hAnsi="Arial"/>
                <w:lang w:eastAsia="en-GB"/>
              </w:rPr>
            </w:pPr>
            <w:r w:rsidRPr="00306B53">
              <w:rPr>
                <w:rFonts w:ascii="Arial" w:eastAsia="Arial" w:hAnsi="Arial"/>
                <w:lang w:eastAsia="en-GB"/>
              </w:rPr>
              <w:t>Q17. In the last 12 months have you personally experienced discrimination at work from any of the following? Manager/team leader or other colleagues</w:t>
            </w:r>
          </w:p>
        </w:tc>
      </w:tr>
    </w:tbl>
    <w:p w14:paraId="1AFAF490" w14:textId="77777777" w:rsidR="006B48B2" w:rsidRPr="00306B53" w:rsidRDefault="006B48B2" w:rsidP="006B48B2">
      <w:pPr>
        <w:spacing w:after="0" w:line="200" w:lineRule="exact"/>
        <w:rPr>
          <w:rFonts w:ascii="Times New Roman" w:eastAsia="Times New Roman" w:hAnsi="Times New Roman" w:cs="Arial"/>
          <w:sz w:val="20"/>
          <w:szCs w:val="20"/>
          <w:lang w:eastAsia="en-GB"/>
        </w:rPr>
      </w:pPr>
    </w:p>
    <w:p w14:paraId="288509B0" w14:textId="77777777" w:rsidR="006B48B2" w:rsidRPr="00306B53" w:rsidRDefault="006B48B2" w:rsidP="006B48B2">
      <w:pPr>
        <w:spacing w:after="0" w:line="294" w:lineRule="exact"/>
        <w:rPr>
          <w:rFonts w:ascii="Times New Roman" w:eastAsia="Times New Roman" w:hAnsi="Times New Roman" w:cs="Arial"/>
          <w:sz w:val="20"/>
          <w:szCs w:val="20"/>
          <w:lang w:eastAsia="en-GB"/>
        </w:rPr>
      </w:pPr>
    </w:p>
    <w:p w14:paraId="12D16275" w14:textId="77777777" w:rsidR="006B48B2" w:rsidRPr="00306B53" w:rsidRDefault="006B48B2" w:rsidP="006B48B2">
      <w:pPr>
        <w:spacing w:after="0" w:line="294" w:lineRule="exact"/>
        <w:rPr>
          <w:rFonts w:ascii="Times New Roman" w:eastAsia="Times New Roman" w:hAnsi="Times New Roman" w:cs="Arial"/>
          <w:sz w:val="20"/>
          <w:szCs w:val="20"/>
          <w:lang w:eastAsia="en-GB"/>
        </w:rPr>
      </w:pPr>
      <w:r w:rsidRPr="00306B53">
        <w:rPr>
          <w:rFonts w:ascii="Calibri" w:eastAsia="Calibri" w:hAnsi="Calibri" w:cs="Arial"/>
          <w:noProof/>
          <w:sz w:val="20"/>
          <w:szCs w:val="20"/>
          <w:lang w:eastAsia="en-GB"/>
        </w:rPr>
        <w:drawing>
          <wp:anchor distT="0" distB="0" distL="114300" distR="114300" simplePos="0" relativeHeight="251662336" behindDoc="1" locked="0" layoutInCell="1" allowOverlap="1" wp14:anchorId="5722E7E3" wp14:editId="7126C88D">
            <wp:simplePos x="0" y="0"/>
            <wp:positionH relativeFrom="margin">
              <wp:align>left</wp:align>
            </wp:positionH>
            <wp:positionV relativeFrom="paragraph">
              <wp:posOffset>13335</wp:posOffset>
            </wp:positionV>
            <wp:extent cx="750570" cy="750570"/>
            <wp:effectExtent l="0" t="0" r="0" b="0"/>
            <wp:wrapNone/>
            <wp:docPr id="26" name="Picture 12"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descr="A group of people in a meet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r w:rsidRPr="00306B53">
        <w:rPr>
          <w:rFonts w:ascii="Times New Roman" w:eastAsia="Times New Roman" w:hAnsi="Times New Roman" w:cs="Arial"/>
          <w:sz w:val="20"/>
          <w:szCs w:val="20"/>
          <w:lang w:eastAsia="en-GB"/>
        </w:rPr>
        <w:tab/>
      </w:r>
    </w:p>
    <w:p w14:paraId="05BADADB" w14:textId="77777777" w:rsidR="006B48B2" w:rsidRPr="00306B53" w:rsidRDefault="006B48B2" w:rsidP="006B48B2">
      <w:pPr>
        <w:spacing w:after="0" w:line="0" w:lineRule="atLeast"/>
        <w:rPr>
          <w:rFonts w:ascii="Arial" w:eastAsia="Arial" w:hAnsi="Arial" w:cs="Arial"/>
          <w:b/>
          <w:sz w:val="24"/>
          <w:szCs w:val="20"/>
          <w:lang w:eastAsia="en-GB"/>
        </w:rPr>
      </w:pPr>
      <w:r w:rsidRPr="00306B53">
        <w:rPr>
          <w:rFonts w:ascii="Arial" w:eastAsia="Arial" w:hAnsi="Arial" w:cs="Arial"/>
          <w:b/>
          <w:sz w:val="24"/>
          <w:szCs w:val="20"/>
          <w:lang w:eastAsia="en-GB"/>
        </w:rPr>
        <w:t xml:space="preserve">            </w:t>
      </w:r>
      <w:r w:rsidRPr="00306B53">
        <w:rPr>
          <w:rFonts w:ascii="Arial" w:eastAsia="Arial" w:hAnsi="Arial" w:cs="Arial"/>
          <w:b/>
          <w:sz w:val="24"/>
          <w:szCs w:val="20"/>
          <w:lang w:eastAsia="en-GB"/>
        </w:rPr>
        <w:tab/>
        <w:t>Board representation indicator</w:t>
      </w:r>
    </w:p>
    <w:p w14:paraId="6C6AA772" w14:textId="77777777" w:rsidR="006B48B2" w:rsidRPr="00306B53" w:rsidRDefault="006B48B2" w:rsidP="006B48B2">
      <w:pPr>
        <w:spacing w:after="0" w:line="294" w:lineRule="exact"/>
        <w:rPr>
          <w:rFonts w:ascii="Times New Roman" w:eastAsia="Times New Roman" w:hAnsi="Times New Roman" w:cs="Arial"/>
          <w:sz w:val="20"/>
          <w:szCs w:val="20"/>
          <w:lang w:eastAsia="en-GB"/>
        </w:rPr>
      </w:pPr>
    </w:p>
    <w:p w14:paraId="52A6C0D7" w14:textId="77777777" w:rsidR="006B48B2" w:rsidRPr="00306B53" w:rsidRDefault="006B48B2" w:rsidP="006B48B2">
      <w:pPr>
        <w:spacing w:after="0" w:line="294" w:lineRule="exact"/>
        <w:rPr>
          <w:rFonts w:ascii="Times New Roman" w:eastAsia="Times New Roman" w:hAnsi="Times New Roman" w:cs="Arial"/>
          <w:sz w:val="20"/>
          <w:szCs w:val="20"/>
          <w:lang w:eastAsia="en-GB"/>
        </w:rPr>
      </w:pPr>
    </w:p>
    <w:p w14:paraId="6240DED5" w14:textId="77777777" w:rsidR="006B48B2" w:rsidRPr="00306B53" w:rsidRDefault="006B48B2" w:rsidP="006B48B2">
      <w:pPr>
        <w:spacing w:after="0" w:line="294" w:lineRule="exact"/>
        <w:rPr>
          <w:rFonts w:ascii="Times New Roman" w:eastAsia="Times New Roman" w:hAnsi="Times New Roman" w:cs="Arial"/>
          <w:sz w:val="20"/>
          <w:szCs w:val="20"/>
          <w:lang w:eastAsia="en-GB"/>
        </w:rPr>
      </w:pPr>
    </w:p>
    <w:tbl>
      <w:tblPr>
        <w:tblStyle w:val="GridTable6Colorful1"/>
        <w:tblpPr w:leftFromText="180" w:rightFromText="180" w:vertAnchor="text" w:horzAnchor="margin" w:tblpY="60"/>
        <w:tblW w:w="0" w:type="auto"/>
        <w:tblInd w:w="0" w:type="dxa"/>
        <w:tblLook w:val="04A0" w:firstRow="1" w:lastRow="0" w:firstColumn="1" w:lastColumn="0" w:noHBand="0" w:noVBand="1"/>
      </w:tblPr>
      <w:tblGrid>
        <w:gridCol w:w="2270"/>
        <w:gridCol w:w="6746"/>
      </w:tblGrid>
      <w:tr w:rsidR="006B48B2" w:rsidRPr="00306B53" w14:paraId="7F324846"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6DB16C57"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7740" w:type="dxa"/>
            <w:tcBorders>
              <w:top w:val="single" w:sz="4" w:space="0" w:color="666666"/>
              <w:left w:val="single" w:sz="4" w:space="0" w:color="666666"/>
              <w:bottom w:val="single" w:sz="4" w:space="0" w:color="666666"/>
              <w:right w:val="single" w:sz="4" w:space="0" w:color="666666"/>
            </w:tcBorders>
            <w:hideMark/>
          </w:tcPr>
          <w:p w14:paraId="4A963313" w14:textId="77777777" w:rsidR="006B48B2" w:rsidRPr="00306B53" w:rsidRDefault="006B48B2"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6B48B2" w:rsidRPr="00306B53" w14:paraId="1414A9C5"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470BA69B"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9</w:t>
            </w:r>
          </w:p>
        </w:tc>
        <w:tc>
          <w:tcPr>
            <w:tcW w:w="7740" w:type="dxa"/>
            <w:tcBorders>
              <w:top w:val="single" w:sz="4" w:space="0" w:color="666666"/>
              <w:left w:val="single" w:sz="4" w:space="0" w:color="666666"/>
              <w:bottom w:val="single" w:sz="4" w:space="0" w:color="666666"/>
              <w:right w:val="single" w:sz="4" w:space="0" w:color="666666"/>
            </w:tcBorders>
          </w:tcPr>
          <w:p w14:paraId="250367D8"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Percentage difference between the organisation's Board voting membership and its overall workforce disaggregated:</w:t>
            </w:r>
          </w:p>
          <w:p w14:paraId="0EB393A7"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eastAsia="Times New Roman" w:hAnsi="Arial"/>
                <w:lang w:eastAsia="en-GB"/>
              </w:rPr>
            </w:pPr>
          </w:p>
          <w:p w14:paraId="1A341A67" w14:textId="77777777" w:rsidR="006B48B2" w:rsidRPr="00306B53" w:rsidRDefault="006B48B2" w:rsidP="006B48B2">
            <w:pPr>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By voting membership of the Board</w:t>
            </w:r>
          </w:p>
          <w:p w14:paraId="5BE5A5C0" w14:textId="77777777" w:rsidR="006B48B2" w:rsidRPr="00306B53" w:rsidRDefault="006B48B2" w:rsidP="006B48B2">
            <w:pPr>
              <w:numPr>
                <w:ilvl w:val="0"/>
                <w:numId w:val="2"/>
              </w:numPr>
              <w:cnfStyle w:val="000000100000" w:firstRow="0" w:lastRow="0" w:firstColumn="0" w:lastColumn="0" w:oddVBand="0" w:evenVBand="0" w:oddHBand="1" w:evenHBand="0" w:firstRowFirstColumn="0" w:firstRowLastColumn="0" w:lastRowFirstColumn="0" w:lastRowLastColumn="0"/>
              <w:rPr>
                <w:lang w:eastAsia="en-GB"/>
              </w:rPr>
            </w:pPr>
            <w:r w:rsidRPr="00306B53">
              <w:rPr>
                <w:rFonts w:ascii="Arial" w:hAnsi="Arial"/>
                <w:lang w:eastAsia="en-GB"/>
              </w:rPr>
              <w:t>By executive membership of the Board</w:t>
            </w:r>
          </w:p>
        </w:tc>
      </w:tr>
    </w:tbl>
    <w:p w14:paraId="77C19712" w14:textId="77777777" w:rsidR="006B48B2" w:rsidRPr="00306B53" w:rsidRDefault="006B48B2" w:rsidP="006B48B2">
      <w:pPr>
        <w:spacing w:after="0" w:line="301" w:lineRule="exact"/>
        <w:rPr>
          <w:rFonts w:ascii="Arial" w:eastAsia="Times New Roman" w:hAnsi="Arial" w:cs="Arial"/>
          <w:b/>
          <w:sz w:val="28"/>
          <w:szCs w:val="20"/>
          <w:lang w:eastAsia="en-GB"/>
        </w:rPr>
      </w:pPr>
      <w:r w:rsidRPr="00306B53">
        <w:rPr>
          <w:rFonts w:ascii="Arial" w:eastAsia="Times New Roman" w:hAnsi="Arial" w:cs="Arial"/>
          <w:b/>
          <w:sz w:val="28"/>
          <w:szCs w:val="20"/>
          <w:lang w:eastAsia="en-GB"/>
        </w:rPr>
        <w:t>Performance against the WRES indicators</w:t>
      </w:r>
    </w:p>
    <w:p w14:paraId="58CD89B2" w14:textId="77777777" w:rsidR="006B48B2" w:rsidRPr="00306B53" w:rsidRDefault="006B48B2" w:rsidP="006B48B2">
      <w:pPr>
        <w:spacing w:after="0" w:line="301" w:lineRule="exact"/>
        <w:rPr>
          <w:rFonts w:ascii="Arial" w:eastAsia="Times New Roman" w:hAnsi="Arial" w:cs="Arial"/>
          <w:sz w:val="24"/>
          <w:szCs w:val="20"/>
          <w:lang w:eastAsia="en-GB"/>
        </w:rPr>
      </w:pPr>
    </w:p>
    <w:p w14:paraId="60284AC1" w14:textId="77777777" w:rsidR="006B48B2" w:rsidRPr="00306B53" w:rsidRDefault="006B48B2" w:rsidP="006B48B2">
      <w:pPr>
        <w:spacing w:after="0" w:line="301" w:lineRule="exact"/>
        <w:jc w:val="both"/>
        <w:rPr>
          <w:rFonts w:ascii="Arial" w:eastAsia="Times New Roman" w:hAnsi="Arial" w:cs="Arial"/>
          <w:b/>
          <w:color w:val="0070C0"/>
          <w:sz w:val="24"/>
          <w:szCs w:val="20"/>
          <w:lang w:eastAsia="en-GB"/>
        </w:rPr>
      </w:pPr>
      <w:r w:rsidRPr="00306B53">
        <w:rPr>
          <w:rFonts w:ascii="Arial" w:eastAsia="Times New Roman" w:hAnsi="Arial" w:cs="Arial"/>
          <w:b/>
          <w:color w:val="0070C0"/>
          <w:sz w:val="24"/>
          <w:szCs w:val="20"/>
          <w:lang w:eastAsia="en-GB"/>
        </w:rPr>
        <w:lastRenderedPageBreak/>
        <w:t xml:space="preserve">Indicator 1: Percentage of staff in each of the </w:t>
      </w:r>
      <w:proofErr w:type="spellStart"/>
      <w:r w:rsidRPr="00306B53">
        <w:rPr>
          <w:rFonts w:ascii="Arial" w:eastAsia="Times New Roman" w:hAnsi="Arial" w:cs="Arial"/>
          <w:b/>
          <w:color w:val="0070C0"/>
          <w:sz w:val="24"/>
          <w:szCs w:val="20"/>
          <w:lang w:eastAsia="en-GB"/>
        </w:rPr>
        <w:t>AfC</w:t>
      </w:r>
      <w:proofErr w:type="spellEnd"/>
      <w:r w:rsidRPr="00306B53">
        <w:rPr>
          <w:rFonts w:ascii="Arial" w:eastAsia="Times New Roman" w:hAnsi="Arial" w:cs="Arial"/>
          <w:b/>
          <w:color w:val="0070C0"/>
          <w:sz w:val="24"/>
          <w:szCs w:val="20"/>
          <w:lang w:eastAsia="en-GB"/>
        </w:rPr>
        <w:t xml:space="preserve"> Bands 1-9 and Very Senior Managers (VSM) (including executive Board members) compared with the percentage of staff in the overall workforce Note: organisations should undertake this calculation separately for non-clinical and for clinical staff</w:t>
      </w:r>
    </w:p>
    <w:p w14:paraId="04C8A6D5" w14:textId="77777777" w:rsidR="006B48B2" w:rsidRPr="00306B53" w:rsidRDefault="006B48B2" w:rsidP="006B48B2">
      <w:pPr>
        <w:spacing w:after="0" w:line="301" w:lineRule="exact"/>
        <w:rPr>
          <w:rFonts w:ascii="Arial" w:eastAsia="Times New Roman" w:hAnsi="Arial" w:cs="Arial"/>
          <w:sz w:val="24"/>
          <w:szCs w:val="20"/>
          <w:lang w:eastAsia="en-GB"/>
        </w:rPr>
      </w:pPr>
    </w:p>
    <w:p w14:paraId="20B4EF41" w14:textId="77777777" w:rsidR="006B48B2" w:rsidRPr="00306B53" w:rsidRDefault="006B48B2" w:rsidP="006B48B2">
      <w:pPr>
        <w:spacing w:after="0" w:line="301" w:lineRule="exact"/>
        <w:rPr>
          <w:rFonts w:ascii="Arial" w:eastAsia="Times New Roman" w:hAnsi="Arial" w:cs="Arial"/>
          <w:b/>
          <w:sz w:val="24"/>
          <w:szCs w:val="20"/>
          <w:lang w:eastAsia="en-GB"/>
        </w:rPr>
      </w:pPr>
      <w:r w:rsidRPr="00306B53">
        <w:rPr>
          <w:rFonts w:ascii="Arial" w:eastAsia="Times New Roman" w:hAnsi="Arial" w:cs="Arial"/>
          <w:b/>
          <w:sz w:val="24"/>
          <w:szCs w:val="20"/>
          <w:lang w:eastAsia="en-GB"/>
        </w:rPr>
        <w:t>Non-clinical workforce</w:t>
      </w:r>
    </w:p>
    <w:p w14:paraId="584B5B17" w14:textId="77777777" w:rsidR="006B48B2" w:rsidRPr="00306B53" w:rsidRDefault="006B48B2" w:rsidP="006B48B2">
      <w:pPr>
        <w:spacing w:after="0" w:line="301" w:lineRule="exact"/>
        <w:rPr>
          <w:rFonts w:ascii="Arial" w:eastAsia="Times New Roman" w:hAnsi="Arial" w:cs="Arial"/>
          <w:sz w:val="24"/>
          <w:szCs w:val="20"/>
          <w:lang w:eastAsia="en-GB"/>
        </w:rPr>
      </w:pPr>
    </w:p>
    <w:tbl>
      <w:tblPr>
        <w:tblStyle w:val="TableGrid1"/>
        <w:tblW w:w="0" w:type="auto"/>
        <w:tblInd w:w="0" w:type="dxa"/>
        <w:tblLook w:val="04A0" w:firstRow="1" w:lastRow="0" w:firstColumn="1" w:lastColumn="0" w:noHBand="0" w:noVBand="1"/>
      </w:tblPr>
      <w:tblGrid>
        <w:gridCol w:w="1803"/>
        <w:gridCol w:w="1803"/>
        <w:gridCol w:w="1803"/>
        <w:gridCol w:w="1803"/>
      </w:tblGrid>
      <w:tr w:rsidR="006B48B2" w:rsidRPr="00306B53" w14:paraId="0450B64D" w14:textId="77777777" w:rsidTr="00C06DAE">
        <w:tc>
          <w:tcPr>
            <w:tcW w:w="3606" w:type="dxa"/>
            <w:gridSpan w:val="2"/>
            <w:tcBorders>
              <w:top w:val="single" w:sz="4" w:space="0" w:color="auto"/>
              <w:left w:val="single" w:sz="4" w:space="0" w:color="auto"/>
              <w:bottom w:val="single" w:sz="4" w:space="0" w:color="auto"/>
              <w:right w:val="single" w:sz="4" w:space="0" w:color="auto"/>
            </w:tcBorders>
            <w:hideMark/>
          </w:tcPr>
          <w:p w14:paraId="5DF27053" w14:textId="77777777" w:rsidR="006B48B2" w:rsidRPr="00306B53" w:rsidRDefault="006B48B2" w:rsidP="00C06DAE">
            <w:pPr>
              <w:spacing w:line="301" w:lineRule="exact"/>
              <w:rPr>
                <w:rFonts w:ascii="Arial" w:eastAsia="Times New Roman" w:hAnsi="Arial" w:cs="Arial"/>
                <w:b/>
                <w:sz w:val="24"/>
                <w:szCs w:val="20"/>
              </w:rPr>
            </w:pPr>
            <w:r w:rsidRPr="00306B53">
              <w:rPr>
                <w:rFonts w:ascii="Arial" w:eastAsia="Times New Roman" w:hAnsi="Arial" w:cs="Arial"/>
                <w:b/>
                <w:sz w:val="24"/>
                <w:szCs w:val="20"/>
              </w:rPr>
              <w:t>31</w:t>
            </w:r>
            <w:r w:rsidRPr="00306B53">
              <w:rPr>
                <w:rFonts w:ascii="Arial" w:eastAsia="Times New Roman" w:hAnsi="Arial" w:cs="Arial"/>
                <w:b/>
                <w:sz w:val="24"/>
                <w:szCs w:val="20"/>
                <w:vertAlign w:val="superscript"/>
              </w:rPr>
              <w:t>st</w:t>
            </w:r>
            <w:r w:rsidRPr="00306B53">
              <w:rPr>
                <w:rFonts w:ascii="Arial" w:eastAsia="Times New Roman" w:hAnsi="Arial" w:cs="Arial"/>
                <w:b/>
                <w:sz w:val="24"/>
                <w:szCs w:val="20"/>
              </w:rPr>
              <w:t xml:space="preserve"> March 2024</w:t>
            </w:r>
          </w:p>
        </w:tc>
        <w:tc>
          <w:tcPr>
            <w:tcW w:w="3606" w:type="dxa"/>
            <w:gridSpan w:val="2"/>
            <w:tcBorders>
              <w:top w:val="single" w:sz="4" w:space="0" w:color="auto"/>
              <w:left w:val="single" w:sz="4" w:space="0" w:color="auto"/>
              <w:bottom w:val="single" w:sz="4" w:space="0" w:color="auto"/>
              <w:right w:val="single" w:sz="4" w:space="0" w:color="auto"/>
            </w:tcBorders>
            <w:hideMark/>
          </w:tcPr>
          <w:p w14:paraId="38CBFA5E" w14:textId="77777777" w:rsidR="006B48B2" w:rsidRPr="00306B53" w:rsidRDefault="006B48B2" w:rsidP="00C06DAE">
            <w:pPr>
              <w:spacing w:line="301" w:lineRule="exact"/>
              <w:rPr>
                <w:rFonts w:ascii="Arial" w:eastAsia="Times New Roman" w:hAnsi="Arial" w:cs="Arial"/>
                <w:b/>
                <w:sz w:val="24"/>
                <w:szCs w:val="20"/>
              </w:rPr>
            </w:pPr>
            <w:r w:rsidRPr="00306B53">
              <w:rPr>
                <w:rFonts w:ascii="Arial" w:eastAsia="Times New Roman" w:hAnsi="Arial" w:cs="Arial"/>
                <w:b/>
                <w:sz w:val="24"/>
                <w:szCs w:val="20"/>
              </w:rPr>
              <w:t>31</w:t>
            </w:r>
            <w:r w:rsidRPr="00306B53">
              <w:rPr>
                <w:rFonts w:ascii="Arial" w:eastAsia="Times New Roman" w:hAnsi="Arial" w:cs="Arial"/>
                <w:b/>
                <w:sz w:val="24"/>
                <w:szCs w:val="20"/>
                <w:vertAlign w:val="superscript"/>
              </w:rPr>
              <w:t>st</w:t>
            </w:r>
            <w:r w:rsidRPr="00306B53">
              <w:rPr>
                <w:rFonts w:ascii="Arial" w:eastAsia="Times New Roman" w:hAnsi="Arial" w:cs="Arial"/>
                <w:b/>
                <w:sz w:val="24"/>
                <w:szCs w:val="20"/>
              </w:rPr>
              <w:t xml:space="preserve"> March 2025</w:t>
            </w:r>
          </w:p>
        </w:tc>
      </w:tr>
      <w:tr w:rsidR="006B48B2" w:rsidRPr="00306B53" w14:paraId="233A92D3"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276E6CC2"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White</w:t>
            </w:r>
          </w:p>
        </w:tc>
        <w:tc>
          <w:tcPr>
            <w:tcW w:w="1803" w:type="dxa"/>
            <w:tcBorders>
              <w:top w:val="single" w:sz="4" w:space="0" w:color="auto"/>
              <w:left w:val="nil"/>
              <w:bottom w:val="single" w:sz="4" w:space="0" w:color="auto"/>
              <w:right w:val="single" w:sz="4" w:space="0" w:color="auto"/>
            </w:tcBorders>
            <w:hideMark/>
          </w:tcPr>
          <w:p w14:paraId="524F1E93"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1457</w:t>
            </w:r>
          </w:p>
        </w:tc>
        <w:tc>
          <w:tcPr>
            <w:tcW w:w="1803" w:type="dxa"/>
            <w:tcBorders>
              <w:top w:val="single" w:sz="4" w:space="0" w:color="auto"/>
              <w:left w:val="single" w:sz="4" w:space="0" w:color="auto"/>
              <w:bottom w:val="single" w:sz="4" w:space="0" w:color="auto"/>
              <w:right w:val="single" w:sz="4" w:space="0" w:color="auto"/>
            </w:tcBorders>
            <w:hideMark/>
          </w:tcPr>
          <w:p w14:paraId="4054CDE9"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White</w:t>
            </w:r>
          </w:p>
        </w:tc>
        <w:tc>
          <w:tcPr>
            <w:tcW w:w="1803" w:type="dxa"/>
            <w:tcBorders>
              <w:top w:val="single" w:sz="4" w:space="0" w:color="auto"/>
              <w:left w:val="single" w:sz="4" w:space="0" w:color="auto"/>
              <w:bottom w:val="single" w:sz="4" w:space="0" w:color="auto"/>
              <w:right w:val="single" w:sz="4" w:space="0" w:color="auto"/>
            </w:tcBorders>
            <w:hideMark/>
          </w:tcPr>
          <w:p w14:paraId="106C3BB0"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1418</w:t>
            </w:r>
          </w:p>
        </w:tc>
      </w:tr>
      <w:tr w:rsidR="006B48B2" w:rsidRPr="00306B53" w14:paraId="6FD3C5A5"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191F71DC"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BAME</w:t>
            </w:r>
          </w:p>
        </w:tc>
        <w:tc>
          <w:tcPr>
            <w:tcW w:w="1803" w:type="dxa"/>
            <w:tcBorders>
              <w:top w:val="single" w:sz="4" w:space="0" w:color="auto"/>
              <w:left w:val="nil"/>
              <w:bottom w:val="single" w:sz="4" w:space="0" w:color="auto"/>
              <w:right w:val="single" w:sz="4" w:space="0" w:color="auto"/>
            </w:tcBorders>
            <w:hideMark/>
          </w:tcPr>
          <w:p w14:paraId="665FCA27"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215</w:t>
            </w:r>
          </w:p>
        </w:tc>
        <w:tc>
          <w:tcPr>
            <w:tcW w:w="1803" w:type="dxa"/>
            <w:tcBorders>
              <w:top w:val="single" w:sz="4" w:space="0" w:color="auto"/>
              <w:left w:val="single" w:sz="4" w:space="0" w:color="auto"/>
              <w:bottom w:val="single" w:sz="4" w:space="0" w:color="auto"/>
              <w:right w:val="single" w:sz="4" w:space="0" w:color="auto"/>
            </w:tcBorders>
            <w:hideMark/>
          </w:tcPr>
          <w:p w14:paraId="03DB3415"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BAME</w:t>
            </w:r>
          </w:p>
        </w:tc>
        <w:tc>
          <w:tcPr>
            <w:tcW w:w="1803" w:type="dxa"/>
            <w:tcBorders>
              <w:top w:val="single" w:sz="4" w:space="0" w:color="auto"/>
              <w:left w:val="single" w:sz="4" w:space="0" w:color="auto"/>
              <w:bottom w:val="single" w:sz="4" w:space="0" w:color="auto"/>
              <w:right w:val="single" w:sz="4" w:space="0" w:color="auto"/>
            </w:tcBorders>
            <w:hideMark/>
          </w:tcPr>
          <w:p w14:paraId="0B69AB0D"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242</w:t>
            </w:r>
          </w:p>
        </w:tc>
      </w:tr>
      <w:tr w:rsidR="006B48B2" w:rsidRPr="00306B53" w14:paraId="174A8ABC"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2A52466D"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Unknown</w:t>
            </w:r>
          </w:p>
        </w:tc>
        <w:tc>
          <w:tcPr>
            <w:tcW w:w="1803" w:type="dxa"/>
            <w:tcBorders>
              <w:top w:val="single" w:sz="4" w:space="0" w:color="auto"/>
              <w:left w:val="nil"/>
              <w:bottom w:val="single" w:sz="4" w:space="0" w:color="auto"/>
              <w:right w:val="single" w:sz="4" w:space="0" w:color="auto"/>
            </w:tcBorders>
            <w:hideMark/>
          </w:tcPr>
          <w:p w14:paraId="31648443"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23</w:t>
            </w:r>
          </w:p>
        </w:tc>
        <w:tc>
          <w:tcPr>
            <w:tcW w:w="1803" w:type="dxa"/>
            <w:tcBorders>
              <w:top w:val="single" w:sz="4" w:space="0" w:color="auto"/>
              <w:left w:val="single" w:sz="4" w:space="0" w:color="auto"/>
              <w:bottom w:val="single" w:sz="4" w:space="0" w:color="auto"/>
              <w:right w:val="single" w:sz="4" w:space="0" w:color="auto"/>
            </w:tcBorders>
            <w:hideMark/>
          </w:tcPr>
          <w:p w14:paraId="7832CECF"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Unknown</w:t>
            </w:r>
          </w:p>
        </w:tc>
        <w:tc>
          <w:tcPr>
            <w:tcW w:w="1803" w:type="dxa"/>
            <w:tcBorders>
              <w:top w:val="single" w:sz="4" w:space="0" w:color="auto"/>
              <w:left w:val="single" w:sz="4" w:space="0" w:color="auto"/>
              <w:bottom w:val="single" w:sz="4" w:space="0" w:color="auto"/>
              <w:right w:val="single" w:sz="4" w:space="0" w:color="auto"/>
            </w:tcBorders>
            <w:hideMark/>
          </w:tcPr>
          <w:p w14:paraId="5034DE8C"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21</w:t>
            </w:r>
          </w:p>
        </w:tc>
      </w:tr>
      <w:tr w:rsidR="006B48B2" w:rsidRPr="00306B53" w14:paraId="7D90EEB2"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21B91B07"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hideMark/>
          </w:tcPr>
          <w:p w14:paraId="554E8F05"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1695</w:t>
            </w:r>
          </w:p>
        </w:tc>
        <w:tc>
          <w:tcPr>
            <w:tcW w:w="1803" w:type="dxa"/>
            <w:tcBorders>
              <w:top w:val="single" w:sz="4" w:space="0" w:color="auto"/>
              <w:left w:val="single" w:sz="4" w:space="0" w:color="auto"/>
              <w:bottom w:val="single" w:sz="4" w:space="0" w:color="auto"/>
              <w:right w:val="single" w:sz="4" w:space="0" w:color="auto"/>
            </w:tcBorders>
            <w:hideMark/>
          </w:tcPr>
          <w:p w14:paraId="41D1847D"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hideMark/>
          </w:tcPr>
          <w:p w14:paraId="1DD488CD"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1681</w:t>
            </w:r>
          </w:p>
        </w:tc>
      </w:tr>
    </w:tbl>
    <w:p w14:paraId="3C2214C8" w14:textId="77777777" w:rsidR="006B48B2" w:rsidRPr="00306B53" w:rsidRDefault="006B48B2" w:rsidP="006B48B2">
      <w:pPr>
        <w:spacing w:after="0" w:line="240" w:lineRule="auto"/>
        <w:rPr>
          <w:rFonts w:ascii="Calibri" w:eastAsia="Calibri" w:hAnsi="Calibri" w:cs="Arial"/>
          <w:sz w:val="20"/>
          <w:szCs w:val="20"/>
          <w:lang w:eastAsia="en-GB"/>
        </w:rPr>
      </w:pPr>
    </w:p>
    <w:p w14:paraId="028408B6" w14:textId="77777777" w:rsidR="006B48B2" w:rsidRPr="00306B53" w:rsidRDefault="006B48B2" w:rsidP="006B48B2">
      <w:pPr>
        <w:spacing w:after="0" w:line="301" w:lineRule="exact"/>
        <w:jc w:val="both"/>
        <w:rPr>
          <w:rFonts w:ascii="Arial" w:eastAsia="Times New Roman" w:hAnsi="Arial" w:cs="Arial"/>
          <w:sz w:val="24"/>
          <w:szCs w:val="20"/>
          <w:lang w:eastAsia="en-GB"/>
        </w:rPr>
      </w:pPr>
      <w:bookmarkStart w:id="0" w:name="_Hlk194677808"/>
      <w:r w:rsidRPr="00306B53">
        <w:rPr>
          <w:rFonts w:ascii="Arial" w:eastAsia="Times New Roman" w:hAnsi="Arial" w:cs="Arial"/>
          <w:sz w:val="24"/>
          <w:szCs w:val="20"/>
          <w:lang w:eastAsia="en-GB"/>
        </w:rPr>
        <w:t>As of March 2025, within the non-clinical workforce, 84.4% of staff were White, and 14.4% of staff were from Black &amp; Minority Ethnic backgrounds (an increase from 1.4% in the previous year).</w:t>
      </w:r>
    </w:p>
    <w:p w14:paraId="1E4EEF9B" w14:textId="77777777" w:rsidR="006B48B2" w:rsidRPr="00306B53" w:rsidRDefault="006B48B2" w:rsidP="006B48B2">
      <w:pPr>
        <w:spacing w:after="0" w:line="301" w:lineRule="exact"/>
        <w:jc w:val="both"/>
        <w:rPr>
          <w:rFonts w:ascii="Arial" w:eastAsia="Times New Roman" w:hAnsi="Arial" w:cs="Arial"/>
          <w:sz w:val="24"/>
          <w:szCs w:val="20"/>
          <w:lang w:eastAsia="en-GB"/>
        </w:rPr>
      </w:pPr>
    </w:p>
    <w:p w14:paraId="554ADDB5" w14:textId="77777777" w:rsidR="006B48B2" w:rsidRPr="00306B53" w:rsidRDefault="006B48B2" w:rsidP="006B48B2">
      <w:pPr>
        <w:spacing w:after="0" w:line="20" w:lineRule="exact"/>
        <w:rPr>
          <w:rFonts w:ascii="Times New Roman" w:eastAsia="Times New Roman" w:hAnsi="Times New Roman" w:cs="Arial"/>
          <w:sz w:val="20"/>
          <w:szCs w:val="20"/>
          <w:lang w:eastAsia="en-GB"/>
        </w:rPr>
      </w:pPr>
    </w:p>
    <w:p w14:paraId="342855C7" w14:textId="77777777" w:rsidR="006B48B2" w:rsidRPr="00306B53" w:rsidRDefault="006B48B2" w:rsidP="006B48B2">
      <w:pPr>
        <w:spacing w:after="0" w:line="240" w:lineRule="auto"/>
        <w:rPr>
          <w:rFonts w:ascii="Arial" w:eastAsia="Times New Roman" w:hAnsi="Arial" w:cs="Arial"/>
          <w:b/>
          <w:sz w:val="24"/>
          <w:szCs w:val="20"/>
          <w:lang w:eastAsia="en-GB"/>
        </w:rPr>
      </w:pPr>
      <w:r w:rsidRPr="00306B53">
        <w:rPr>
          <w:rFonts w:ascii="Arial" w:eastAsia="Times New Roman" w:hAnsi="Arial" w:cs="Arial"/>
          <w:b/>
          <w:sz w:val="24"/>
          <w:szCs w:val="20"/>
          <w:lang w:eastAsia="en-GB"/>
        </w:rPr>
        <w:t>Clinical workforce</w:t>
      </w:r>
    </w:p>
    <w:p w14:paraId="0A6F71C9" w14:textId="77777777" w:rsidR="006B48B2" w:rsidRPr="00306B53" w:rsidRDefault="006B48B2" w:rsidP="006B48B2">
      <w:pPr>
        <w:spacing w:after="0" w:line="240" w:lineRule="auto"/>
        <w:rPr>
          <w:rFonts w:ascii="Arial" w:eastAsia="Times New Roman" w:hAnsi="Arial" w:cs="Arial"/>
          <w:b/>
          <w:sz w:val="24"/>
          <w:szCs w:val="20"/>
          <w:lang w:eastAsia="en-GB"/>
        </w:rPr>
      </w:pPr>
    </w:p>
    <w:tbl>
      <w:tblPr>
        <w:tblStyle w:val="TableGrid1"/>
        <w:tblW w:w="0" w:type="auto"/>
        <w:tblInd w:w="0" w:type="dxa"/>
        <w:tblLook w:val="04A0" w:firstRow="1" w:lastRow="0" w:firstColumn="1" w:lastColumn="0" w:noHBand="0" w:noVBand="1"/>
      </w:tblPr>
      <w:tblGrid>
        <w:gridCol w:w="1803"/>
        <w:gridCol w:w="1803"/>
        <w:gridCol w:w="1803"/>
        <w:gridCol w:w="1803"/>
      </w:tblGrid>
      <w:tr w:rsidR="006B48B2" w:rsidRPr="00306B53" w14:paraId="67D53341" w14:textId="77777777" w:rsidTr="00C06DAE">
        <w:tc>
          <w:tcPr>
            <w:tcW w:w="3606" w:type="dxa"/>
            <w:gridSpan w:val="2"/>
            <w:tcBorders>
              <w:top w:val="single" w:sz="4" w:space="0" w:color="auto"/>
              <w:left w:val="single" w:sz="4" w:space="0" w:color="auto"/>
              <w:bottom w:val="single" w:sz="4" w:space="0" w:color="auto"/>
              <w:right w:val="single" w:sz="4" w:space="0" w:color="auto"/>
            </w:tcBorders>
            <w:hideMark/>
          </w:tcPr>
          <w:p w14:paraId="706CF23A" w14:textId="77777777" w:rsidR="006B48B2" w:rsidRPr="00306B53" w:rsidRDefault="006B48B2" w:rsidP="00C06DAE">
            <w:pPr>
              <w:spacing w:line="301" w:lineRule="exact"/>
              <w:rPr>
                <w:rFonts w:ascii="Arial" w:eastAsia="Times New Roman" w:hAnsi="Arial" w:cs="Arial"/>
                <w:b/>
                <w:sz w:val="24"/>
                <w:szCs w:val="20"/>
              </w:rPr>
            </w:pPr>
            <w:r w:rsidRPr="00306B53">
              <w:rPr>
                <w:rFonts w:ascii="Arial" w:eastAsia="Times New Roman" w:hAnsi="Arial" w:cs="Arial"/>
                <w:b/>
                <w:sz w:val="24"/>
                <w:szCs w:val="20"/>
              </w:rPr>
              <w:t>31</w:t>
            </w:r>
            <w:r w:rsidRPr="00306B53">
              <w:rPr>
                <w:rFonts w:ascii="Arial" w:eastAsia="Times New Roman" w:hAnsi="Arial" w:cs="Arial"/>
                <w:b/>
                <w:sz w:val="24"/>
                <w:szCs w:val="20"/>
                <w:vertAlign w:val="superscript"/>
              </w:rPr>
              <w:t>st</w:t>
            </w:r>
            <w:r w:rsidRPr="00306B53">
              <w:rPr>
                <w:rFonts w:ascii="Arial" w:eastAsia="Times New Roman" w:hAnsi="Arial" w:cs="Arial"/>
                <w:b/>
                <w:sz w:val="24"/>
                <w:szCs w:val="20"/>
              </w:rPr>
              <w:t xml:space="preserve"> March 2024</w:t>
            </w:r>
          </w:p>
        </w:tc>
        <w:tc>
          <w:tcPr>
            <w:tcW w:w="3606" w:type="dxa"/>
            <w:gridSpan w:val="2"/>
            <w:tcBorders>
              <w:top w:val="single" w:sz="4" w:space="0" w:color="auto"/>
              <w:left w:val="single" w:sz="4" w:space="0" w:color="auto"/>
              <w:bottom w:val="single" w:sz="4" w:space="0" w:color="auto"/>
              <w:right w:val="single" w:sz="4" w:space="0" w:color="auto"/>
            </w:tcBorders>
            <w:hideMark/>
          </w:tcPr>
          <w:p w14:paraId="1E957C7B" w14:textId="77777777" w:rsidR="006B48B2" w:rsidRPr="00306B53" w:rsidRDefault="006B48B2" w:rsidP="00C06DAE">
            <w:pPr>
              <w:spacing w:line="301" w:lineRule="exact"/>
              <w:rPr>
                <w:rFonts w:ascii="Arial" w:eastAsia="Times New Roman" w:hAnsi="Arial" w:cs="Arial"/>
                <w:b/>
                <w:sz w:val="24"/>
                <w:szCs w:val="20"/>
              </w:rPr>
            </w:pPr>
            <w:r w:rsidRPr="00306B53">
              <w:rPr>
                <w:rFonts w:ascii="Arial" w:eastAsia="Times New Roman" w:hAnsi="Arial" w:cs="Arial"/>
                <w:b/>
                <w:sz w:val="24"/>
                <w:szCs w:val="20"/>
              </w:rPr>
              <w:t>31</w:t>
            </w:r>
            <w:r w:rsidRPr="00306B53">
              <w:rPr>
                <w:rFonts w:ascii="Arial" w:eastAsia="Times New Roman" w:hAnsi="Arial" w:cs="Arial"/>
                <w:b/>
                <w:sz w:val="24"/>
                <w:szCs w:val="20"/>
                <w:vertAlign w:val="superscript"/>
              </w:rPr>
              <w:t>st</w:t>
            </w:r>
            <w:r w:rsidRPr="00306B53">
              <w:rPr>
                <w:rFonts w:ascii="Arial" w:eastAsia="Times New Roman" w:hAnsi="Arial" w:cs="Arial"/>
                <w:b/>
                <w:sz w:val="24"/>
                <w:szCs w:val="20"/>
              </w:rPr>
              <w:t xml:space="preserve"> March 2025</w:t>
            </w:r>
          </w:p>
        </w:tc>
      </w:tr>
      <w:tr w:rsidR="006B48B2" w:rsidRPr="00306B53" w14:paraId="7DEBFC7D"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791C23C5"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White</w:t>
            </w:r>
          </w:p>
        </w:tc>
        <w:tc>
          <w:tcPr>
            <w:tcW w:w="1803" w:type="dxa"/>
            <w:tcBorders>
              <w:top w:val="single" w:sz="4" w:space="0" w:color="auto"/>
              <w:left w:val="nil"/>
              <w:bottom w:val="single" w:sz="4" w:space="0" w:color="auto"/>
              <w:right w:val="single" w:sz="4" w:space="0" w:color="auto"/>
            </w:tcBorders>
            <w:hideMark/>
          </w:tcPr>
          <w:p w14:paraId="479530A1"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3051</w:t>
            </w:r>
          </w:p>
        </w:tc>
        <w:tc>
          <w:tcPr>
            <w:tcW w:w="1803" w:type="dxa"/>
            <w:tcBorders>
              <w:top w:val="single" w:sz="4" w:space="0" w:color="auto"/>
              <w:left w:val="single" w:sz="4" w:space="0" w:color="auto"/>
              <w:bottom w:val="single" w:sz="4" w:space="0" w:color="auto"/>
              <w:right w:val="single" w:sz="4" w:space="0" w:color="auto"/>
            </w:tcBorders>
            <w:hideMark/>
          </w:tcPr>
          <w:p w14:paraId="41777844"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White</w:t>
            </w:r>
          </w:p>
        </w:tc>
        <w:tc>
          <w:tcPr>
            <w:tcW w:w="1803" w:type="dxa"/>
            <w:tcBorders>
              <w:top w:val="single" w:sz="4" w:space="0" w:color="auto"/>
              <w:left w:val="single" w:sz="4" w:space="0" w:color="auto"/>
              <w:bottom w:val="single" w:sz="4" w:space="0" w:color="auto"/>
              <w:right w:val="single" w:sz="4" w:space="0" w:color="auto"/>
            </w:tcBorders>
            <w:hideMark/>
          </w:tcPr>
          <w:p w14:paraId="1F4D9223"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2861</w:t>
            </w:r>
          </w:p>
        </w:tc>
      </w:tr>
      <w:tr w:rsidR="006B48B2" w:rsidRPr="00306B53" w14:paraId="40881666"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614234F4"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BAME</w:t>
            </w:r>
          </w:p>
        </w:tc>
        <w:tc>
          <w:tcPr>
            <w:tcW w:w="1803" w:type="dxa"/>
            <w:tcBorders>
              <w:top w:val="single" w:sz="4" w:space="0" w:color="auto"/>
              <w:left w:val="nil"/>
              <w:bottom w:val="single" w:sz="4" w:space="0" w:color="auto"/>
              <w:right w:val="single" w:sz="4" w:space="0" w:color="auto"/>
            </w:tcBorders>
            <w:hideMark/>
          </w:tcPr>
          <w:p w14:paraId="43F6640F"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1383</w:t>
            </w:r>
          </w:p>
        </w:tc>
        <w:tc>
          <w:tcPr>
            <w:tcW w:w="1803" w:type="dxa"/>
            <w:tcBorders>
              <w:top w:val="single" w:sz="4" w:space="0" w:color="auto"/>
              <w:left w:val="single" w:sz="4" w:space="0" w:color="auto"/>
              <w:bottom w:val="single" w:sz="4" w:space="0" w:color="auto"/>
              <w:right w:val="single" w:sz="4" w:space="0" w:color="auto"/>
            </w:tcBorders>
            <w:hideMark/>
          </w:tcPr>
          <w:p w14:paraId="5E69711C"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BAME</w:t>
            </w:r>
          </w:p>
        </w:tc>
        <w:tc>
          <w:tcPr>
            <w:tcW w:w="1803" w:type="dxa"/>
            <w:tcBorders>
              <w:top w:val="single" w:sz="4" w:space="0" w:color="auto"/>
              <w:left w:val="single" w:sz="4" w:space="0" w:color="auto"/>
              <w:bottom w:val="single" w:sz="4" w:space="0" w:color="auto"/>
              <w:right w:val="single" w:sz="4" w:space="0" w:color="auto"/>
            </w:tcBorders>
            <w:hideMark/>
          </w:tcPr>
          <w:p w14:paraId="0E251AF6"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1261</w:t>
            </w:r>
          </w:p>
        </w:tc>
      </w:tr>
      <w:tr w:rsidR="006B48B2" w:rsidRPr="00306B53" w14:paraId="146F6D8F"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3FD02863"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Unknown</w:t>
            </w:r>
          </w:p>
        </w:tc>
        <w:tc>
          <w:tcPr>
            <w:tcW w:w="1803" w:type="dxa"/>
            <w:tcBorders>
              <w:top w:val="single" w:sz="4" w:space="0" w:color="auto"/>
              <w:left w:val="nil"/>
              <w:bottom w:val="single" w:sz="4" w:space="0" w:color="auto"/>
              <w:right w:val="single" w:sz="4" w:space="0" w:color="auto"/>
            </w:tcBorders>
            <w:hideMark/>
          </w:tcPr>
          <w:p w14:paraId="2FAA35EF"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128</w:t>
            </w:r>
          </w:p>
        </w:tc>
        <w:tc>
          <w:tcPr>
            <w:tcW w:w="1803" w:type="dxa"/>
            <w:tcBorders>
              <w:top w:val="single" w:sz="4" w:space="0" w:color="auto"/>
              <w:left w:val="single" w:sz="4" w:space="0" w:color="auto"/>
              <w:bottom w:val="single" w:sz="4" w:space="0" w:color="auto"/>
              <w:right w:val="single" w:sz="4" w:space="0" w:color="auto"/>
            </w:tcBorders>
            <w:hideMark/>
          </w:tcPr>
          <w:p w14:paraId="2FE3CEBE"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Unknown</w:t>
            </w:r>
          </w:p>
        </w:tc>
        <w:tc>
          <w:tcPr>
            <w:tcW w:w="1803" w:type="dxa"/>
            <w:tcBorders>
              <w:top w:val="single" w:sz="4" w:space="0" w:color="auto"/>
              <w:left w:val="single" w:sz="4" w:space="0" w:color="auto"/>
              <w:bottom w:val="single" w:sz="4" w:space="0" w:color="auto"/>
              <w:right w:val="single" w:sz="4" w:space="0" w:color="auto"/>
            </w:tcBorders>
            <w:hideMark/>
          </w:tcPr>
          <w:p w14:paraId="517F1C59"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92</w:t>
            </w:r>
          </w:p>
        </w:tc>
      </w:tr>
      <w:tr w:rsidR="006B48B2" w:rsidRPr="00306B53" w14:paraId="7EB93C08"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11CAB7A8"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hideMark/>
          </w:tcPr>
          <w:p w14:paraId="28F45E0E"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4562</w:t>
            </w:r>
          </w:p>
        </w:tc>
        <w:tc>
          <w:tcPr>
            <w:tcW w:w="1803" w:type="dxa"/>
            <w:tcBorders>
              <w:top w:val="single" w:sz="4" w:space="0" w:color="auto"/>
              <w:left w:val="single" w:sz="4" w:space="0" w:color="auto"/>
              <w:bottom w:val="single" w:sz="4" w:space="0" w:color="auto"/>
              <w:right w:val="single" w:sz="4" w:space="0" w:color="auto"/>
            </w:tcBorders>
            <w:hideMark/>
          </w:tcPr>
          <w:p w14:paraId="41C91780"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hideMark/>
          </w:tcPr>
          <w:p w14:paraId="5A97703A"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4214</w:t>
            </w:r>
          </w:p>
        </w:tc>
      </w:tr>
    </w:tbl>
    <w:p w14:paraId="2340EC61" w14:textId="77777777" w:rsidR="006B48B2" w:rsidRPr="00306B53" w:rsidRDefault="006B48B2" w:rsidP="006B48B2">
      <w:pPr>
        <w:spacing w:after="0" w:line="240" w:lineRule="auto"/>
        <w:rPr>
          <w:rFonts w:ascii="Arial" w:eastAsia="Calibri" w:hAnsi="Arial" w:cs="Arial"/>
          <w:sz w:val="24"/>
          <w:szCs w:val="20"/>
          <w:lang w:eastAsia="en-GB"/>
        </w:rPr>
      </w:pPr>
    </w:p>
    <w:p w14:paraId="0CB90741"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As of March 2025, within the clinical workforce, 67.9% of staff are White, and 29.9% are from BAME backgrounds (a decrease of 0.01% on the previous year).</w:t>
      </w:r>
    </w:p>
    <w:p w14:paraId="3157FD10" w14:textId="77777777" w:rsidR="006B48B2" w:rsidRPr="00306B53" w:rsidRDefault="006B48B2" w:rsidP="006B48B2">
      <w:pPr>
        <w:spacing w:after="0" w:line="240" w:lineRule="auto"/>
        <w:jc w:val="both"/>
        <w:rPr>
          <w:rFonts w:ascii="Arial" w:eastAsia="Calibri" w:hAnsi="Arial" w:cs="Arial"/>
          <w:sz w:val="24"/>
          <w:szCs w:val="20"/>
          <w:lang w:eastAsia="en-GB"/>
        </w:rPr>
      </w:pPr>
    </w:p>
    <w:p w14:paraId="17942E59"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Figure 1 (</w:t>
      </w:r>
      <w:r w:rsidRPr="00306B53">
        <w:rPr>
          <w:rFonts w:ascii="Arial" w:eastAsia="Calibri" w:hAnsi="Arial" w:cs="Arial"/>
          <w:i/>
          <w:sz w:val="24"/>
          <w:szCs w:val="24"/>
          <w:lang w:eastAsia="en-GB"/>
        </w:rPr>
        <w:t>overleaf</w:t>
      </w:r>
      <w:r w:rsidRPr="00306B53">
        <w:rPr>
          <w:rFonts w:ascii="Arial" w:eastAsia="Calibri" w:hAnsi="Arial" w:cs="Arial"/>
          <w:sz w:val="24"/>
          <w:szCs w:val="24"/>
          <w:lang w:eastAsia="en-GB"/>
        </w:rPr>
        <w:t xml:space="preserve">) shows the proportion of White and BAME staff in each of the </w:t>
      </w:r>
      <w:proofErr w:type="spellStart"/>
      <w:r w:rsidRPr="00306B53">
        <w:rPr>
          <w:rFonts w:ascii="Arial" w:eastAsia="Calibri" w:hAnsi="Arial" w:cs="Arial"/>
          <w:sz w:val="24"/>
          <w:szCs w:val="24"/>
          <w:lang w:eastAsia="en-GB"/>
        </w:rPr>
        <w:t>AfC</w:t>
      </w:r>
      <w:proofErr w:type="spellEnd"/>
      <w:r w:rsidRPr="00306B53">
        <w:rPr>
          <w:rFonts w:ascii="Arial" w:eastAsia="Calibri" w:hAnsi="Arial" w:cs="Arial"/>
          <w:sz w:val="24"/>
          <w:szCs w:val="24"/>
          <w:lang w:eastAsia="en-GB"/>
        </w:rPr>
        <w:t xml:space="preserve"> pay bands within the non-clinical workforce. </w:t>
      </w:r>
    </w:p>
    <w:p w14:paraId="2AC2D683"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0FAC32B0"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In summary the data shows:</w:t>
      </w:r>
    </w:p>
    <w:p w14:paraId="5C214E45" w14:textId="77777777" w:rsidR="006B48B2" w:rsidRPr="00306B53" w:rsidRDefault="006B48B2" w:rsidP="006B48B2">
      <w:pPr>
        <w:spacing w:after="0" w:line="240" w:lineRule="auto"/>
        <w:jc w:val="both"/>
        <w:rPr>
          <w:rFonts w:ascii="Arial" w:eastAsia="Calibri" w:hAnsi="Arial" w:cs="Arial"/>
          <w:sz w:val="24"/>
          <w:szCs w:val="20"/>
          <w:lang w:eastAsia="en-GB"/>
        </w:rPr>
      </w:pPr>
    </w:p>
    <w:p w14:paraId="04C4A016" w14:textId="77777777" w:rsidR="006B48B2" w:rsidRPr="00306B53" w:rsidRDefault="006B48B2" w:rsidP="006B48B2">
      <w:pPr>
        <w:numPr>
          <w:ilvl w:val="0"/>
          <w:numId w:val="3"/>
        </w:num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There has been little movement across the majority of pay bands, with small increases of BAME representation at band 1,2,3, 7, 8A and 8B.</w:t>
      </w:r>
    </w:p>
    <w:p w14:paraId="063E1881" w14:textId="77777777" w:rsidR="006B48B2" w:rsidRPr="00306B53" w:rsidRDefault="006B48B2" w:rsidP="006B48B2">
      <w:pPr>
        <w:spacing w:after="0" w:line="240" w:lineRule="auto"/>
        <w:jc w:val="both"/>
        <w:rPr>
          <w:rFonts w:ascii="Arial" w:eastAsia="Calibri" w:hAnsi="Arial" w:cs="Arial"/>
          <w:sz w:val="24"/>
          <w:szCs w:val="20"/>
          <w:lang w:eastAsia="en-GB"/>
        </w:rPr>
      </w:pPr>
    </w:p>
    <w:p w14:paraId="173EBC4C" w14:textId="77777777" w:rsidR="006B48B2" w:rsidRPr="00306B53" w:rsidRDefault="006B48B2" w:rsidP="006B48B2">
      <w:pPr>
        <w:spacing w:after="0" w:line="240" w:lineRule="auto"/>
        <w:rPr>
          <w:rFonts w:ascii="Calibri" w:eastAsia="Calibri" w:hAnsi="Calibri" w:cs="Arial"/>
          <w:sz w:val="20"/>
          <w:szCs w:val="20"/>
          <w:lang w:eastAsia="en-GB"/>
        </w:rPr>
      </w:pPr>
    </w:p>
    <w:p w14:paraId="5CCA6242" w14:textId="77777777" w:rsidR="006B48B2" w:rsidRPr="00306B53" w:rsidRDefault="006B48B2" w:rsidP="006B48B2">
      <w:pPr>
        <w:spacing w:after="0" w:line="240" w:lineRule="auto"/>
        <w:rPr>
          <w:rFonts w:ascii="Calibri" w:eastAsia="Calibri" w:hAnsi="Calibri" w:cs="Arial"/>
          <w:sz w:val="20"/>
          <w:szCs w:val="20"/>
          <w:lang w:eastAsia="en-GB"/>
        </w:rPr>
      </w:pPr>
    </w:p>
    <w:p w14:paraId="5B287616" w14:textId="77777777" w:rsidR="006B48B2" w:rsidRPr="00306B53" w:rsidRDefault="006B48B2" w:rsidP="006B48B2">
      <w:pPr>
        <w:spacing w:after="0" w:line="240" w:lineRule="auto"/>
        <w:rPr>
          <w:rFonts w:ascii="Calibri" w:eastAsia="Calibri" w:hAnsi="Calibri" w:cs="Arial"/>
          <w:sz w:val="20"/>
          <w:szCs w:val="20"/>
          <w:lang w:eastAsia="en-GB"/>
        </w:rPr>
      </w:pPr>
    </w:p>
    <w:p w14:paraId="3A470A5A" w14:textId="77777777" w:rsidR="006B48B2" w:rsidRPr="00306B53" w:rsidRDefault="006B48B2" w:rsidP="006B48B2">
      <w:pPr>
        <w:spacing w:after="0" w:line="240" w:lineRule="auto"/>
        <w:rPr>
          <w:rFonts w:ascii="Calibri" w:eastAsia="Calibri" w:hAnsi="Calibri" w:cs="Arial"/>
          <w:sz w:val="20"/>
          <w:szCs w:val="20"/>
          <w:lang w:eastAsia="en-GB"/>
        </w:rPr>
      </w:pPr>
    </w:p>
    <w:p w14:paraId="5264E8CC" w14:textId="77777777" w:rsidR="006B48B2" w:rsidRPr="00306B53" w:rsidRDefault="006B48B2" w:rsidP="006B48B2">
      <w:pPr>
        <w:spacing w:after="0" w:line="240" w:lineRule="auto"/>
        <w:rPr>
          <w:rFonts w:ascii="Calibri" w:eastAsia="Calibri" w:hAnsi="Calibri" w:cs="Arial"/>
          <w:sz w:val="20"/>
          <w:szCs w:val="20"/>
          <w:lang w:eastAsia="en-GB"/>
        </w:rPr>
      </w:pPr>
    </w:p>
    <w:p w14:paraId="0443CC9B" w14:textId="77777777" w:rsidR="006B48B2" w:rsidRPr="00306B53" w:rsidRDefault="006B48B2" w:rsidP="006B48B2">
      <w:pPr>
        <w:spacing w:after="0" w:line="240" w:lineRule="auto"/>
        <w:rPr>
          <w:rFonts w:ascii="Calibri" w:eastAsia="Calibri" w:hAnsi="Calibri" w:cs="Arial"/>
          <w:sz w:val="20"/>
          <w:szCs w:val="20"/>
          <w:lang w:eastAsia="en-GB"/>
        </w:rPr>
      </w:pPr>
    </w:p>
    <w:p w14:paraId="380CF867" w14:textId="77777777" w:rsidR="006B48B2" w:rsidRPr="00306B53" w:rsidRDefault="006B48B2" w:rsidP="006B48B2">
      <w:pPr>
        <w:spacing w:after="0" w:line="240" w:lineRule="auto"/>
        <w:rPr>
          <w:rFonts w:ascii="Arial" w:eastAsia="Calibri" w:hAnsi="Arial" w:cs="Arial"/>
          <w:i/>
          <w:szCs w:val="20"/>
          <w:lang w:eastAsia="en-GB"/>
        </w:rPr>
      </w:pPr>
      <w:r w:rsidRPr="00306B53">
        <w:rPr>
          <w:rFonts w:ascii="Calibri" w:eastAsia="Calibri" w:hAnsi="Calibri" w:cs="Arial"/>
          <w:noProof/>
          <w:sz w:val="20"/>
          <w:szCs w:val="20"/>
          <w:lang w:eastAsia="en-GB"/>
        </w:rPr>
        <w:lastRenderedPageBreak/>
        <w:drawing>
          <wp:anchor distT="0" distB="0" distL="114300" distR="114300" simplePos="0" relativeHeight="251660288" behindDoc="0" locked="0" layoutInCell="1" allowOverlap="1" wp14:anchorId="77E8C84C" wp14:editId="38590E36">
            <wp:simplePos x="0" y="0"/>
            <wp:positionH relativeFrom="column">
              <wp:posOffset>-547370</wp:posOffset>
            </wp:positionH>
            <wp:positionV relativeFrom="paragraph">
              <wp:posOffset>313690</wp:posOffset>
            </wp:positionV>
            <wp:extent cx="6870065" cy="3242945"/>
            <wp:effectExtent l="0" t="0" r="6985" b="14605"/>
            <wp:wrapThrough wrapText="bothSides">
              <wp:wrapPolygon edited="0">
                <wp:start x="0" y="0"/>
                <wp:lineTo x="0" y="21570"/>
                <wp:lineTo x="21562" y="21570"/>
                <wp:lineTo x="21562" y="0"/>
                <wp:lineTo x="0" y="0"/>
              </wp:wrapPolygon>
            </wp:wrapThrough>
            <wp:docPr id="24" name="Chart 1">
              <a:extLst xmlns:a="http://schemas.openxmlformats.org/drawingml/2006/main">
                <a:ext uri="{FF2B5EF4-FFF2-40B4-BE49-F238E27FC236}">
                  <a16:creationId xmlns:a16="http://schemas.microsoft.com/office/drawing/2014/main" id="{D8236FDC-E0A9-9ED9-B324-C809C1DF0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306B53">
        <w:rPr>
          <w:rFonts w:ascii="Arial" w:eastAsia="Calibri" w:hAnsi="Arial" w:cs="Arial"/>
          <w:i/>
          <w:szCs w:val="20"/>
          <w:lang w:eastAsia="en-GB"/>
        </w:rPr>
        <w:t>Figure 1</w:t>
      </w:r>
    </w:p>
    <w:p w14:paraId="64A253B1" w14:textId="77777777" w:rsidR="006B48B2" w:rsidRPr="00306B53" w:rsidRDefault="006B48B2" w:rsidP="006B48B2">
      <w:pPr>
        <w:spacing w:after="0" w:line="240" w:lineRule="auto"/>
        <w:jc w:val="both"/>
        <w:rPr>
          <w:rFonts w:ascii="Arial" w:eastAsia="Calibri" w:hAnsi="Arial" w:cs="Arial"/>
          <w:sz w:val="24"/>
          <w:szCs w:val="24"/>
          <w:lang w:eastAsia="en-GB"/>
        </w:rPr>
      </w:pPr>
    </w:p>
    <w:p w14:paraId="4271AA0E"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The table below shows the changes at each </w:t>
      </w:r>
      <w:proofErr w:type="spellStart"/>
      <w:r w:rsidRPr="00306B53">
        <w:rPr>
          <w:rFonts w:ascii="Arial" w:eastAsia="Calibri" w:hAnsi="Arial" w:cs="Arial"/>
          <w:sz w:val="24"/>
          <w:szCs w:val="24"/>
          <w:lang w:eastAsia="en-GB"/>
        </w:rPr>
        <w:t>AfC</w:t>
      </w:r>
      <w:proofErr w:type="spellEnd"/>
      <w:r w:rsidRPr="00306B53">
        <w:rPr>
          <w:rFonts w:ascii="Arial" w:eastAsia="Calibri" w:hAnsi="Arial" w:cs="Arial"/>
          <w:sz w:val="24"/>
          <w:szCs w:val="24"/>
          <w:lang w:eastAsia="en-GB"/>
        </w:rPr>
        <w:t xml:space="preserve"> band between 2024 and 2025. </w:t>
      </w:r>
    </w:p>
    <w:p w14:paraId="1D95C57D" w14:textId="77777777" w:rsidR="006B48B2" w:rsidRPr="00306B53" w:rsidRDefault="006B48B2" w:rsidP="006B48B2">
      <w:pPr>
        <w:spacing w:after="0" w:line="240" w:lineRule="auto"/>
        <w:jc w:val="both"/>
        <w:rPr>
          <w:rFonts w:ascii="Arial" w:eastAsia="Calibri" w:hAnsi="Arial" w:cs="Arial"/>
          <w:sz w:val="24"/>
          <w:szCs w:val="24"/>
          <w:lang w:eastAsia="en-GB"/>
        </w:rPr>
      </w:pPr>
    </w:p>
    <w:tbl>
      <w:tblPr>
        <w:tblW w:w="6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64"/>
        <w:gridCol w:w="1697"/>
        <w:gridCol w:w="1930"/>
      </w:tblGrid>
      <w:tr w:rsidR="006B48B2" w:rsidRPr="00306B53" w14:paraId="73AB290A"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tcPr>
          <w:p w14:paraId="15C5FD31" w14:textId="77777777" w:rsidR="006B48B2" w:rsidRPr="00306B53" w:rsidRDefault="006B48B2" w:rsidP="00C06DAE">
            <w:pPr>
              <w:spacing w:after="0" w:line="256" w:lineRule="auto"/>
              <w:jc w:val="center"/>
              <w:rPr>
                <w:rFonts w:ascii="Arial" w:eastAsia="Times New Roman" w:hAnsi="Arial" w:cs="Arial"/>
                <w:b/>
                <w:color w:val="000000"/>
              </w:rPr>
            </w:pPr>
          </w:p>
        </w:tc>
        <w:tc>
          <w:tcPr>
            <w:tcW w:w="5191" w:type="dxa"/>
            <w:gridSpan w:val="3"/>
            <w:tcBorders>
              <w:top w:val="single" w:sz="4" w:space="0" w:color="auto"/>
              <w:left w:val="single" w:sz="4" w:space="0" w:color="auto"/>
              <w:bottom w:val="single" w:sz="4" w:space="0" w:color="auto"/>
              <w:right w:val="single" w:sz="4" w:space="0" w:color="auto"/>
            </w:tcBorders>
            <w:noWrap/>
            <w:vAlign w:val="bottom"/>
            <w:hideMark/>
          </w:tcPr>
          <w:p w14:paraId="678EFDCA" w14:textId="77777777" w:rsidR="006B48B2" w:rsidRPr="00306B53" w:rsidRDefault="006B48B2"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 movement per band</w:t>
            </w:r>
          </w:p>
        </w:tc>
      </w:tr>
      <w:tr w:rsidR="006B48B2" w:rsidRPr="00306B53" w14:paraId="7B70E6CB"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8524BBD" w14:textId="77777777" w:rsidR="006B48B2" w:rsidRPr="00306B53" w:rsidRDefault="006B48B2" w:rsidP="00C06DAE">
            <w:pPr>
              <w:spacing w:after="0" w:line="256" w:lineRule="auto"/>
              <w:rPr>
                <w:rFonts w:ascii="Arial" w:eastAsia="Times New Roman" w:hAnsi="Arial" w:cs="Arial"/>
                <w:b/>
                <w:color w:val="000000"/>
              </w:rPr>
            </w:pPr>
            <w:proofErr w:type="spell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83042BD"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White 2025</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E7D2586"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BAME 2025 </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32156FDB"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Unknown 2025</w:t>
            </w:r>
          </w:p>
        </w:tc>
      </w:tr>
      <w:tr w:rsidR="006B48B2" w:rsidRPr="00306B53" w14:paraId="5C965E2F"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3552E97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1</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8D34D7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D50139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340C72A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5A9B1871"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FA806C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2</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C196BCB"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649209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2E750705"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26FE8AA9"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B0587C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3</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6E36F09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CB921D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4%</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7553B2C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2B33DFE6"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E1A2D5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4</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D4B3CE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A6D186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764E0C1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1949A4AE"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0213DEB"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5</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6511F2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12549F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4E93DB1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6EE861B6"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393F631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6</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FC8D52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6A504D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3B697B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103DF216"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63F96F7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7</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335F4E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80054F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3FC8AA6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r>
      <w:tr w:rsidR="006B48B2" w:rsidRPr="00306B53" w14:paraId="59B5088A"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337CE01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8A</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8AE226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2B6BBFC3"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5FA8619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r>
      <w:tr w:rsidR="006B48B2" w:rsidRPr="00306B53" w14:paraId="5490D3EC"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11158DC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8B</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2ED81A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C93ECD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01F2A42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4AC96BE7"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531ED775"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8C</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613C825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96201F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FF2A5A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4160D498"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2C3D695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8D</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AFF0213"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3FF7A1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AFB2FA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74F9CEAC"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3AC88F7B"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9</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B35275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01341825"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468EF27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6023D3D0"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2E7A8E4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VSM</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EB1F68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C4AF7E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3160DF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bl>
    <w:p w14:paraId="5981CD25" w14:textId="77777777" w:rsidR="006B48B2" w:rsidRPr="00306B53" w:rsidRDefault="006B48B2" w:rsidP="006B48B2">
      <w:pPr>
        <w:spacing w:after="0" w:line="240" w:lineRule="auto"/>
        <w:jc w:val="both"/>
        <w:rPr>
          <w:rFonts w:ascii="Arial" w:eastAsia="Calibri" w:hAnsi="Arial" w:cs="Arial"/>
          <w:sz w:val="24"/>
          <w:szCs w:val="24"/>
          <w:lang w:eastAsia="en-GB"/>
        </w:rPr>
      </w:pPr>
    </w:p>
    <w:p w14:paraId="63A7E493" w14:textId="77777777" w:rsidR="006B48B2" w:rsidRPr="00306B53" w:rsidRDefault="006B48B2" w:rsidP="006B48B2">
      <w:pPr>
        <w:spacing w:after="0" w:line="240" w:lineRule="auto"/>
        <w:jc w:val="both"/>
        <w:rPr>
          <w:rFonts w:ascii="Arial" w:eastAsia="Calibri" w:hAnsi="Arial" w:cs="Arial"/>
          <w:sz w:val="24"/>
          <w:szCs w:val="24"/>
          <w:lang w:eastAsia="en-GB"/>
        </w:rPr>
      </w:pPr>
    </w:p>
    <w:p w14:paraId="3AF8B6F7" w14:textId="77777777" w:rsidR="006B48B2" w:rsidRPr="00306B53" w:rsidRDefault="006B48B2" w:rsidP="006B48B2">
      <w:pPr>
        <w:spacing w:after="0" w:line="240" w:lineRule="auto"/>
        <w:jc w:val="both"/>
        <w:rPr>
          <w:rFonts w:ascii="Arial" w:eastAsia="Calibri" w:hAnsi="Arial" w:cs="Arial"/>
          <w:sz w:val="24"/>
          <w:szCs w:val="24"/>
          <w:lang w:eastAsia="en-GB"/>
        </w:rPr>
      </w:pPr>
    </w:p>
    <w:p w14:paraId="728FFA38" w14:textId="77777777" w:rsidR="006B48B2" w:rsidRPr="00306B53" w:rsidRDefault="006B48B2" w:rsidP="006B48B2">
      <w:pPr>
        <w:spacing w:after="0" w:line="240" w:lineRule="auto"/>
        <w:jc w:val="both"/>
        <w:rPr>
          <w:rFonts w:ascii="Arial" w:eastAsia="Calibri" w:hAnsi="Arial" w:cs="Arial"/>
          <w:sz w:val="24"/>
          <w:szCs w:val="24"/>
          <w:lang w:eastAsia="en-GB"/>
        </w:rPr>
      </w:pPr>
    </w:p>
    <w:p w14:paraId="187F240B" w14:textId="77777777" w:rsidR="006B48B2" w:rsidRPr="00306B53" w:rsidRDefault="006B48B2" w:rsidP="006B48B2">
      <w:pPr>
        <w:spacing w:after="0" w:line="240" w:lineRule="auto"/>
        <w:jc w:val="both"/>
        <w:rPr>
          <w:rFonts w:ascii="Arial" w:eastAsia="Calibri" w:hAnsi="Arial" w:cs="Arial"/>
          <w:sz w:val="24"/>
          <w:szCs w:val="24"/>
          <w:lang w:eastAsia="en-GB"/>
        </w:rPr>
      </w:pPr>
    </w:p>
    <w:p w14:paraId="60966A79" w14:textId="77777777" w:rsidR="006B48B2" w:rsidRPr="00306B53" w:rsidRDefault="006B48B2" w:rsidP="006B48B2">
      <w:pPr>
        <w:spacing w:after="0" w:line="240" w:lineRule="auto"/>
        <w:jc w:val="both"/>
        <w:rPr>
          <w:rFonts w:ascii="Arial" w:eastAsia="Calibri" w:hAnsi="Arial" w:cs="Arial"/>
          <w:sz w:val="24"/>
          <w:szCs w:val="24"/>
          <w:lang w:eastAsia="en-GB"/>
        </w:rPr>
      </w:pPr>
    </w:p>
    <w:p w14:paraId="057F91CE" w14:textId="77777777" w:rsidR="006B48B2" w:rsidRPr="00306B53" w:rsidRDefault="006B48B2" w:rsidP="006B48B2">
      <w:pPr>
        <w:spacing w:after="0" w:line="240" w:lineRule="auto"/>
        <w:jc w:val="both"/>
        <w:rPr>
          <w:rFonts w:ascii="Arial" w:eastAsia="Calibri" w:hAnsi="Arial" w:cs="Arial"/>
          <w:sz w:val="24"/>
          <w:szCs w:val="24"/>
          <w:lang w:eastAsia="en-GB"/>
        </w:rPr>
      </w:pPr>
    </w:p>
    <w:p w14:paraId="0A094A41"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Calibri" w:eastAsia="Calibri" w:hAnsi="Calibri" w:cs="Arial"/>
          <w:noProof/>
          <w:sz w:val="20"/>
          <w:szCs w:val="20"/>
          <w:lang w:eastAsia="en-GB"/>
        </w:rPr>
        <w:lastRenderedPageBreak/>
        <w:drawing>
          <wp:anchor distT="0" distB="0" distL="114300" distR="114300" simplePos="0" relativeHeight="251665408" behindDoc="0" locked="0" layoutInCell="1" allowOverlap="1" wp14:anchorId="4B82F82C" wp14:editId="7A777F8E">
            <wp:simplePos x="0" y="0"/>
            <wp:positionH relativeFrom="column">
              <wp:posOffset>-532130</wp:posOffset>
            </wp:positionH>
            <wp:positionV relativeFrom="paragraph">
              <wp:posOffset>466090</wp:posOffset>
            </wp:positionV>
            <wp:extent cx="6839585" cy="3462655"/>
            <wp:effectExtent l="0" t="0" r="18415" b="4445"/>
            <wp:wrapThrough wrapText="bothSides">
              <wp:wrapPolygon edited="0">
                <wp:start x="0" y="0"/>
                <wp:lineTo x="0" y="21509"/>
                <wp:lineTo x="21598" y="21509"/>
                <wp:lineTo x="21598" y="0"/>
                <wp:lineTo x="0" y="0"/>
              </wp:wrapPolygon>
            </wp:wrapThrough>
            <wp:docPr id="29" name="Picture 29">
              <a:extLst xmlns:a="http://schemas.openxmlformats.org/drawingml/2006/main">
                <a:ext uri="{FF2B5EF4-FFF2-40B4-BE49-F238E27FC236}">
                  <a16:creationId xmlns:a16="http://schemas.microsoft.com/office/drawing/2014/main" id="{60F5E91E-50AE-D5BF-1281-048F316C5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306B53">
        <w:rPr>
          <w:rFonts w:ascii="Arial" w:eastAsia="Calibri" w:hAnsi="Arial" w:cs="Arial"/>
          <w:sz w:val="24"/>
          <w:szCs w:val="24"/>
          <w:lang w:eastAsia="en-GB"/>
        </w:rPr>
        <w:t xml:space="preserve">Figure 2 (below) shows the proportion of White and BAME staff in each of the </w:t>
      </w:r>
      <w:proofErr w:type="spellStart"/>
      <w:r w:rsidRPr="00306B53">
        <w:rPr>
          <w:rFonts w:ascii="Arial" w:eastAsia="Calibri" w:hAnsi="Arial" w:cs="Arial"/>
          <w:sz w:val="24"/>
          <w:szCs w:val="24"/>
          <w:lang w:eastAsia="en-GB"/>
        </w:rPr>
        <w:t>AfC</w:t>
      </w:r>
      <w:proofErr w:type="spellEnd"/>
      <w:r w:rsidRPr="00306B53">
        <w:rPr>
          <w:rFonts w:ascii="Arial" w:eastAsia="Calibri" w:hAnsi="Arial" w:cs="Arial"/>
          <w:sz w:val="24"/>
          <w:szCs w:val="24"/>
          <w:lang w:eastAsia="en-GB"/>
        </w:rPr>
        <w:t xml:space="preserve"> pay bands within the clinical workforce. </w:t>
      </w:r>
    </w:p>
    <w:p w14:paraId="21725EDB" w14:textId="77777777" w:rsidR="006B48B2" w:rsidRPr="00306B53" w:rsidRDefault="006B48B2" w:rsidP="006B48B2">
      <w:pPr>
        <w:spacing w:after="0" w:line="240" w:lineRule="auto"/>
        <w:jc w:val="both"/>
        <w:rPr>
          <w:rFonts w:ascii="Arial" w:eastAsia="Calibri" w:hAnsi="Arial" w:cs="Arial"/>
          <w:sz w:val="24"/>
          <w:szCs w:val="24"/>
          <w:lang w:eastAsia="en-GB"/>
        </w:rPr>
      </w:pPr>
    </w:p>
    <w:p w14:paraId="3BADB6B9"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The table below shows the changes at each </w:t>
      </w:r>
      <w:proofErr w:type="spellStart"/>
      <w:r w:rsidRPr="00306B53">
        <w:rPr>
          <w:rFonts w:ascii="Arial" w:eastAsia="Calibri" w:hAnsi="Arial" w:cs="Arial"/>
          <w:sz w:val="24"/>
          <w:szCs w:val="24"/>
          <w:lang w:eastAsia="en-GB"/>
        </w:rPr>
        <w:t>AfC</w:t>
      </w:r>
      <w:proofErr w:type="spellEnd"/>
      <w:r w:rsidRPr="00306B53">
        <w:rPr>
          <w:rFonts w:ascii="Arial" w:eastAsia="Calibri" w:hAnsi="Arial" w:cs="Arial"/>
          <w:sz w:val="24"/>
          <w:szCs w:val="24"/>
          <w:lang w:eastAsia="en-GB"/>
        </w:rPr>
        <w:t xml:space="preserve"> band between 2024 and 2025. </w:t>
      </w:r>
    </w:p>
    <w:p w14:paraId="1247B5C5"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tbl>
      <w:tblPr>
        <w:tblW w:w="6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64"/>
        <w:gridCol w:w="1697"/>
        <w:gridCol w:w="1930"/>
      </w:tblGrid>
      <w:tr w:rsidR="006B48B2" w:rsidRPr="00306B53" w14:paraId="0090CD9D"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tcPr>
          <w:p w14:paraId="641502E2" w14:textId="77777777" w:rsidR="006B48B2" w:rsidRPr="00306B53" w:rsidRDefault="006B48B2" w:rsidP="00C06DAE">
            <w:pPr>
              <w:spacing w:after="0" w:line="256" w:lineRule="auto"/>
              <w:jc w:val="center"/>
              <w:rPr>
                <w:rFonts w:ascii="Arial" w:eastAsia="Times New Roman" w:hAnsi="Arial" w:cs="Arial"/>
                <w:b/>
                <w:color w:val="000000"/>
              </w:rPr>
            </w:pPr>
          </w:p>
        </w:tc>
        <w:tc>
          <w:tcPr>
            <w:tcW w:w="5191" w:type="dxa"/>
            <w:gridSpan w:val="3"/>
            <w:tcBorders>
              <w:top w:val="single" w:sz="4" w:space="0" w:color="auto"/>
              <w:left w:val="single" w:sz="4" w:space="0" w:color="auto"/>
              <w:bottom w:val="single" w:sz="4" w:space="0" w:color="auto"/>
              <w:right w:val="single" w:sz="4" w:space="0" w:color="auto"/>
            </w:tcBorders>
            <w:noWrap/>
            <w:vAlign w:val="bottom"/>
            <w:hideMark/>
          </w:tcPr>
          <w:p w14:paraId="151C7A69" w14:textId="77777777" w:rsidR="006B48B2" w:rsidRPr="00306B53" w:rsidRDefault="006B48B2"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 movement per band</w:t>
            </w:r>
          </w:p>
        </w:tc>
      </w:tr>
      <w:tr w:rsidR="006B48B2" w:rsidRPr="00306B53" w14:paraId="52A11381"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4E2CADBE" w14:textId="77777777" w:rsidR="006B48B2" w:rsidRPr="00306B53" w:rsidRDefault="006B48B2" w:rsidP="00C06DAE">
            <w:pPr>
              <w:spacing w:after="0" w:line="256" w:lineRule="auto"/>
              <w:rPr>
                <w:rFonts w:ascii="Arial" w:eastAsia="Times New Roman" w:hAnsi="Arial" w:cs="Arial"/>
                <w:b/>
                <w:color w:val="000000"/>
              </w:rPr>
            </w:pPr>
            <w:proofErr w:type="spell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3122439"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White 2025</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0A04679E"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BAME 2025 </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607C1C2"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Unknown 2025</w:t>
            </w:r>
          </w:p>
        </w:tc>
      </w:tr>
      <w:tr w:rsidR="006B48B2" w:rsidRPr="00306B53" w14:paraId="7BAA9C57"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8762883"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1</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7FCEB9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CE74DC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509EEB02"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2DE62C35"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5B3CB60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2</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32037A2"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-8%</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6031CD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8%</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0075450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168D7FD8"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723AC11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3</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30ECB3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-5%</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997BBA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5%</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4D06BD0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r>
      <w:tr w:rsidR="006B48B2" w:rsidRPr="00306B53" w14:paraId="5F9B85CA"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4D6E48F3"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4</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AF1770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C7139B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5EBEFA7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r>
      <w:tr w:rsidR="006B48B2" w:rsidRPr="00306B53" w14:paraId="308501A5"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6C68791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5</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EF93D1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AAA8DB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3C0BECB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r>
      <w:tr w:rsidR="006B48B2" w:rsidRPr="00306B53" w14:paraId="5056F8C3"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799CF69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6</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5AE303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567D856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28729F53"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2246F36B"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339220D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7</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80397D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0CE455D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2EBCF67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6254D95B"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16F5035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8A</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08E3F0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C13E2C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21EED45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44973906"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6C236A6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8B</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5B5ABF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5%</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591EAC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09E8D745"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-4%</w:t>
            </w:r>
          </w:p>
        </w:tc>
      </w:tr>
      <w:tr w:rsidR="006B48B2" w:rsidRPr="00306B53" w14:paraId="227833C2"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7873758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8C</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071319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1188041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2A127DF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48BD7158"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7866575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8D</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9311C6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C1B666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02351042"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5AC4994B"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26B20DB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9</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7C61B8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261AB3E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975798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42474E29"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4339BD3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VSM</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91DDC0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298FA11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0624867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bl>
    <w:p w14:paraId="448E46F2"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214499C4"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5FCBC499"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27421DF7"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2E84544A"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25A26045"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lastRenderedPageBreak/>
        <w:t>In summary the data shows:</w:t>
      </w:r>
    </w:p>
    <w:p w14:paraId="6153F22F" w14:textId="77777777" w:rsidR="006B48B2" w:rsidRPr="00306B53" w:rsidRDefault="006B48B2" w:rsidP="006B48B2">
      <w:pPr>
        <w:spacing w:after="0" w:line="240" w:lineRule="auto"/>
        <w:jc w:val="both"/>
        <w:rPr>
          <w:rFonts w:ascii="Arial" w:eastAsia="Calibri" w:hAnsi="Arial" w:cs="Arial"/>
          <w:sz w:val="24"/>
          <w:szCs w:val="20"/>
          <w:lang w:eastAsia="en-GB"/>
        </w:rPr>
      </w:pPr>
    </w:p>
    <w:p w14:paraId="6C7EDAF9" w14:textId="77777777" w:rsidR="006B48B2" w:rsidRPr="00306B53" w:rsidRDefault="006B48B2" w:rsidP="006B48B2">
      <w:pPr>
        <w:numPr>
          <w:ilvl w:val="0"/>
          <w:numId w:val="4"/>
        </w:num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 xml:space="preserve">There has been little movement across the majority of </w:t>
      </w:r>
      <w:proofErr w:type="spellStart"/>
      <w:r w:rsidRPr="00306B53">
        <w:rPr>
          <w:rFonts w:ascii="Arial" w:eastAsia="Calibri" w:hAnsi="Arial" w:cs="Arial"/>
          <w:sz w:val="24"/>
          <w:szCs w:val="20"/>
          <w:lang w:eastAsia="en-GB"/>
        </w:rPr>
        <w:t>AfC</w:t>
      </w:r>
      <w:proofErr w:type="spellEnd"/>
      <w:r w:rsidRPr="00306B53">
        <w:rPr>
          <w:rFonts w:ascii="Arial" w:eastAsia="Calibri" w:hAnsi="Arial" w:cs="Arial"/>
          <w:sz w:val="24"/>
          <w:szCs w:val="20"/>
          <w:lang w:eastAsia="en-GB"/>
        </w:rPr>
        <w:t xml:space="preserve"> pay bands in relation to ethnicity. The largest change is across band 2 whereby there is an 8% decrease in white staff and an 8% increase in BAME staff. </w:t>
      </w:r>
    </w:p>
    <w:p w14:paraId="59A383DB" w14:textId="77777777" w:rsidR="006B48B2" w:rsidRPr="00306B53" w:rsidRDefault="006B48B2" w:rsidP="006B48B2">
      <w:pPr>
        <w:spacing w:after="0" w:line="240" w:lineRule="auto"/>
        <w:jc w:val="both"/>
        <w:rPr>
          <w:rFonts w:ascii="Arial" w:eastAsia="Calibri" w:hAnsi="Arial" w:cs="Arial"/>
          <w:sz w:val="24"/>
          <w:szCs w:val="20"/>
          <w:lang w:eastAsia="en-GB"/>
        </w:rPr>
      </w:pPr>
    </w:p>
    <w:p w14:paraId="71065D12"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Calibri" w:eastAsia="Calibri" w:hAnsi="Calibri" w:cs="Arial"/>
          <w:noProof/>
          <w:sz w:val="20"/>
          <w:szCs w:val="20"/>
          <w:lang w:eastAsia="en-GB"/>
        </w:rPr>
        <w:drawing>
          <wp:anchor distT="0" distB="0" distL="114300" distR="114300" simplePos="0" relativeHeight="251664384" behindDoc="0" locked="0" layoutInCell="1" allowOverlap="1" wp14:anchorId="5565670A" wp14:editId="2E2EDF99">
            <wp:simplePos x="0" y="0"/>
            <wp:positionH relativeFrom="margin">
              <wp:align>left</wp:align>
            </wp:positionH>
            <wp:positionV relativeFrom="paragraph">
              <wp:posOffset>412750</wp:posOffset>
            </wp:positionV>
            <wp:extent cx="5571490" cy="3054350"/>
            <wp:effectExtent l="0" t="0" r="10160" b="12700"/>
            <wp:wrapThrough wrapText="bothSides">
              <wp:wrapPolygon edited="0">
                <wp:start x="0" y="0"/>
                <wp:lineTo x="0" y="21555"/>
                <wp:lineTo x="21566" y="21555"/>
                <wp:lineTo x="21566" y="0"/>
                <wp:lineTo x="0" y="0"/>
              </wp:wrapPolygon>
            </wp:wrapThrough>
            <wp:docPr id="28" name="Picture 28">
              <a:extLst xmlns:a="http://schemas.openxmlformats.org/drawingml/2006/main">
                <a:ext uri="{FF2B5EF4-FFF2-40B4-BE49-F238E27FC236}">
                  <a16:creationId xmlns:a16="http://schemas.microsoft.com/office/drawing/2014/main" id="{3A774A93-A6A9-E80E-D782-28F69DF8D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306B53">
        <w:rPr>
          <w:rFonts w:ascii="Arial" w:eastAsia="Calibri" w:hAnsi="Arial" w:cs="Arial"/>
          <w:sz w:val="24"/>
          <w:szCs w:val="24"/>
          <w:lang w:eastAsia="en-GB"/>
        </w:rPr>
        <w:t>Figure 3 below shows the distribution of White and BAME staff over each of the career grades for the medical workforce.</w:t>
      </w:r>
    </w:p>
    <w:p w14:paraId="1C2D66B0" w14:textId="77777777" w:rsidR="006B48B2" w:rsidRPr="00306B53" w:rsidRDefault="006B48B2" w:rsidP="006B48B2">
      <w:pPr>
        <w:spacing w:after="0" w:line="240" w:lineRule="auto"/>
        <w:jc w:val="both"/>
        <w:rPr>
          <w:rFonts w:ascii="Arial" w:eastAsia="Calibri" w:hAnsi="Arial" w:cs="Arial"/>
          <w:sz w:val="24"/>
          <w:szCs w:val="24"/>
          <w:lang w:eastAsia="en-GB"/>
        </w:rPr>
      </w:pPr>
    </w:p>
    <w:p w14:paraId="14C93E30"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 table below shows the changes between 2024 and 2025:</w:t>
      </w:r>
    </w:p>
    <w:p w14:paraId="07637F86" w14:textId="77777777" w:rsidR="006B48B2" w:rsidRPr="00306B53" w:rsidRDefault="006B48B2" w:rsidP="006B48B2">
      <w:pPr>
        <w:spacing w:after="0" w:line="240" w:lineRule="auto"/>
        <w:jc w:val="both"/>
        <w:rPr>
          <w:rFonts w:ascii="Arial" w:eastAsia="Calibri" w:hAnsi="Arial" w:cs="Arial"/>
          <w:b/>
          <w:sz w:val="24"/>
          <w:szCs w:val="24"/>
          <w:lang w:eastAsia="en-GB"/>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2694"/>
      </w:tblGrid>
      <w:tr w:rsidR="006B48B2" w:rsidRPr="00306B53" w14:paraId="487D49EE" w14:textId="77777777" w:rsidTr="00C06DAE">
        <w:trPr>
          <w:trHeight w:val="31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F1FE11E" w14:textId="77777777" w:rsidR="006B48B2" w:rsidRPr="00306B53" w:rsidRDefault="006B48B2" w:rsidP="00C06DAE">
            <w:pPr>
              <w:spacing w:after="0" w:line="240" w:lineRule="auto"/>
              <w:rPr>
                <w:rFonts w:ascii="Arial" w:eastAsia="Calibri" w:hAnsi="Arial" w:cs="Arial"/>
                <w:b/>
                <w:sz w:val="24"/>
                <w:szCs w:val="24"/>
                <w:lang w:eastAsia="en-GB"/>
              </w:rPr>
            </w:pPr>
          </w:p>
        </w:tc>
        <w:tc>
          <w:tcPr>
            <w:tcW w:w="4820" w:type="dxa"/>
            <w:gridSpan w:val="2"/>
            <w:tcBorders>
              <w:top w:val="single" w:sz="4" w:space="0" w:color="auto"/>
              <w:left w:val="single" w:sz="4" w:space="0" w:color="auto"/>
              <w:bottom w:val="single" w:sz="4" w:space="0" w:color="auto"/>
              <w:right w:val="single" w:sz="4" w:space="0" w:color="auto"/>
            </w:tcBorders>
            <w:noWrap/>
            <w:vAlign w:val="center"/>
            <w:hideMark/>
          </w:tcPr>
          <w:p w14:paraId="550C0088"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 Movement between grades</w:t>
            </w:r>
          </w:p>
        </w:tc>
      </w:tr>
      <w:tr w:rsidR="006B48B2" w:rsidRPr="00306B53" w14:paraId="33ECEA75" w14:textId="77777777" w:rsidTr="00C06DAE">
        <w:trPr>
          <w:trHeight w:val="31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98A1837" w14:textId="77777777" w:rsidR="006B48B2" w:rsidRPr="00306B53" w:rsidRDefault="006B48B2" w:rsidP="00C06DAE">
            <w:pPr>
              <w:spacing w:after="0" w:line="240" w:lineRule="auto"/>
              <w:rPr>
                <w:rFonts w:ascii="Arial" w:eastAsia="Times New Roman" w:hAnsi="Arial" w:cs="Arial"/>
                <w:color w:val="00000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1CFA6E9"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White 2025</w:t>
            </w:r>
          </w:p>
        </w:tc>
        <w:tc>
          <w:tcPr>
            <w:tcW w:w="2694" w:type="dxa"/>
            <w:tcBorders>
              <w:top w:val="single" w:sz="4" w:space="0" w:color="auto"/>
              <w:left w:val="single" w:sz="4" w:space="0" w:color="auto"/>
              <w:bottom w:val="single" w:sz="4" w:space="0" w:color="auto"/>
              <w:right w:val="single" w:sz="4" w:space="0" w:color="auto"/>
            </w:tcBorders>
            <w:noWrap/>
            <w:vAlign w:val="center"/>
            <w:hideMark/>
          </w:tcPr>
          <w:p w14:paraId="66430392"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BAME 2025</w:t>
            </w:r>
          </w:p>
        </w:tc>
      </w:tr>
      <w:tr w:rsidR="006B48B2" w:rsidRPr="00306B53" w14:paraId="0FD11F6C" w14:textId="77777777" w:rsidTr="00C06DAE">
        <w:trPr>
          <w:trHeight w:val="648"/>
        </w:trPr>
        <w:tc>
          <w:tcPr>
            <w:tcW w:w="2405" w:type="dxa"/>
            <w:tcBorders>
              <w:top w:val="single" w:sz="4" w:space="0" w:color="auto"/>
              <w:left w:val="single" w:sz="4" w:space="0" w:color="auto"/>
              <w:bottom w:val="single" w:sz="4" w:space="0" w:color="auto"/>
              <w:right w:val="single" w:sz="4" w:space="0" w:color="auto"/>
            </w:tcBorders>
            <w:vAlign w:val="center"/>
            <w:hideMark/>
          </w:tcPr>
          <w:p w14:paraId="22EB4BFE"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Medical &amp; Dental Consultant</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7CF1FAC"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1%</w:t>
            </w:r>
          </w:p>
        </w:tc>
        <w:tc>
          <w:tcPr>
            <w:tcW w:w="2694" w:type="dxa"/>
            <w:tcBorders>
              <w:top w:val="single" w:sz="4" w:space="0" w:color="auto"/>
              <w:left w:val="single" w:sz="4" w:space="0" w:color="auto"/>
              <w:bottom w:val="single" w:sz="4" w:space="0" w:color="auto"/>
              <w:right w:val="single" w:sz="4" w:space="0" w:color="auto"/>
            </w:tcBorders>
            <w:noWrap/>
            <w:vAlign w:val="center"/>
            <w:hideMark/>
          </w:tcPr>
          <w:p w14:paraId="1FFEDF81"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-0.7%</w:t>
            </w:r>
          </w:p>
        </w:tc>
      </w:tr>
      <w:tr w:rsidR="006B48B2" w:rsidRPr="00306B53" w14:paraId="5450089D" w14:textId="77777777" w:rsidTr="00C06DAE">
        <w:trPr>
          <w:trHeight w:val="558"/>
        </w:trPr>
        <w:tc>
          <w:tcPr>
            <w:tcW w:w="2405" w:type="dxa"/>
            <w:tcBorders>
              <w:top w:val="single" w:sz="4" w:space="0" w:color="auto"/>
              <w:left w:val="single" w:sz="4" w:space="0" w:color="auto"/>
              <w:bottom w:val="single" w:sz="4" w:space="0" w:color="auto"/>
              <w:right w:val="single" w:sz="4" w:space="0" w:color="auto"/>
            </w:tcBorders>
            <w:vAlign w:val="center"/>
            <w:hideMark/>
          </w:tcPr>
          <w:p w14:paraId="64AF379E"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Medical &amp; Dental Career Grade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0F589E2"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-4.2%</w:t>
            </w:r>
          </w:p>
        </w:tc>
        <w:tc>
          <w:tcPr>
            <w:tcW w:w="2694" w:type="dxa"/>
            <w:tcBorders>
              <w:top w:val="single" w:sz="4" w:space="0" w:color="auto"/>
              <w:left w:val="single" w:sz="4" w:space="0" w:color="auto"/>
              <w:bottom w:val="single" w:sz="4" w:space="0" w:color="auto"/>
              <w:right w:val="single" w:sz="4" w:space="0" w:color="auto"/>
            </w:tcBorders>
            <w:noWrap/>
            <w:vAlign w:val="center"/>
            <w:hideMark/>
          </w:tcPr>
          <w:p w14:paraId="56B762A4"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4.2%</w:t>
            </w:r>
          </w:p>
        </w:tc>
      </w:tr>
      <w:tr w:rsidR="006B48B2" w:rsidRPr="00306B53" w14:paraId="3D93DFF5" w14:textId="77777777" w:rsidTr="00C06DAE">
        <w:trPr>
          <w:trHeight w:val="694"/>
        </w:trPr>
        <w:tc>
          <w:tcPr>
            <w:tcW w:w="2405" w:type="dxa"/>
            <w:tcBorders>
              <w:top w:val="single" w:sz="4" w:space="0" w:color="auto"/>
              <w:left w:val="single" w:sz="4" w:space="0" w:color="auto"/>
              <w:bottom w:val="single" w:sz="4" w:space="0" w:color="auto"/>
              <w:right w:val="single" w:sz="4" w:space="0" w:color="auto"/>
            </w:tcBorders>
            <w:vAlign w:val="center"/>
            <w:hideMark/>
          </w:tcPr>
          <w:p w14:paraId="1D67637A"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Medical &amp; Dental Trainee Grades</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25FFD23"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-3.6%</w:t>
            </w:r>
          </w:p>
        </w:tc>
        <w:tc>
          <w:tcPr>
            <w:tcW w:w="2694" w:type="dxa"/>
            <w:tcBorders>
              <w:top w:val="single" w:sz="4" w:space="0" w:color="auto"/>
              <w:left w:val="single" w:sz="4" w:space="0" w:color="auto"/>
              <w:bottom w:val="single" w:sz="4" w:space="0" w:color="auto"/>
              <w:right w:val="single" w:sz="4" w:space="0" w:color="auto"/>
            </w:tcBorders>
            <w:noWrap/>
            <w:vAlign w:val="center"/>
            <w:hideMark/>
          </w:tcPr>
          <w:p w14:paraId="577EFBEF"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4.3%</w:t>
            </w:r>
          </w:p>
        </w:tc>
      </w:tr>
    </w:tbl>
    <w:p w14:paraId="6D039590" w14:textId="77777777" w:rsidR="006B48B2" w:rsidRPr="00306B53" w:rsidRDefault="006B48B2" w:rsidP="006B48B2">
      <w:pPr>
        <w:spacing w:after="0" w:line="240" w:lineRule="auto"/>
        <w:jc w:val="both"/>
        <w:rPr>
          <w:rFonts w:ascii="Arial" w:eastAsia="Calibri" w:hAnsi="Arial" w:cs="Arial"/>
          <w:b/>
          <w:sz w:val="24"/>
          <w:szCs w:val="24"/>
          <w:lang w:eastAsia="en-GB"/>
        </w:rPr>
      </w:pPr>
    </w:p>
    <w:p w14:paraId="3D8DB42B"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There has been little change in the distribution of white staff in Consultant grades, where roughly an even split. There has been a small increase in the proportion of BAME staff in career grade roles, and a similar reduction on the proportion of white staff in these roles. There has been an increase in the proportion of BAME trainees compared to the previous 12 months.</w:t>
      </w:r>
    </w:p>
    <w:p w14:paraId="00459D08" w14:textId="77777777" w:rsidR="006B48B2" w:rsidRPr="00306B53" w:rsidRDefault="006B48B2" w:rsidP="006B48B2">
      <w:pPr>
        <w:spacing w:after="0" w:line="240" w:lineRule="auto"/>
        <w:jc w:val="both"/>
        <w:rPr>
          <w:rFonts w:ascii="Arial" w:eastAsia="Calibri" w:hAnsi="Arial" w:cs="Arial"/>
          <w:sz w:val="24"/>
          <w:szCs w:val="24"/>
          <w:lang w:eastAsia="en-GB"/>
        </w:rPr>
      </w:pPr>
    </w:p>
    <w:p w14:paraId="09A5F35B" w14:textId="77777777" w:rsidR="006B48B2" w:rsidRPr="00306B53" w:rsidRDefault="006B48B2" w:rsidP="006B48B2">
      <w:pPr>
        <w:spacing w:after="0" w:line="240" w:lineRule="auto"/>
        <w:jc w:val="both"/>
        <w:rPr>
          <w:rFonts w:ascii="Arial" w:eastAsia="Calibri" w:hAnsi="Arial" w:cs="Arial"/>
          <w:sz w:val="24"/>
          <w:szCs w:val="24"/>
          <w:lang w:eastAsia="en-GB"/>
        </w:rPr>
      </w:pPr>
    </w:p>
    <w:p w14:paraId="3E75AD6C" w14:textId="77777777" w:rsidR="006B48B2" w:rsidRPr="00306B53" w:rsidRDefault="006B48B2" w:rsidP="006B48B2">
      <w:pPr>
        <w:spacing w:after="0" w:line="240" w:lineRule="auto"/>
        <w:jc w:val="both"/>
        <w:rPr>
          <w:rFonts w:ascii="Arial" w:eastAsia="Calibri" w:hAnsi="Arial" w:cs="Arial"/>
          <w:sz w:val="24"/>
          <w:szCs w:val="24"/>
          <w:lang w:eastAsia="en-GB"/>
        </w:rPr>
      </w:pPr>
    </w:p>
    <w:p w14:paraId="438AD567" w14:textId="77777777" w:rsidR="006B48B2" w:rsidRPr="00306B53" w:rsidRDefault="006B48B2" w:rsidP="006B48B2">
      <w:pPr>
        <w:spacing w:after="0" w:line="240" w:lineRule="auto"/>
        <w:jc w:val="both"/>
        <w:rPr>
          <w:rFonts w:ascii="Arial" w:eastAsia="Calibri" w:hAnsi="Arial" w:cs="Arial"/>
          <w:sz w:val="24"/>
          <w:szCs w:val="24"/>
          <w:lang w:eastAsia="en-GB"/>
        </w:rPr>
      </w:pPr>
    </w:p>
    <w:p w14:paraId="40299E6B" w14:textId="77777777" w:rsidR="006B48B2" w:rsidRPr="00306B53" w:rsidRDefault="006B48B2" w:rsidP="006B48B2">
      <w:pPr>
        <w:spacing w:after="0" w:line="240" w:lineRule="auto"/>
        <w:jc w:val="both"/>
        <w:rPr>
          <w:rFonts w:ascii="Arial" w:eastAsia="Calibri" w:hAnsi="Arial" w:cs="Arial"/>
          <w:sz w:val="24"/>
          <w:szCs w:val="24"/>
          <w:lang w:eastAsia="en-GB"/>
        </w:rPr>
      </w:pPr>
    </w:p>
    <w:p w14:paraId="17AF4C16" w14:textId="77777777" w:rsidR="006B48B2" w:rsidRPr="00306B53" w:rsidRDefault="006B48B2" w:rsidP="006B48B2">
      <w:pPr>
        <w:spacing w:after="0" w:line="240" w:lineRule="auto"/>
        <w:jc w:val="both"/>
        <w:rPr>
          <w:rFonts w:ascii="Arial" w:eastAsia="Calibri" w:hAnsi="Arial" w:cs="Arial"/>
          <w:sz w:val="24"/>
          <w:szCs w:val="24"/>
          <w:lang w:eastAsia="en-GB"/>
        </w:rPr>
      </w:pPr>
    </w:p>
    <w:p w14:paraId="3B0699F8" w14:textId="77777777" w:rsidR="006B48B2" w:rsidRPr="00306B53" w:rsidRDefault="006B48B2" w:rsidP="006B48B2">
      <w:pPr>
        <w:spacing w:after="0" w:line="240" w:lineRule="auto"/>
        <w:jc w:val="both"/>
        <w:rPr>
          <w:rFonts w:ascii="Arial" w:eastAsia="Calibri" w:hAnsi="Arial" w:cs="Arial"/>
          <w:sz w:val="24"/>
          <w:szCs w:val="24"/>
          <w:lang w:eastAsia="en-GB"/>
        </w:rPr>
      </w:pPr>
    </w:p>
    <w:p w14:paraId="074D9EDB" w14:textId="77777777" w:rsidR="006B48B2" w:rsidRPr="00306B53" w:rsidRDefault="006B48B2" w:rsidP="006B48B2">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2: Relative likelihood of staff being appointed from shortlisting across all posts</w:t>
      </w:r>
    </w:p>
    <w:p w14:paraId="47D3F047" w14:textId="77777777" w:rsidR="006B48B2" w:rsidRPr="00306B53" w:rsidRDefault="006B48B2" w:rsidP="006B48B2">
      <w:pPr>
        <w:spacing w:after="0" w:line="240" w:lineRule="auto"/>
        <w:rPr>
          <w:rFonts w:ascii="Arial" w:eastAsia="Calibri" w:hAnsi="Arial" w:cs="Arial"/>
          <w:sz w:val="24"/>
          <w:szCs w:val="24"/>
          <w:lang w:eastAsia="en-GB"/>
        </w:rPr>
      </w:pPr>
    </w:p>
    <w:tbl>
      <w:tblPr>
        <w:tblStyle w:val="TableGrid1"/>
        <w:tblW w:w="9634" w:type="dxa"/>
        <w:tblInd w:w="0" w:type="dxa"/>
        <w:tblLook w:val="04A0" w:firstRow="1" w:lastRow="0" w:firstColumn="1" w:lastColumn="0" w:noHBand="0" w:noVBand="1"/>
      </w:tblPr>
      <w:tblGrid>
        <w:gridCol w:w="3539"/>
        <w:gridCol w:w="2263"/>
        <w:gridCol w:w="2273"/>
        <w:gridCol w:w="1559"/>
      </w:tblGrid>
      <w:tr w:rsidR="006B48B2" w:rsidRPr="00306B53" w14:paraId="523B73C9" w14:textId="77777777" w:rsidTr="00C06DAE">
        <w:tc>
          <w:tcPr>
            <w:tcW w:w="3539" w:type="dxa"/>
            <w:tcBorders>
              <w:top w:val="single" w:sz="4" w:space="0" w:color="auto"/>
              <w:left w:val="single" w:sz="4" w:space="0" w:color="auto"/>
              <w:bottom w:val="single" w:sz="4" w:space="0" w:color="auto"/>
              <w:right w:val="single" w:sz="4" w:space="0" w:color="auto"/>
            </w:tcBorders>
          </w:tcPr>
          <w:p w14:paraId="28B5C0E4" w14:textId="77777777" w:rsidR="006B48B2" w:rsidRPr="00306B53" w:rsidRDefault="006B48B2" w:rsidP="00C06DAE">
            <w:pPr>
              <w:rPr>
                <w:rFonts w:ascii="Arial"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5FB5B049"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2024</w:t>
            </w:r>
          </w:p>
        </w:tc>
        <w:tc>
          <w:tcPr>
            <w:tcW w:w="2273" w:type="dxa"/>
            <w:tcBorders>
              <w:top w:val="single" w:sz="4" w:space="0" w:color="auto"/>
              <w:left w:val="single" w:sz="4" w:space="0" w:color="auto"/>
              <w:bottom w:val="single" w:sz="4" w:space="0" w:color="auto"/>
              <w:right w:val="single" w:sz="4" w:space="0" w:color="auto"/>
            </w:tcBorders>
            <w:hideMark/>
          </w:tcPr>
          <w:p w14:paraId="5838C8F8"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2025</w:t>
            </w:r>
          </w:p>
        </w:tc>
        <w:tc>
          <w:tcPr>
            <w:tcW w:w="1559" w:type="dxa"/>
            <w:tcBorders>
              <w:top w:val="single" w:sz="4" w:space="0" w:color="auto"/>
              <w:left w:val="single" w:sz="4" w:space="0" w:color="auto"/>
              <w:bottom w:val="single" w:sz="4" w:space="0" w:color="auto"/>
              <w:right w:val="single" w:sz="4" w:space="0" w:color="auto"/>
            </w:tcBorders>
            <w:hideMark/>
          </w:tcPr>
          <w:p w14:paraId="1582B3E1"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Difference +/-</w:t>
            </w:r>
          </w:p>
        </w:tc>
      </w:tr>
      <w:tr w:rsidR="006B48B2" w:rsidRPr="00306B53" w14:paraId="2F0A92F6" w14:textId="77777777" w:rsidTr="00C06DAE">
        <w:tc>
          <w:tcPr>
            <w:tcW w:w="3539" w:type="dxa"/>
            <w:tcBorders>
              <w:top w:val="single" w:sz="4" w:space="0" w:color="auto"/>
              <w:left w:val="single" w:sz="4" w:space="0" w:color="auto"/>
              <w:bottom w:val="single" w:sz="4" w:space="0" w:color="auto"/>
              <w:right w:val="single" w:sz="4" w:space="0" w:color="auto"/>
            </w:tcBorders>
            <w:hideMark/>
          </w:tcPr>
          <w:p w14:paraId="4DD5D6F0" w14:textId="77777777" w:rsidR="006B48B2" w:rsidRPr="00306B53" w:rsidRDefault="006B48B2" w:rsidP="00C06DAE">
            <w:pPr>
              <w:rPr>
                <w:rFonts w:ascii="Arial" w:hAnsi="Arial" w:cs="Arial"/>
                <w:bCs/>
                <w:sz w:val="24"/>
                <w:szCs w:val="24"/>
              </w:rPr>
            </w:pPr>
            <w:r w:rsidRPr="00306B53">
              <w:rPr>
                <w:rFonts w:ascii="Arial" w:hAnsi="Arial" w:cs="Arial"/>
                <w:bCs/>
                <w:sz w:val="24"/>
                <w:szCs w:val="24"/>
              </w:rPr>
              <w:t>Relative likelihood of White staff being appointed from shortlisting compared to BAME staff.</w:t>
            </w:r>
          </w:p>
        </w:tc>
        <w:tc>
          <w:tcPr>
            <w:tcW w:w="2263" w:type="dxa"/>
            <w:tcBorders>
              <w:top w:val="single" w:sz="4" w:space="0" w:color="auto"/>
              <w:left w:val="single" w:sz="4" w:space="0" w:color="auto"/>
              <w:bottom w:val="single" w:sz="4" w:space="0" w:color="auto"/>
              <w:right w:val="single" w:sz="4" w:space="0" w:color="auto"/>
            </w:tcBorders>
            <w:hideMark/>
          </w:tcPr>
          <w:p w14:paraId="1FA384C3"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1.24</w:t>
            </w:r>
          </w:p>
        </w:tc>
        <w:tc>
          <w:tcPr>
            <w:tcW w:w="2273" w:type="dxa"/>
            <w:tcBorders>
              <w:top w:val="single" w:sz="4" w:space="0" w:color="auto"/>
              <w:left w:val="single" w:sz="4" w:space="0" w:color="auto"/>
              <w:bottom w:val="single" w:sz="4" w:space="0" w:color="auto"/>
              <w:right w:val="single" w:sz="4" w:space="0" w:color="auto"/>
            </w:tcBorders>
            <w:hideMark/>
          </w:tcPr>
          <w:p w14:paraId="5F2902EE"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1.62</w:t>
            </w:r>
          </w:p>
        </w:tc>
        <w:tc>
          <w:tcPr>
            <w:tcW w:w="1559" w:type="dxa"/>
            <w:tcBorders>
              <w:top w:val="single" w:sz="4" w:space="0" w:color="auto"/>
              <w:left w:val="single" w:sz="4" w:space="0" w:color="auto"/>
              <w:bottom w:val="single" w:sz="4" w:space="0" w:color="auto"/>
              <w:right w:val="single" w:sz="4" w:space="0" w:color="auto"/>
            </w:tcBorders>
            <w:hideMark/>
          </w:tcPr>
          <w:p w14:paraId="43625959"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+0.38</w:t>
            </w:r>
          </w:p>
        </w:tc>
      </w:tr>
    </w:tbl>
    <w:p w14:paraId="43B4A2DC" w14:textId="77777777" w:rsidR="006B48B2" w:rsidRPr="00306B53" w:rsidRDefault="006B48B2" w:rsidP="006B48B2">
      <w:pPr>
        <w:spacing w:after="0" w:line="240" w:lineRule="auto"/>
        <w:rPr>
          <w:rFonts w:ascii="Arial" w:eastAsia="Calibri" w:hAnsi="Arial" w:cs="Arial"/>
          <w:sz w:val="24"/>
          <w:szCs w:val="24"/>
          <w:lang w:eastAsia="en-GB"/>
        </w:rPr>
      </w:pPr>
    </w:p>
    <w:p w14:paraId="03D8B44F"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Analysis of recruitment data there has been a small increase in the relative likelihood that White staff are appointed from shortlisting compared to BAME staff. A figure of 1.62 shows that White candidates are still slightly more likely to be appointed from a shortlist than BAME candidates. </w:t>
      </w:r>
    </w:p>
    <w:p w14:paraId="2B89DAC5" w14:textId="77777777" w:rsidR="006B48B2" w:rsidRPr="00306B53" w:rsidRDefault="006B48B2" w:rsidP="006B48B2">
      <w:pPr>
        <w:spacing w:after="0" w:line="240" w:lineRule="auto"/>
        <w:rPr>
          <w:rFonts w:ascii="Calibri" w:eastAsia="Calibri" w:hAnsi="Calibri" w:cs="Arial"/>
          <w:sz w:val="20"/>
          <w:szCs w:val="20"/>
          <w:lang w:eastAsia="en-GB"/>
        </w:rPr>
      </w:pPr>
    </w:p>
    <w:p w14:paraId="629A8783" w14:textId="77777777" w:rsidR="006B48B2" w:rsidRPr="00306B53" w:rsidRDefault="006B48B2" w:rsidP="006B48B2">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3: Relative likelihood of BAME staff entering the formal disciplinary process compared to that of White staff</w:t>
      </w:r>
    </w:p>
    <w:p w14:paraId="5D4DA586" w14:textId="77777777" w:rsidR="006B48B2" w:rsidRPr="00306B53" w:rsidRDefault="006B48B2" w:rsidP="006B48B2">
      <w:pPr>
        <w:spacing w:after="0" w:line="240" w:lineRule="auto"/>
        <w:rPr>
          <w:rFonts w:ascii="Arial" w:eastAsia="Calibri" w:hAnsi="Arial" w:cs="Arial"/>
          <w:sz w:val="24"/>
          <w:szCs w:val="24"/>
          <w:lang w:eastAsia="en-GB"/>
        </w:rPr>
      </w:pPr>
    </w:p>
    <w:tbl>
      <w:tblPr>
        <w:tblStyle w:val="TableGrid1"/>
        <w:tblW w:w="9634" w:type="dxa"/>
        <w:tblInd w:w="0" w:type="dxa"/>
        <w:tblLook w:val="04A0" w:firstRow="1" w:lastRow="0" w:firstColumn="1" w:lastColumn="0" w:noHBand="0" w:noVBand="1"/>
      </w:tblPr>
      <w:tblGrid>
        <w:gridCol w:w="3539"/>
        <w:gridCol w:w="2263"/>
        <w:gridCol w:w="2273"/>
        <w:gridCol w:w="1559"/>
      </w:tblGrid>
      <w:tr w:rsidR="006B48B2" w:rsidRPr="00306B53" w14:paraId="5764A703" w14:textId="77777777" w:rsidTr="00C06DAE">
        <w:tc>
          <w:tcPr>
            <w:tcW w:w="3539" w:type="dxa"/>
            <w:tcBorders>
              <w:top w:val="single" w:sz="4" w:space="0" w:color="auto"/>
              <w:left w:val="single" w:sz="4" w:space="0" w:color="auto"/>
              <w:bottom w:val="single" w:sz="4" w:space="0" w:color="auto"/>
              <w:right w:val="single" w:sz="4" w:space="0" w:color="auto"/>
            </w:tcBorders>
          </w:tcPr>
          <w:p w14:paraId="06D3E5F7" w14:textId="77777777" w:rsidR="006B48B2" w:rsidRPr="00306B53" w:rsidRDefault="006B48B2" w:rsidP="00C06DAE">
            <w:pPr>
              <w:rPr>
                <w:rFonts w:ascii="Arial"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0A29F7DF"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2024</w:t>
            </w:r>
          </w:p>
        </w:tc>
        <w:tc>
          <w:tcPr>
            <w:tcW w:w="2273" w:type="dxa"/>
            <w:tcBorders>
              <w:top w:val="single" w:sz="4" w:space="0" w:color="auto"/>
              <w:left w:val="single" w:sz="4" w:space="0" w:color="auto"/>
              <w:bottom w:val="single" w:sz="4" w:space="0" w:color="auto"/>
              <w:right w:val="single" w:sz="4" w:space="0" w:color="auto"/>
            </w:tcBorders>
            <w:hideMark/>
          </w:tcPr>
          <w:p w14:paraId="0716CFE7"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2025</w:t>
            </w:r>
          </w:p>
        </w:tc>
        <w:tc>
          <w:tcPr>
            <w:tcW w:w="1559" w:type="dxa"/>
            <w:tcBorders>
              <w:top w:val="single" w:sz="4" w:space="0" w:color="auto"/>
              <w:left w:val="single" w:sz="4" w:space="0" w:color="auto"/>
              <w:bottom w:val="single" w:sz="4" w:space="0" w:color="auto"/>
              <w:right w:val="single" w:sz="4" w:space="0" w:color="auto"/>
            </w:tcBorders>
            <w:hideMark/>
          </w:tcPr>
          <w:p w14:paraId="113272A4"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Difference +/-</w:t>
            </w:r>
          </w:p>
        </w:tc>
      </w:tr>
      <w:tr w:rsidR="006B48B2" w:rsidRPr="00306B53" w14:paraId="379CE13F" w14:textId="77777777" w:rsidTr="00C06DAE">
        <w:tc>
          <w:tcPr>
            <w:tcW w:w="3539" w:type="dxa"/>
            <w:tcBorders>
              <w:top w:val="single" w:sz="4" w:space="0" w:color="auto"/>
              <w:left w:val="single" w:sz="4" w:space="0" w:color="auto"/>
              <w:bottom w:val="single" w:sz="4" w:space="0" w:color="auto"/>
              <w:right w:val="single" w:sz="4" w:space="0" w:color="auto"/>
            </w:tcBorders>
            <w:hideMark/>
          </w:tcPr>
          <w:p w14:paraId="4B680916" w14:textId="77777777" w:rsidR="006B48B2" w:rsidRPr="00306B53" w:rsidRDefault="006B48B2" w:rsidP="00C06DAE">
            <w:pPr>
              <w:rPr>
                <w:rFonts w:ascii="Arial" w:hAnsi="Arial" w:cs="Arial"/>
                <w:bCs/>
                <w:sz w:val="24"/>
                <w:szCs w:val="24"/>
              </w:rPr>
            </w:pPr>
            <w:r w:rsidRPr="00306B53">
              <w:rPr>
                <w:rFonts w:ascii="Arial" w:hAnsi="Arial" w:cs="Arial"/>
                <w:sz w:val="24"/>
                <w:szCs w:val="24"/>
              </w:rPr>
              <w:t>Relative likelihood of BAME staff entering the formal disciplinary process compared to that of White staff.</w:t>
            </w:r>
          </w:p>
        </w:tc>
        <w:tc>
          <w:tcPr>
            <w:tcW w:w="2263" w:type="dxa"/>
            <w:tcBorders>
              <w:top w:val="single" w:sz="4" w:space="0" w:color="auto"/>
              <w:left w:val="single" w:sz="4" w:space="0" w:color="auto"/>
              <w:bottom w:val="single" w:sz="4" w:space="0" w:color="auto"/>
              <w:right w:val="single" w:sz="4" w:space="0" w:color="auto"/>
            </w:tcBorders>
            <w:hideMark/>
          </w:tcPr>
          <w:p w14:paraId="71317984"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1.85</w:t>
            </w:r>
          </w:p>
        </w:tc>
        <w:tc>
          <w:tcPr>
            <w:tcW w:w="2273" w:type="dxa"/>
            <w:tcBorders>
              <w:top w:val="single" w:sz="4" w:space="0" w:color="auto"/>
              <w:left w:val="single" w:sz="4" w:space="0" w:color="auto"/>
              <w:bottom w:val="single" w:sz="4" w:space="0" w:color="auto"/>
              <w:right w:val="single" w:sz="4" w:space="0" w:color="auto"/>
            </w:tcBorders>
            <w:hideMark/>
          </w:tcPr>
          <w:p w14:paraId="120FA5B5"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0.75</w:t>
            </w:r>
          </w:p>
        </w:tc>
        <w:tc>
          <w:tcPr>
            <w:tcW w:w="1559" w:type="dxa"/>
            <w:tcBorders>
              <w:top w:val="single" w:sz="4" w:space="0" w:color="auto"/>
              <w:left w:val="single" w:sz="4" w:space="0" w:color="auto"/>
              <w:bottom w:val="single" w:sz="4" w:space="0" w:color="auto"/>
              <w:right w:val="single" w:sz="4" w:space="0" w:color="auto"/>
            </w:tcBorders>
            <w:hideMark/>
          </w:tcPr>
          <w:p w14:paraId="7D54C1D4"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-1.1</w:t>
            </w:r>
          </w:p>
        </w:tc>
      </w:tr>
    </w:tbl>
    <w:p w14:paraId="1879F1D9" w14:textId="77777777" w:rsidR="006B48B2" w:rsidRPr="00306B53" w:rsidRDefault="006B48B2" w:rsidP="006B48B2">
      <w:pPr>
        <w:spacing w:after="0" w:line="240" w:lineRule="auto"/>
        <w:rPr>
          <w:rFonts w:ascii="Calibri" w:eastAsia="Calibri" w:hAnsi="Calibri" w:cs="Arial"/>
          <w:sz w:val="20"/>
          <w:szCs w:val="20"/>
          <w:lang w:eastAsia="en-GB"/>
        </w:rPr>
      </w:pPr>
    </w:p>
    <w:p w14:paraId="193FE202"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 xml:space="preserve">The relative likelihood of BAME staff entering the formal disciplinary process compared to that of White staff has decreased significantly in the last 12 months (from 1.85 to 0.75), and now BAME staff are less likely to </w:t>
      </w:r>
      <w:proofErr w:type="gramStart"/>
      <w:r w:rsidRPr="00306B53">
        <w:rPr>
          <w:rFonts w:ascii="Arial" w:eastAsia="Calibri" w:hAnsi="Arial" w:cs="Arial"/>
          <w:sz w:val="24"/>
          <w:szCs w:val="20"/>
          <w:lang w:eastAsia="en-GB"/>
        </w:rPr>
        <w:t>enter into</w:t>
      </w:r>
      <w:proofErr w:type="gramEnd"/>
      <w:r w:rsidRPr="00306B53">
        <w:rPr>
          <w:rFonts w:ascii="Arial" w:eastAsia="Calibri" w:hAnsi="Arial" w:cs="Arial"/>
          <w:sz w:val="24"/>
          <w:szCs w:val="20"/>
          <w:lang w:eastAsia="en-GB"/>
        </w:rPr>
        <w:t xml:space="preserve"> the formal disciplinary process than White staff, compared to 12 months ago.</w:t>
      </w:r>
    </w:p>
    <w:p w14:paraId="42CE27D7" w14:textId="77777777" w:rsidR="006B48B2" w:rsidRPr="00306B53" w:rsidRDefault="006B48B2" w:rsidP="006B48B2">
      <w:pPr>
        <w:spacing w:after="0" w:line="240" w:lineRule="auto"/>
        <w:rPr>
          <w:rFonts w:ascii="Calibri" w:eastAsia="Calibri" w:hAnsi="Calibri" w:cs="Arial"/>
          <w:sz w:val="20"/>
          <w:szCs w:val="20"/>
          <w:lang w:eastAsia="en-GB"/>
        </w:rPr>
      </w:pPr>
    </w:p>
    <w:p w14:paraId="79DB3706" w14:textId="77777777" w:rsidR="006B48B2" w:rsidRPr="00306B53" w:rsidRDefault="006B48B2" w:rsidP="006B48B2">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4: Relative likelihood of staff accessing non-mandatory training and continuous professional development (CPD)</w:t>
      </w:r>
    </w:p>
    <w:p w14:paraId="69DACBCD" w14:textId="77777777" w:rsidR="006B48B2" w:rsidRPr="00306B53" w:rsidRDefault="006B48B2" w:rsidP="006B48B2">
      <w:pPr>
        <w:spacing w:after="0" w:line="240" w:lineRule="auto"/>
        <w:rPr>
          <w:rFonts w:ascii="Arial" w:eastAsia="Calibri" w:hAnsi="Arial" w:cs="Arial"/>
          <w:sz w:val="24"/>
          <w:szCs w:val="24"/>
          <w:lang w:eastAsia="en-GB"/>
        </w:rPr>
      </w:pPr>
    </w:p>
    <w:tbl>
      <w:tblPr>
        <w:tblStyle w:val="TableGrid1"/>
        <w:tblW w:w="9634" w:type="dxa"/>
        <w:tblInd w:w="0" w:type="dxa"/>
        <w:tblLook w:val="04A0" w:firstRow="1" w:lastRow="0" w:firstColumn="1" w:lastColumn="0" w:noHBand="0" w:noVBand="1"/>
      </w:tblPr>
      <w:tblGrid>
        <w:gridCol w:w="3539"/>
        <w:gridCol w:w="2263"/>
        <w:gridCol w:w="2273"/>
        <w:gridCol w:w="1559"/>
      </w:tblGrid>
      <w:tr w:rsidR="006B48B2" w:rsidRPr="00306B53" w14:paraId="40B4270C" w14:textId="77777777" w:rsidTr="00C06DAE">
        <w:tc>
          <w:tcPr>
            <w:tcW w:w="3539" w:type="dxa"/>
            <w:tcBorders>
              <w:top w:val="single" w:sz="4" w:space="0" w:color="auto"/>
              <w:left w:val="single" w:sz="4" w:space="0" w:color="auto"/>
              <w:bottom w:val="single" w:sz="4" w:space="0" w:color="auto"/>
              <w:right w:val="single" w:sz="4" w:space="0" w:color="auto"/>
            </w:tcBorders>
          </w:tcPr>
          <w:p w14:paraId="09C96399" w14:textId="77777777" w:rsidR="006B48B2" w:rsidRPr="00306B53" w:rsidRDefault="006B48B2" w:rsidP="00C06DAE">
            <w:pPr>
              <w:rPr>
                <w:rFonts w:ascii="Arial"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0DFE9C2F"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2024</w:t>
            </w:r>
          </w:p>
        </w:tc>
        <w:tc>
          <w:tcPr>
            <w:tcW w:w="2273" w:type="dxa"/>
            <w:tcBorders>
              <w:top w:val="single" w:sz="4" w:space="0" w:color="auto"/>
              <w:left w:val="single" w:sz="4" w:space="0" w:color="auto"/>
              <w:bottom w:val="single" w:sz="4" w:space="0" w:color="auto"/>
              <w:right w:val="single" w:sz="4" w:space="0" w:color="auto"/>
            </w:tcBorders>
            <w:hideMark/>
          </w:tcPr>
          <w:p w14:paraId="7BBA6201"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2025</w:t>
            </w:r>
          </w:p>
        </w:tc>
        <w:tc>
          <w:tcPr>
            <w:tcW w:w="1559" w:type="dxa"/>
            <w:tcBorders>
              <w:top w:val="single" w:sz="4" w:space="0" w:color="auto"/>
              <w:left w:val="single" w:sz="4" w:space="0" w:color="auto"/>
              <w:bottom w:val="single" w:sz="4" w:space="0" w:color="auto"/>
              <w:right w:val="single" w:sz="4" w:space="0" w:color="auto"/>
            </w:tcBorders>
            <w:hideMark/>
          </w:tcPr>
          <w:p w14:paraId="384EC3A3"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Difference +/-</w:t>
            </w:r>
          </w:p>
        </w:tc>
      </w:tr>
      <w:tr w:rsidR="006B48B2" w:rsidRPr="00306B53" w14:paraId="75A17833" w14:textId="77777777" w:rsidTr="00C06DAE">
        <w:tc>
          <w:tcPr>
            <w:tcW w:w="3539" w:type="dxa"/>
            <w:tcBorders>
              <w:top w:val="single" w:sz="4" w:space="0" w:color="auto"/>
              <w:left w:val="single" w:sz="4" w:space="0" w:color="auto"/>
              <w:bottom w:val="single" w:sz="4" w:space="0" w:color="auto"/>
              <w:right w:val="single" w:sz="4" w:space="0" w:color="auto"/>
            </w:tcBorders>
            <w:hideMark/>
          </w:tcPr>
          <w:p w14:paraId="5A4AC13D" w14:textId="77777777" w:rsidR="006B48B2" w:rsidRPr="00306B53" w:rsidRDefault="006B48B2" w:rsidP="00C06DAE">
            <w:pPr>
              <w:rPr>
                <w:rFonts w:ascii="Arial" w:hAnsi="Arial" w:cs="Arial"/>
                <w:bCs/>
                <w:sz w:val="24"/>
                <w:szCs w:val="24"/>
              </w:rPr>
            </w:pPr>
            <w:r w:rsidRPr="00306B53">
              <w:rPr>
                <w:rFonts w:ascii="Arial" w:hAnsi="Arial" w:cs="Arial"/>
                <w:sz w:val="24"/>
                <w:szCs w:val="24"/>
              </w:rPr>
              <w:t>Relative likelihood of staff accessing non-mandatory training and continuous professional development (CPD).</w:t>
            </w:r>
          </w:p>
        </w:tc>
        <w:tc>
          <w:tcPr>
            <w:tcW w:w="2263" w:type="dxa"/>
            <w:tcBorders>
              <w:top w:val="single" w:sz="4" w:space="0" w:color="auto"/>
              <w:left w:val="single" w:sz="4" w:space="0" w:color="auto"/>
              <w:bottom w:val="single" w:sz="4" w:space="0" w:color="auto"/>
              <w:right w:val="single" w:sz="4" w:space="0" w:color="auto"/>
            </w:tcBorders>
            <w:hideMark/>
          </w:tcPr>
          <w:p w14:paraId="00E41EC0"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0.99</w:t>
            </w:r>
          </w:p>
        </w:tc>
        <w:tc>
          <w:tcPr>
            <w:tcW w:w="2273" w:type="dxa"/>
            <w:tcBorders>
              <w:top w:val="single" w:sz="4" w:space="0" w:color="auto"/>
              <w:left w:val="single" w:sz="4" w:space="0" w:color="auto"/>
              <w:bottom w:val="single" w:sz="4" w:space="0" w:color="auto"/>
              <w:right w:val="single" w:sz="4" w:space="0" w:color="auto"/>
            </w:tcBorders>
            <w:hideMark/>
          </w:tcPr>
          <w:p w14:paraId="4A7C5A35"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0.97</w:t>
            </w:r>
          </w:p>
        </w:tc>
        <w:tc>
          <w:tcPr>
            <w:tcW w:w="1559" w:type="dxa"/>
            <w:tcBorders>
              <w:top w:val="single" w:sz="4" w:space="0" w:color="auto"/>
              <w:left w:val="single" w:sz="4" w:space="0" w:color="auto"/>
              <w:bottom w:val="single" w:sz="4" w:space="0" w:color="auto"/>
              <w:right w:val="single" w:sz="4" w:space="0" w:color="auto"/>
            </w:tcBorders>
            <w:hideMark/>
          </w:tcPr>
          <w:p w14:paraId="1F9D6E69"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-0.02</w:t>
            </w:r>
          </w:p>
        </w:tc>
      </w:tr>
    </w:tbl>
    <w:p w14:paraId="4E8D365C" w14:textId="77777777" w:rsidR="006B48B2" w:rsidRPr="00306B53" w:rsidRDefault="006B48B2" w:rsidP="006B48B2">
      <w:pPr>
        <w:spacing w:after="0" w:line="240" w:lineRule="auto"/>
        <w:rPr>
          <w:rFonts w:ascii="Arial" w:eastAsia="Calibri" w:hAnsi="Arial" w:cs="Arial"/>
          <w:sz w:val="24"/>
          <w:szCs w:val="24"/>
          <w:lang w:eastAsia="en-GB"/>
        </w:rPr>
      </w:pPr>
    </w:p>
    <w:p w14:paraId="1A6B4EC0"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There has been no significant change in the 2024 and 2025 relative likelihood scores, showing there is no disparity between white staff and BAME staff accessing non-mandatory CPD opportunities.</w:t>
      </w:r>
    </w:p>
    <w:p w14:paraId="21B8E1BC" w14:textId="77777777" w:rsidR="006B48B2" w:rsidRPr="00306B53" w:rsidRDefault="006B48B2" w:rsidP="006B48B2">
      <w:pPr>
        <w:spacing w:after="0" w:line="240" w:lineRule="auto"/>
        <w:jc w:val="both"/>
        <w:rPr>
          <w:rFonts w:ascii="Arial" w:eastAsia="Calibri" w:hAnsi="Arial" w:cs="Arial"/>
          <w:sz w:val="24"/>
          <w:szCs w:val="24"/>
          <w:lang w:eastAsia="en-GB"/>
        </w:rPr>
      </w:pPr>
    </w:p>
    <w:p w14:paraId="4CB8B5CC" w14:textId="77777777" w:rsidR="006B48B2" w:rsidRPr="00306B53" w:rsidRDefault="006B48B2" w:rsidP="006B48B2">
      <w:pPr>
        <w:spacing w:after="0" w:line="240" w:lineRule="auto"/>
        <w:rPr>
          <w:rFonts w:ascii="Calibri" w:eastAsia="Calibri" w:hAnsi="Calibri" w:cs="Arial"/>
          <w:sz w:val="20"/>
          <w:szCs w:val="20"/>
          <w:lang w:eastAsia="en-GB"/>
        </w:rPr>
      </w:pPr>
    </w:p>
    <w:p w14:paraId="65233E68" w14:textId="77777777" w:rsidR="006B48B2" w:rsidRPr="00306B53" w:rsidRDefault="006B48B2" w:rsidP="006B48B2">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Indicators 5-8: The figure below summarise the staff survey data that is used to inform the WRES submission</w:t>
      </w:r>
    </w:p>
    <w:tbl>
      <w:tblPr>
        <w:tblStyle w:val="TableGrid1"/>
        <w:tblpPr w:leftFromText="180" w:rightFromText="180" w:vertAnchor="text" w:horzAnchor="margin" w:tblpXSpec="center" w:tblpY="140"/>
        <w:tblW w:w="10347" w:type="dxa"/>
        <w:tblInd w:w="0" w:type="dxa"/>
        <w:tblLook w:val="04A0" w:firstRow="1" w:lastRow="0" w:firstColumn="1" w:lastColumn="0" w:noHBand="0" w:noVBand="1"/>
      </w:tblPr>
      <w:tblGrid>
        <w:gridCol w:w="7797"/>
        <w:gridCol w:w="1275"/>
        <w:gridCol w:w="1275"/>
      </w:tblGrid>
      <w:tr w:rsidR="006B48B2" w:rsidRPr="00306B53" w14:paraId="4165CB10" w14:textId="77777777" w:rsidTr="00C06DAE">
        <w:tc>
          <w:tcPr>
            <w:tcW w:w="7797" w:type="dxa"/>
            <w:tcBorders>
              <w:top w:val="single" w:sz="4" w:space="0" w:color="auto"/>
              <w:left w:val="single" w:sz="4" w:space="0" w:color="auto"/>
              <w:bottom w:val="single" w:sz="4" w:space="0" w:color="auto"/>
              <w:right w:val="single" w:sz="4" w:space="0" w:color="auto"/>
            </w:tcBorders>
            <w:hideMark/>
          </w:tcPr>
          <w:p w14:paraId="141DF9D2" w14:textId="77777777" w:rsidR="006B48B2" w:rsidRPr="00306B53" w:rsidRDefault="006B48B2" w:rsidP="00C06DAE">
            <w:pPr>
              <w:rPr>
                <w:rFonts w:ascii="Arial" w:hAnsi="Arial" w:cs="Arial"/>
                <w:sz w:val="24"/>
                <w:szCs w:val="24"/>
              </w:rPr>
            </w:pPr>
            <w:bookmarkStart w:id="1" w:name="_Hlk195107858"/>
            <w:r w:rsidRPr="00306B53">
              <w:rPr>
                <w:rFonts w:ascii="Arial" w:hAnsi="Arial" w:cs="Arial"/>
                <w:sz w:val="24"/>
                <w:szCs w:val="24"/>
              </w:rPr>
              <w:lastRenderedPageBreak/>
              <w:t>Measure</w:t>
            </w:r>
          </w:p>
        </w:tc>
        <w:tc>
          <w:tcPr>
            <w:tcW w:w="1275" w:type="dxa"/>
            <w:tcBorders>
              <w:top w:val="single" w:sz="4" w:space="0" w:color="auto"/>
              <w:left w:val="single" w:sz="4" w:space="0" w:color="auto"/>
              <w:bottom w:val="single" w:sz="4" w:space="0" w:color="auto"/>
              <w:right w:val="single" w:sz="4" w:space="0" w:color="auto"/>
            </w:tcBorders>
            <w:hideMark/>
          </w:tcPr>
          <w:p w14:paraId="5D059F31"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2023 Score</w:t>
            </w:r>
          </w:p>
        </w:tc>
        <w:tc>
          <w:tcPr>
            <w:tcW w:w="1275" w:type="dxa"/>
            <w:tcBorders>
              <w:top w:val="single" w:sz="4" w:space="0" w:color="auto"/>
              <w:left w:val="single" w:sz="4" w:space="0" w:color="auto"/>
              <w:bottom w:val="single" w:sz="4" w:space="0" w:color="auto"/>
              <w:right w:val="single" w:sz="4" w:space="0" w:color="auto"/>
            </w:tcBorders>
            <w:hideMark/>
          </w:tcPr>
          <w:p w14:paraId="3BB8F397"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2024 Score</w:t>
            </w:r>
          </w:p>
        </w:tc>
      </w:tr>
      <w:tr w:rsidR="006B48B2" w:rsidRPr="00306B53" w14:paraId="7124F7E2" w14:textId="77777777" w:rsidTr="00C06DAE">
        <w:tc>
          <w:tcPr>
            <w:tcW w:w="7797" w:type="dxa"/>
            <w:tcBorders>
              <w:top w:val="single" w:sz="4" w:space="0" w:color="auto"/>
              <w:left w:val="single" w:sz="4" w:space="0" w:color="auto"/>
              <w:bottom w:val="single" w:sz="4" w:space="0" w:color="auto"/>
              <w:right w:val="single" w:sz="4" w:space="0" w:color="auto"/>
            </w:tcBorders>
            <w:hideMark/>
          </w:tcPr>
          <w:p w14:paraId="792BEB2B" w14:textId="77777777" w:rsidR="006B48B2" w:rsidRPr="00306B53" w:rsidRDefault="006B48B2" w:rsidP="00C06DAE">
            <w:pPr>
              <w:rPr>
                <w:rFonts w:ascii="Arial" w:hAnsi="Arial" w:cs="Arial"/>
                <w:sz w:val="24"/>
                <w:szCs w:val="24"/>
              </w:rPr>
            </w:pPr>
            <w:r w:rsidRPr="00306B53">
              <w:rPr>
                <w:rFonts w:ascii="Arial" w:hAnsi="Arial" w:cs="Arial"/>
                <w:sz w:val="24"/>
                <w:szCs w:val="24"/>
              </w:rPr>
              <w:t>% of BAME staff reported experiencing harassment, bullying or abuse from patients, relatives or the public in the last 12 months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E9BFF7"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23.1%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763D93"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26.6%</w:t>
            </w:r>
          </w:p>
        </w:tc>
      </w:tr>
      <w:tr w:rsidR="006B48B2" w:rsidRPr="00306B53" w14:paraId="33C8E9CE" w14:textId="77777777" w:rsidTr="00C06DAE">
        <w:tc>
          <w:tcPr>
            <w:tcW w:w="7797" w:type="dxa"/>
            <w:tcBorders>
              <w:top w:val="single" w:sz="4" w:space="0" w:color="auto"/>
              <w:left w:val="single" w:sz="4" w:space="0" w:color="auto"/>
              <w:bottom w:val="single" w:sz="4" w:space="0" w:color="auto"/>
              <w:right w:val="single" w:sz="4" w:space="0" w:color="auto"/>
            </w:tcBorders>
            <w:hideMark/>
          </w:tcPr>
          <w:p w14:paraId="32467DE2" w14:textId="77777777" w:rsidR="006B48B2" w:rsidRPr="00306B53" w:rsidRDefault="006B48B2" w:rsidP="00C06DAE">
            <w:pPr>
              <w:rPr>
                <w:rFonts w:ascii="Arial" w:hAnsi="Arial" w:cs="Arial"/>
                <w:sz w:val="24"/>
                <w:szCs w:val="24"/>
              </w:rPr>
            </w:pPr>
            <w:r w:rsidRPr="00306B53">
              <w:rPr>
                <w:rFonts w:ascii="Arial" w:hAnsi="Arial" w:cs="Arial"/>
                <w:sz w:val="24"/>
                <w:szCs w:val="24"/>
              </w:rPr>
              <w:t>% of BAME staff reported experiencing harassment, bullying or abuse from staff in last 12 months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58066A"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FAFD01"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26.0%</w:t>
            </w:r>
          </w:p>
        </w:tc>
      </w:tr>
      <w:tr w:rsidR="006B48B2" w:rsidRPr="00306B53" w14:paraId="12B5591B" w14:textId="77777777" w:rsidTr="00C06DAE">
        <w:tc>
          <w:tcPr>
            <w:tcW w:w="7797" w:type="dxa"/>
            <w:tcBorders>
              <w:top w:val="single" w:sz="4" w:space="0" w:color="auto"/>
              <w:left w:val="single" w:sz="4" w:space="0" w:color="auto"/>
              <w:bottom w:val="single" w:sz="4" w:space="0" w:color="auto"/>
              <w:right w:val="single" w:sz="4" w:space="0" w:color="auto"/>
            </w:tcBorders>
            <w:hideMark/>
          </w:tcPr>
          <w:p w14:paraId="3DBE4087" w14:textId="77777777" w:rsidR="006B48B2" w:rsidRPr="00306B53" w:rsidRDefault="006B48B2" w:rsidP="00C06DAE">
            <w:pPr>
              <w:rPr>
                <w:rFonts w:ascii="Arial" w:hAnsi="Arial" w:cs="Arial"/>
                <w:sz w:val="24"/>
                <w:szCs w:val="24"/>
              </w:rPr>
            </w:pPr>
            <w:r w:rsidRPr="00306B53">
              <w:rPr>
                <w:rFonts w:ascii="Arial" w:hAnsi="Arial" w:cs="Arial"/>
                <w:sz w:val="24"/>
                <w:szCs w:val="24"/>
              </w:rPr>
              <w:t>% of BAME staff said they had experienced discrimination at work from either their manager, team leader or other colleagues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BE59D4"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88EB3E"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15.3%</w:t>
            </w:r>
          </w:p>
        </w:tc>
      </w:tr>
      <w:tr w:rsidR="006B48B2" w:rsidRPr="00306B53" w14:paraId="26247C83" w14:textId="77777777" w:rsidTr="00C06DAE">
        <w:tc>
          <w:tcPr>
            <w:tcW w:w="7797" w:type="dxa"/>
            <w:tcBorders>
              <w:top w:val="single" w:sz="4" w:space="0" w:color="auto"/>
              <w:left w:val="single" w:sz="4" w:space="0" w:color="auto"/>
              <w:bottom w:val="single" w:sz="4" w:space="0" w:color="auto"/>
              <w:right w:val="single" w:sz="4" w:space="0" w:color="auto"/>
            </w:tcBorders>
            <w:hideMark/>
          </w:tcPr>
          <w:p w14:paraId="52282165" w14:textId="77777777" w:rsidR="006B48B2" w:rsidRPr="00306B53" w:rsidRDefault="006B48B2" w:rsidP="00C06DAE">
            <w:pPr>
              <w:rPr>
                <w:rFonts w:ascii="Arial" w:hAnsi="Arial" w:cs="Arial"/>
                <w:sz w:val="24"/>
                <w:szCs w:val="24"/>
              </w:rPr>
            </w:pPr>
            <w:r w:rsidRPr="00306B53">
              <w:rPr>
                <w:rFonts w:ascii="Arial" w:hAnsi="Arial" w:cs="Arial"/>
                <w:sz w:val="24"/>
                <w:szCs w:val="24"/>
              </w:rPr>
              <w:t>% of BAME staff believed that the organisation provides equal opportunities for career progression or promotion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960F8F"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50.6%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DFC20E"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48.4%</w:t>
            </w:r>
          </w:p>
        </w:tc>
      </w:tr>
      <w:bookmarkEnd w:id="1"/>
    </w:tbl>
    <w:p w14:paraId="60C976DE" w14:textId="77777777" w:rsidR="006B48B2" w:rsidRPr="00306B53" w:rsidRDefault="006B48B2" w:rsidP="006B48B2">
      <w:pPr>
        <w:spacing w:after="0" w:line="240" w:lineRule="auto"/>
        <w:rPr>
          <w:rFonts w:ascii="Calibri" w:eastAsia="Calibri" w:hAnsi="Calibri" w:cs="Arial"/>
          <w:sz w:val="20"/>
          <w:szCs w:val="20"/>
          <w:lang w:eastAsia="en-GB"/>
        </w:rPr>
      </w:pPr>
    </w:p>
    <w:p w14:paraId="2BE21537"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There has been an increase (3.5%) in the proportion of BAME respondents who report bullying or abuse from patients, relatives or the public in the last 12 months.</w:t>
      </w:r>
    </w:p>
    <w:p w14:paraId="1B54AE68" w14:textId="77777777" w:rsidR="006B48B2" w:rsidRPr="00306B53" w:rsidRDefault="006B48B2" w:rsidP="006B48B2">
      <w:pPr>
        <w:spacing w:after="0" w:line="240" w:lineRule="auto"/>
        <w:jc w:val="both"/>
        <w:rPr>
          <w:rFonts w:ascii="Arial" w:eastAsia="Calibri" w:hAnsi="Arial" w:cs="Arial"/>
          <w:sz w:val="24"/>
          <w:szCs w:val="20"/>
          <w:lang w:eastAsia="en-GB"/>
        </w:rPr>
      </w:pPr>
    </w:p>
    <w:p w14:paraId="1AB393F1"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The proportion of BAME staff reporting harassment or bullying from staff has increased from 21.6% to 26.0%.</w:t>
      </w:r>
    </w:p>
    <w:p w14:paraId="763F34F4" w14:textId="77777777" w:rsidR="006B48B2" w:rsidRPr="00306B53" w:rsidRDefault="006B48B2" w:rsidP="006B48B2">
      <w:pPr>
        <w:spacing w:after="0" w:line="240" w:lineRule="auto"/>
        <w:jc w:val="both"/>
        <w:rPr>
          <w:rFonts w:ascii="Arial" w:eastAsia="Calibri" w:hAnsi="Arial" w:cs="Arial"/>
          <w:sz w:val="24"/>
          <w:szCs w:val="20"/>
          <w:lang w:eastAsia="en-GB"/>
        </w:rPr>
      </w:pPr>
    </w:p>
    <w:p w14:paraId="71DF5B84"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0"/>
          <w:lang w:eastAsia="en-GB"/>
        </w:rPr>
        <w:t xml:space="preserve">There has been an increase in the proportion of BAME respondents who reported that they had experienced </w:t>
      </w:r>
      <w:r w:rsidRPr="00306B53">
        <w:rPr>
          <w:rFonts w:ascii="Arial" w:eastAsia="Calibri" w:hAnsi="Arial" w:cs="Arial"/>
          <w:sz w:val="24"/>
          <w:szCs w:val="24"/>
          <w:lang w:eastAsia="en-GB"/>
        </w:rPr>
        <w:t>discrimination at work from either their manager, team leader or other colleagues, from 13.5% to 15.3%.</w:t>
      </w:r>
    </w:p>
    <w:p w14:paraId="20C6BFEE" w14:textId="77777777" w:rsidR="006B48B2" w:rsidRPr="00306B53" w:rsidRDefault="006B48B2" w:rsidP="006B48B2">
      <w:pPr>
        <w:spacing w:after="0" w:line="240" w:lineRule="auto"/>
        <w:jc w:val="both"/>
        <w:rPr>
          <w:rFonts w:ascii="Arial" w:eastAsia="Calibri" w:hAnsi="Arial" w:cs="Arial"/>
          <w:sz w:val="24"/>
          <w:szCs w:val="24"/>
          <w:lang w:eastAsia="en-GB"/>
        </w:rPr>
      </w:pPr>
    </w:p>
    <w:p w14:paraId="03BDD35F"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4"/>
          <w:lang w:eastAsia="en-GB"/>
        </w:rPr>
        <w:t xml:space="preserve">The proportion of BAME respondents who believed that that the organisation provides equal opportunities for career progression or promotion has decreased by 2.2% compared to the previous year. </w:t>
      </w:r>
    </w:p>
    <w:bookmarkEnd w:id="0"/>
    <w:p w14:paraId="2462A90C" w14:textId="77777777" w:rsidR="006B48B2" w:rsidRPr="00306B53" w:rsidRDefault="006B48B2" w:rsidP="006B48B2">
      <w:pPr>
        <w:spacing w:after="0" w:line="240" w:lineRule="auto"/>
        <w:rPr>
          <w:rFonts w:ascii="Calibri" w:eastAsia="Calibri" w:hAnsi="Calibri" w:cs="Arial"/>
          <w:sz w:val="20"/>
          <w:szCs w:val="20"/>
          <w:lang w:eastAsia="en-GB"/>
        </w:rPr>
      </w:pPr>
    </w:p>
    <w:p w14:paraId="77FBFA69" w14:textId="77777777" w:rsidR="006B48B2" w:rsidRPr="00306B53" w:rsidRDefault="006B48B2" w:rsidP="006B48B2">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9: Percentage difference between the organisation's Board voting membership and its overall workforce disaggregated.</w:t>
      </w:r>
    </w:p>
    <w:p w14:paraId="18C2922C" w14:textId="77777777" w:rsidR="006B48B2" w:rsidRPr="00306B53" w:rsidRDefault="006B48B2" w:rsidP="006B48B2">
      <w:pPr>
        <w:spacing w:after="0" w:line="240" w:lineRule="auto"/>
        <w:rPr>
          <w:rFonts w:ascii="Arial" w:eastAsia="Calibri" w:hAnsi="Arial" w:cs="Arial"/>
          <w:color w:val="FF0000"/>
          <w:sz w:val="24"/>
          <w:szCs w:val="24"/>
          <w:lang w:eastAsia="en-GB"/>
        </w:rPr>
      </w:pPr>
    </w:p>
    <w:tbl>
      <w:tblPr>
        <w:tblStyle w:val="TableGrid1"/>
        <w:tblW w:w="0" w:type="auto"/>
        <w:tblInd w:w="0" w:type="dxa"/>
        <w:tblLook w:val="04A0" w:firstRow="1" w:lastRow="0" w:firstColumn="1" w:lastColumn="0" w:noHBand="0" w:noVBand="1"/>
      </w:tblPr>
      <w:tblGrid>
        <w:gridCol w:w="4772"/>
        <w:gridCol w:w="1355"/>
        <w:gridCol w:w="1356"/>
        <w:gridCol w:w="1533"/>
      </w:tblGrid>
      <w:tr w:rsidR="006B48B2" w:rsidRPr="00306B53" w14:paraId="59AEF025" w14:textId="77777777" w:rsidTr="00C06DAE">
        <w:tc>
          <w:tcPr>
            <w:tcW w:w="4772" w:type="dxa"/>
            <w:tcBorders>
              <w:top w:val="single" w:sz="4" w:space="0" w:color="auto"/>
              <w:left w:val="single" w:sz="4" w:space="0" w:color="auto"/>
              <w:bottom w:val="single" w:sz="4" w:space="0" w:color="auto"/>
              <w:right w:val="single" w:sz="4" w:space="0" w:color="auto"/>
            </w:tcBorders>
          </w:tcPr>
          <w:p w14:paraId="7B6E578E" w14:textId="77777777" w:rsidR="006B48B2" w:rsidRPr="00306B53" w:rsidRDefault="006B48B2" w:rsidP="00C06DAE">
            <w:pPr>
              <w:rPr>
                <w:rFonts w:ascii="Arial"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hideMark/>
          </w:tcPr>
          <w:p w14:paraId="5321DDEB" w14:textId="77777777" w:rsidR="006B48B2" w:rsidRPr="00306B53" w:rsidRDefault="006B48B2" w:rsidP="00C06DAE">
            <w:pPr>
              <w:jc w:val="center"/>
              <w:rPr>
                <w:rFonts w:ascii="Arial" w:hAnsi="Arial" w:cs="Arial"/>
                <w:b/>
                <w:bCs/>
                <w:sz w:val="24"/>
                <w:szCs w:val="24"/>
              </w:rPr>
            </w:pPr>
            <w:r w:rsidRPr="00306B53">
              <w:rPr>
                <w:rFonts w:ascii="Arial" w:hAnsi="Arial" w:cs="Arial"/>
                <w:b/>
                <w:bCs/>
                <w:sz w:val="24"/>
                <w:szCs w:val="24"/>
              </w:rPr>
              <w:t>White</w:t>
            </w:r>
          </w:p>
        </w:tc>
        <w:tc>
          <w:tcPr>
            <w:tcW w:w="1356" w:type="dxa"/>
            <w:tcBorders>
              <w:top w:val="single" w:sz="4" w:space="0" w:color="auto"/>
              <w:left w:val="single" w:sz="4" w:space="0" w:color="auto"/>
              <w:bottom w:val="single" w:sz="4" w:space="0" w:color="auto"/>
              <w:right w:val="single" w:sz="4" w:space="0" w:color="auto"/>
            </w:tcBorders>
            <w:hideMark/>
          </w:tcPr>
          <w:p w14:paraId="554B599C" w14:textId="77777777" w:rsidR="006B48B2" w:rsidRPr="00306B53" w:rsidRDefault="006B48B2" w:rsidP="00C06DAE">
            <w:pPr>
              <w:jc w:val="center"/>
              <w:rPr>
                <w:rFonts w:ascii="Arial" w:hAnsi="Arial" w:cs="Arial"/>
                <w:b/>
                <w:bCs/>
                <w:sz w:val="24"/>
                <w:szCs w:val="24"/>
              </w:rPr>
            </w:pPr>
            <w:r w:rsidRPr="00306B53">
              <w:rPr>
                <w:rFonts w:ascii="Arial" w:hAnsi="Arial" w:cs="Arial"/>
                <w:b/>
                <w:bCs/>
                <w:sz w:val="24"/>
                <w:szCs w:val="24"/>
              </w:rPr>
              <w:t>BAME</w:t>
            </w:r>
          </w:p>
        </w:tc>
        <w:tc>
          <w:tcPr>
            <w:tcW w:w="1533" w:type="dxa"/>
            <w:tcBorders>
              <w:top w:val="single" w:sz="4" w:space="0" w:color="auto"/>
              <w:left w:val="single" w:sz="4" w:space="0" w:color="auto"/>
              <w:bottom w:val="single" w:sz="4" w:space="0" w:color="auto"/>
              <w:right w:val="single" w:sz="4" w:space="0" w:color="auto"/>
            </w:tcBorders>
            <w:hideMark/>
          </w:tcPr>
          <w:p w14:paraId="46B99C53" w14:textId="77777777" w:rsidR="006B48B2" w:rsidRPr="00306B53" w:rsidRDefault="006B48B2" w:rsidP="00C06DAE">
            <w:pPr>
              <w:jc w:val="center"/>
              <w:rPr>
                <w:rFonts w:ascii="Arial" w:hAnsi="Arial" w:cs="Arial"/>
                <w:b/>
                <w:bCs/>
                <w:sz w:val="24"/>
                <w:szCs w:val="24"/>
              </w:rPr>
            </w:pPr>
            <w:r w:rsidRPr="00306B53">
              <w:rPr>
                <w:rFonts w:ascii="Arial" w:hAnsi="Arial" w:cs="Arial"/>
                <w:b/>
                <w:bCs/>
                <w:sz w:val="24"/>
                <w:szCs w:val="24"/>
              </w:rPr>
              <w:t>Unknown</w:t>
            </w:r>
          </w:p>
        </w:tc>
      </w:tr>
      <w:tr w:rsidR="006B48B2" w:rsidRPr="00306B53" w14:paraId="0277D688"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273FAD09" w14:textId="77777777" w:rsidR="006B48B2" w:rsidRPr="00306B53" w:rsidRDefault="006B48B2" w:rsidP="00C06DAE">
            <w:pPr>
              <w:rPr>
                <w:rFonts w:ascii="Arial" w:hAnsi="Arial" w:cs="Arial"/>
                <w:sz w:val="24"/>
                <w:szCs w:val="24"/>
              </w:rPr>
            </w:pPr>
            <w:r w:rsidRPr="00306B53">
              <w:rPr>
                <w:rFonts w:ascii="Arial" w:hAnsi="Arial" w:cs="Arial"/>
                <w:sz w:val="24"/>
                <w:szCs w:val="24"/>
              </w:rPr>
              <w:t>Board Membership</w:t>
            </w:r>
          </w:p>
        </w:tc>
        <w:tc>
          <w:tcPr>
            <w:tcW w:w="1355"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50DDF3D5"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10</w:t>
            </w:r>
          </w:p>
        </w:tc>
        <w:tc>
          <w:tcPr>
            <w:tcW w:w="1356"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6DE009BE"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w:t>
            </w:r>
          </w:p>
        </w:tc>
        <w:tc>
          <w:tcPr>
            <w:tcW w:w="1533" w:type="dxa"/>
            <w:tcBorders>
              <w:top w:val="single" w:sz="8" w:space="0" w:color="auto"/>
              <w:left w:val="single" w:sz="4" w:space="0" w:color="auto"/>
              <w:bottom w:val="single" w:sz="4" w:space="0" w:color="auto"/>
              <w:right w:val="single" w:sz="8" w:space="0" w:color="auto"/>
            </w:tcBorders>
            <w:shd w:val="clear" w:color="auto" w:fill="FFFFFF"/>
            <w:vAlign w:val="center"/>
            <w:hideMark/>
          </w:tcPr>
          <w:p w14:paraId="46E2B649"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w:t>
            </w:r>
          </w:p>
        </w:tc>
      </w:tr>
      <w:tr w:rsidR="006B48B2" w:rsidRPr="00306B53" w14:paraId="539F6C9C" w14:textId="77777777" w:rsidTr="00C06DAE">
        <w:trPr>
          <w:trHeight w:val="617"/>
        </w:trPr>
        <w:tc>
          <w:tcPr>
            <w:tcW w:w="4772" w:type="dxa"/>
            <w:tcBorders>
              <w:top w:val="single" w:sz="4" w:space="0" w:color="auto"/>
              <w:left w:val="single" w:sz="4" w:space="0" w:color="auto"/>
              <w:bottom w:val="single" w:sz="4" w:space="0" w:color="auto"/>
              <w:right w:val="single" w:sz="4" w:space="0" w:color="auto"/>
            </w:tcBorders>
            <w:hideMark/>
          </w:tcPr>
          <w:p w14:paraId="4A6DC1DF" w14:textId="77777777" w:rsidR="006B48B2" w:rsidRPr="00306B53" w:rsidRDefault="006B48B2" w:rsidP="00C06DAE">
            <w:pPr>
              <w:rPr>
                <w:rFonts w:ascii="Arial" w:hAnsi="Arial" w:cs="Arial"/>
                <w:sz w:val="24"/>
                <w:szCs w:val="24"/>
              </w:rPr>
            </w:pPr>
            <w:r w:rsidRPr="00306B53">
              <w:rPr>
                <w:rFonts w:ascii="Arial" w:hAnsi="Arial" w:cs="Arial"/>
                <w:sz w:val="24"/>
                <w:szCs w:val="24"/>
              </w:rPr>
              <w:t xml:space="preserve">Of </w:t>
            </w:r>
            <w:proofErr w:type="gramStart"/>
            <w:r w:rsidRPr="00306B53">
              <w:rPr>
                <w:rFonts w:ascii="Arial" w:hAnsi="Arial" w:cs="Arial"/>
                <w:sz w:val="24"/>
                <w:szCs w:val="24"/>
              </w:rPr>
              <w:t>which;</w:t>
            </w:r>
            <w:proofErr w:type="gramEnd"/>
            <w:r w:rsidRPr="00306B53">
              <w:rPr>
                <w:rFonts w:ascii="Arial" w:hAnsi="Arial" w:cs="Arial"/>
                <w:sz w:val="24"/>
                <w:szCs w:val="24"/>
              </w:rPr>
              <w:t xml:space="preserve"> </w:t>
            </w:r>
          </w:p>
          <w:p w14:paraId="6FB37721" w14:textId="77777777" w:rsidR="006B48B2" w:rsidRPr="00306B53" w:rsidRDefault="006B48B2" w:rsidP="00C06DAE">
            <w:pPr>
              <w:jc w:val="right"/>
              <w:rPr>
                <w:rFonts w:ascii="Arial" w:hAnsi="Arial" w:cs="Arial"/>
                <w:sz w:val="24"/>
                <w:szCs w:val="24"/>
              </w:rPr>
            </w:pPr>
            <w:r w:rsidRPr="00306B53">
              <w:rPr>
                <w:rFonts w:ascii="Arial" w:hAnsi="Arial" w:cs="Arial"/>
                <w:sz w:val="24"/>
                <w:szCs w:val="24"/>
              </w:rPr>
              <w:t xml:space="preserve"> Voting Board Members</w:t>
            </w:r>
          </w:p>
        </w:tc>
        <w:tc>
          <w:tcPr>
            <w:tcW w:w="1355"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52EE2C24" w14:textId="77777777" w:rsidR="006B48B2" w:rsidRPr="00306B53" w:rsidRDefault="006B48B2" w:rsidP="00C06DAE">
            <w:pPr>
              <w:jc w:val="center"/>
              <w:rPr>
                <w:rFonts w:ascii="Arial" w:hAnsi="Arial" w:cs="Arial"/>
                <w:sz w:val="24"/>
                <w:szCs w:val="24"/>
              </w:rPr>
            </w:pPr>
            <w:r w:rsidRPr="00306B53">
              <w:rPr>
                <w:rFonts w:ascii="Arial" w:hAnsi="Arial" w:cs="Arial"/>
              </w:rPr>
              <w:t>9</w:t>
            </w:r>
          </w:p>
        </w:tc>
        <w:tc>
          <w:tcPr>
            <w:tcW w:w="13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0445C" w14:textId="77777777" w:rsidR="006B48B2" w:rsidRPr="00306B53" w:rsidRDefault="006B48B2" w:rsidP="00C06DAE">
            <w:pPr>
              <w:jc w:val="center"/>
              <w:rPr>
                <w:rFonts w:ascii="Arial" w:hAnsi="Arial" w:cs="Arial"/>
                <w:sz w:val="24"/>
                <w:szCs w:val="24"/>
              </w:rPr>
            </w:pPr>
            <w:r w:rsidRPr="00306B53">
              <w:rPr>
                <w:rFonts w:ascii="Arial" w:hAnsi="Arial" w:cs="Arial"/>
              </w:rPr>
              <w:t>2</w:t>
            </w:r>
          </w:p>
        </w:tc>
        <w:tc>
          <w:tcPr>
            <w:tcW w:w="1533" w:type="dxa"/>
            <w:tcBorders>
              <w:top w:val="single" w:sz="4" w:space="0" w:color="auto"/>
              <w:left w:val="single" w:sz="4" w:space="0" w:color="auto"/>
              <w:bottom w:val="single" w:sz="4" w:space="0" w:color="auto"/>
              <w:right w:val="single" w:sz="8" w:space="0" w:color="auto"/>
            </w:tcBorders>
            <w:shd w:val="clear" w:color="auto" w:fill="FFFFFF"/>
            <w:vAlign w:val="center"/>
            <w:hideMark/>
          </w:tcPr>
          <w:p w14:paraId="6EEB4ABF" w14:textId="77777777" w:rsidR="006B48B2" w:rsidRPr="00306B53" w:rsidRDefault="006B48B2" w:rsidP="00C06DAE">
            <w:pPr>
              <w:jc w:val="center"/>
              <w:rPr>
                <w:rFonts w:ascii="Arial" w:hAnsi="Arial" w:cs="Arial"/>
                <w:sz w:val="24"/>
                <w:szCs w:val="24"/>
              </w:rPr>
            </w:pPr>
            <w:r w:rsidRPr="00306B53">
              <w:rPr>
                <w:rFonts w:ascii="Arial" w:hAnsi="Arial" w:cs="Arial"/>
              </w:rPr>
              <w:t>1</w:t>
            </w:r>
          </w:p>
        </w:tc>
      </w:tr>
      <w:tr w:rsidR="006B48B2" w:rsidRPr="00306B53" w14:paraId="2D9B7B5D"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261673D1" w14:textId="77777777" w:rsidR="006B48B2" w:rsidRPr="00306B53" w:rsidRDefault="006B48B2" w:rsidP="00C06DAE">
            <w:pPr>
              <w:jc w:val="right"/>
              <w:rPr>
                <w:rFonts w:ascii="Arial" w:hAnsi="Arial" w:cs="Arial"/>
                <w:sz w:val="24"/>
                <w:szCs w:val="24"/>
              </w:rPr>
            </w:pPr>
            <w:r w:rsidRPr="00306B53">
              <w:rPr>
                <w:rFonts w:ascii="Arial" w:hAnsi="Arial" w:cs="Arial"/>
                <w:sz w:val="24"/>
                <w:szCs w:val="24"/>
              </w:rPr>
              <w:t>Non-voting Board Members</w:t>
            </w:r>
          </w:p>
        </w:tc>
        <w:tc>
          <w:tcPr>
            <w:tcW w:w="1355" w:type="dxa"/>
            <w:tcBorders>
              <w:top w:val="single" w:sz="4" w:space="0" w:color="auto"/>
              <w:left w:val="single" w:sz="8" w:space="0" w:color="auto"/>
              <w:bottom w:val="single" w:sz="4" w:space="0" w:color="auto"/>
              <w:right w:val="single" w:sz="4" w:space="0" w:color="auto"/>
            </w:tcBorders>
            <w:vAlign w:val="center"/>
            <w:hideMark/>
          </w:tcPr>
          <w:p w14:paraId="4665D5EB" w14:textId="77777777" w:rsidR="006B48B2" w:rsidRPr="00306B53" w:rsidRDefault="006B48B2" w:rsidP="00C06DAE">
            <w:pPr>
              <w:jc w:val="center"/>
              <w:rPr>
                <w:rFonts w:ascii="Arial" w:hAnsi="Arial" w:cs="Arial"/>
                <w:sz w:val="24"/>
                <w:szCs w:val="24"/>
              </w:rPr>
            </w:pPr>
            <w:r w:rsidRPr="00306B53">
              <w:rPr>
                <w:rFonts w:ascii="Arial" w:hAnsi="Arial" w:cs="Arial"/>
              </w:rPr>
              <w:t>1</w:t>
            </w:r>
          </w:p>
        </w:tc>
        <w:tc>
          <w:tcPr>
            <w:tcW w:w="1356" w:type="dxa"/>
            <w:tcBorders>
              <w:top w:val="single" w:sz="4" w:space="0" w:color="auto"/>
              <w:left w:val="nil"/>
              <w:bottom w:val="single" w:sz="4" w:space="0" w:color="auto"/>
              <w:right w:val="single" w:sz="4" w:space="0" w:color="auto"/>
            </w:tcBorders>
            <w:vAlign w:val="center"/>
            <w:hideMark/>
          </w:tcPr>
          <w:p w14:paraId="4BCC6CAA" w14:textId="77777777" w:rsidR="006B48B2" w:rsidRPr="00306B53" w:rsidRDefault="006B48B2" w:rsidP="00C06DAE">
            <w:pPr>
              <w:jc w:val="center"/>
              <w:rPr>
                <w:rFonts w:ascii="Arial" w:hAnsi="Arial" w:cs="Arial"/>
                <w:sz w:val="24"/>
                <w:szCs w:val="24"/>
              </w:rPr>
            </w:pPr>
            <w:r w:rsidRPr="00306B53">
              <w:rPr>
                <w:rFonts w:ascii="Arial" w:hAnsi="Arial" w:cs="Arial"/>
              </w:rPr>
              <w:t>0</w:t>
            </w:r>
          </w:p>
        </w:tc>
        <w:tc>
          <w:tcPr>
            <w:tcW w:w="1533" w:type="dxa"/>
            <w:tcBorders>
              <w:top w:val="single" w:sz="4" w:space="0" w:color="auto"/>
              <w:left w:val="nil"/>
              <w:bottom w:val="single" w:sz="4" w:space="0" w:color="auto"/>
              <w:right w:val="single" w:sz="8" w:space="0" w:color="auto"/>
            </w:tcBorders>
            <w:vAlign w:val="center"/>
            <w:hideMark/>
          </w:tcPr>
          <w:p w14:paraId="7C719CDB" w14:textId="77777777" w:rsidR="006B48B2" w:rsidRPr="00306B53" w:rsidRDefault="006B48B2" w:rsidP="00C06DAE">
            <w:pPr>
              <w:jc w:val="center"/>
              <w:rPr>
                <w:rFonts w:ascii="Arial" w:hAnsi="Arial" w:cs="Arial"/>
                <w:sz w:val="24"/>
                <w:szCs w:val="24"/>
              </w:rPr>
            </w:pPr>
            <w:r w:rsidRPr="00306B53">
              <w:rPr>
                <w:rFonts w:ascii="Arial" w:hAnsi="Arial" w:cs="Arial"/>
              </w:rPr>
              <w:t>0</w:t>
            </w:r>
          </w:p>
        </w:tc>
      </w:tr>
      <w:tr w:rsidR="006B48B2" w:rsidRPr="00306B53" w14:paraId="3E0D10E5" w14:textId="77777777" w:rsidTr="00C06DAE">
        <w:tc>
          <w:tcPr>
            <w:tcW w:w="4772" w:type="dxa"/>
            <w:tcBorders>
              <w:top w:val="single" w:sz="4" w:space="0" w:color="auto"/>
              <w:left w:val="single" w:sz="4" w:space="0" w:color="auto"/>
              <w:bottom w:val="single" w:sz="4" w:space="0" w:color="auto"/>
              <w:right w:val="single" w:sz="4" w:space="0" w:color="auto"/>
            </w:tcBorders>
            <w:shd w:val="clear" w:color="auto" w:fill="BFBFBF"/>
          </w:tcPr>
          <w:p w14:paraId="40D877BA" w14:textId="77777777" w:rsidR="006B48B2" w:rsidRPr="00306B53" w:rsidRDefault="006B48B2" w:rsidP="00C06DAE">
            <w:pPr>
              <w:rPr>
                <w:rFonts w:ascii="Arial"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4B75E559" w14:textId="77777777" w:rsidR="006B48B2" w:rsidRPr="00306B53" w:rsidRDefault="006B48B2" w:rsidP="00C06DAE">
            <w:pPr>
              <w:rPr>
                <w:rFonts w:ascii="Arial"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04EC6BD1" w14:textId="77777777" w:rsidR="006B48B2" w:rsidRPr="00306B53" w:rsidRDefault="006B48B2" w:rsidP="00C06DAE">
            <w:pPr>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7CF0D44A" w14:textId="77777777" w:rsidR="006B48B2" w:rsidRPr="00306B53" w:rsidRDefault="006B48B2" w:rsidP="00C06DAE">
            <w:pPr>
              <w:rPr>
                <w:rFonts w:ascii="Arial" w:hAnsi="Arial" w:cs="Arial"/>
                <w:sz w:val="24"/>
                <w:szCs w:val="24"/>
              </w:rPr>
            </w:pPr>
          </w:p>
        </w:tc>
      </w:tr>
      <w:tr w:rsidR="006B48B2" w:rsidRPr="00306B53" w14:paraId="7EA37C76"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164DFE55" w14:textId="77777777" w:rsidR="006B48B2" w:rsidRPr="00306B53" w:rsidRDefault="006B48B2" w:rsidP="00C06DAE">
            <w:pPr>
              <w:rPr>
                <w:rFonts w:ascii="Arial" w:hAnsi="Arial" w:cs="Arial"/>
                <w:sz w:val="24"/>
                <w:szCs w:val="24"/>
              </w:rPr>
            </w:pPr>
            <w:r w:rsidRPr="00306B53">
              <w:rPr>
                <w:rFonts w:ascii="Arial" w:hAnsi="Arial" w:cs="Arial"/>
                <w:sz w:val="24"/>
                <w:szCs w:val="24"/>
              </w:rPr>
              <w:t>Board Membership</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922ADE3" w14:textId="77777777" w:rsidR="006B48B2" w:rsidRPr="00306B53" w:rsidRDefault="006B48B2" w:rsidP="00C06DAE">
            <w:pPr>
              <w:jc w:val="center"/>
              <w:rPr>
                <w:rFonts w:ascii="Arial" w:hAnsi="Arial" w:cs="Arial"/>
                <w:sz w:val="24"/>
                <w:szCs w:val="24"/>
              </w:rPr>
            </w:pPr>
            <w:r w:rsidRPr="00306B53">
              <w:rPr>
                <w:rFonts w:ascii="Arial" w:hAnsi="Arial" w:cs="Arial"/>
              </w:rPr>
              <w:t>11</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275C158" w14:textId="77777777" w:rsidR="006B48B2" w:rsidRPr="00306B53" w:rsidRDefault="006B48B2" w:rsidP="00C06DAE">
            <w:pPr>
              <w:jc w:val="center"/>
              <w:rPr>
                <w:rFonts w:ascii="Arial" w:hAnsi="Arial" w:cs="Arial"/>
                <w:sz w:val="24"/>
                <w:szCs w:val="24"/>
              </w:rPr>
            </w:pPr>
            <w:r w:rsidRPr="00306B53">
              <w:rPr>
                <w:rFonts w:ascii="Arial" w:hAnsi="Arial" w:cs="Arial"/>
              </w:rPr>
              <w:t>2</w:t>
            </w:r>
          </w:p>
        </w:tc>
        <w:tc>
          <w:tcPr>
            <w:tcW w:w="1533" w:type="dxa"/>
            <w:tcBorders>
              <w:top w:val="single" w:sz="4" w:space="0" w:color="auto"/>
              <w:left w:val="single" w:sz="4" w:space="0" w:color="auto"/>
              <w:bottom w:val="single" w:sz="4" w:space="0" w:color="auto"/>
              <w:right w:val="single" w:sz="4" w:space="0" w:color="auto"/>
            </w:tcBorders>
            <w:vAlign w:val="center"/>
            <w:hideMark/>
          </w:tcPr>
          <w:p w14:paraId="0A872BAF" w14:textId="77777777" w:rsidR="006B48B2" w:rsidRPr="00306B53" w:rsidRDefault="006B48B2" w:rsidP="00C06DAE">
            <w:pPr>
              <w:jc w:val="center"/>
              <w:rPr>
                <w:rFonts w:ascii="Arial" w:hAnsi="Arial" w:cs="Arial"/>
                <w:sz w:val="24"/>
                <w:szCs w:val="24"/>
              </w:rPr>
            </w:pPr>
            <w:r w:rsidRPr="00306B53">
              <w:rPr>
                <w:rFonts w:ascii="Arial" w:hAnsi="Arial" w:cs="Arial"/>
              </w:rPr>
              <w:t>1</w:t>
            </w:r>
          </w:p>
        </w:tc>
      </w:tr>
      <w:tr w:rsidR="006B48B2" w:rsidRPr="00306B53" w14:paraId="16BFB400"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60EABB4B" w14:textId="77777777" w:rsidR="006B48B2" w:rsidRPr="00306B53" w:rsidRDefault="006B48B2" w:rsidP="00C06DAE">
            <w:pPr>
              <w:rPr>
                <w:rFonts w:ascii="Arial" w:hAnsi="Arial" w:cs="Arial"/>
                <w:sz w:val="24"/>
                <w:szCs w:val="24"/>
              </w:rPr>
            </w:pPr>
            <w:r w:rsidRPr="00306B53">
              <w:rPr>
                <w:rFonts w:ascii="Arial" w:hAnsi="Arial" w:cs="Arial"/>
                <w:sz w:val="24"/>
                <w:szCs w:val="24"/>
              </w:rPr>
              <w:t xml:space="preserve">Of </w:t>
            </w:r>
            <w:proofErr w:type="gramStart"/>
            <w:r w:rsidRPr="00306B53">
              <w:rPr>
                <w:rFonts w:ascii="Arial" w:hAnsi="Arial" w:cs="Arial"/>
                <w:sz w:val="24"/>
                <w:szCs w:val="24"/>
              </w:rPr>
              <w:t>which;</w:t>
            </w:r>
            <w:proofErr w:type="gramEnd"/>
          </w:p>
          <w:p w14:paraId="282012F9" w14:textId="77777777" w:rsidR="006B48B2" w:rsidRPr="00306B53" w:rsidRDefault="006B48B2" w:rsidP="00C06DAE">
            <w:pPr>
              <w:jc w:val="right"/>
              <w:rPr>
                <w:rFonts w:ascii="Arial" w:hAnsi="Arial" w:cs="Arial"/>
                <w:sz w:val="24"/>
                <w:szCs w:val="24"/>
              </w:rPr>
            </w:pPr>
            <w:r w:rsidRPr="00306B53">
              <w:rPr>
                <w:rFonts w:ascii="Arial" w:hAnsi="Arial" w:cs="Arial"/>
                <w:sz w:val="24"/>
                <w:szCs w:val="24"/>
              </w:rPr>
              <w:t>Exec Board Members</w:t>
            </w:r>
          </w:p>
        </w:tc>
        <w:tc>
          <w:tcPr>
            <w:tcW w:w="1355"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184B56B"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7</w:t>
            </w:r>
          </w:p>
        </w:tc>
        <w:tc>
          <w:tcPr>
            <w:tcW w:w="13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0B758" w14:textId="77777777" w:rsidR="006B48B2" w:rsidRPr="00306B53" w:rsidRDefault="006B48B2" w:rsidP="00C06DAE">
            <w:pPr>
              <w:jc w:val="center"/>
              <w:rPr>
                <w:rFonts w:ascii="Arial" w:hAnsi="Arial" w:cs="Arial"/>
                <w:sz w:val="24"/>
                <w:szCs w:val="24"/>
              </w:rPr>
            </w:pPr>
            <w:r w:rsidRPr="00306B53">
              <w:rPr>
                <w:rFonts w:ascii="Arial" w:hAnsi="Arial" w:cs="Arial"/>
              </w:rPr>
              <w:t>0</w:t>
            </w:r>
          </w:p>
        </w:tc>
        <w:tc>
          <w:tcPr>
            <w:tcW w:w="1533" w:type="dxa"/>
            <w:tcBorders>
              <w:top w:val="single" w:sz="4" w:space="0" w:color="auto"/>
              <w:left w:val="single" w:sz="4" w:space="0" w:color="auto"/>
              <w:bottom w:val="single" w:sz="4" w:space="0" w:color="auto"/>
              <w:right w:val="single" w:sz="8" w:space="0" w:color="auto"/>
            </w:tcBorders>
            <w:shd w:val="clear" w:color="auto" w:fill="FFFFFF"/>
            <w:vAlign w:val="center"/>
            <w:hideMark/>
          </w:tcPr>
          <w:p w14:paraId="66F66CFB" w14:textId="77777777" w:rsidR="006B48B2" w:rsidRPr="00306B53" w:rsidRDefault="006B48B2" w:rsidP="00C06DAE">
            <w:pPr>
              <w:jc w:val="center"/>
              <w:rPr>
                <w:rFonts w:ascii="Arial" w:hAnsi="Arial" w:cs="Arial"/>
                <w:sz w:val="24"/>
                <w:szCs w:val="24"/>
              </w:rPr>
            </w:pPr>
            <w:r w:rsidRPr="00306B53">
              <w:rPr>
                <w:rFonts w:ascii="Arial" w:hAnsi="Arial" w:cs="Arial"/>
              </w:rPr>
              <w:t>0</w:t>
            </w:r>
          </w:p>
        </w:tc>
      </w:tr>
      <w:tr w:rsidR="006B48B2" w:rsidRPr="00306B53" w14:paraId="15929657"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53691D2B" w14:textId="77777777" w:rsidR="006B48B2" w:rsidRPr="00306B53" w:rsidRDefault="006B48B2" w:rsidP="00C06DAE">
            <w:pPr>
              <w:jc w:val="right"/>
              <w:rPr>
                <w:rFonts w:ascii="Arial" w:hAnsi="Arial" w:cs="Arial"/>
                <w:sz w:val="24"/>
                <w:szCs w:val="24"/>
              </w:rPr>
            </w:pPr>
            <w:r w:rsidRPr="00306B53">
              <w:rPr>
                <w:rFonts w:ascii="Arial" w:hAnsi="Arial" w:cs="Arial"/>
                <w:sz w:val="24"/>
                <w:szCs w:val="24"/>
              </w:rPr>
              <w:t>Non-Exec Board Members</w:t>
            </w:r>
          </w:p>
        </w:tc>
        <w:tc>
          <w:tcPr>
            <w:tcW w:w="1355" w:type="dxa"/>
            <w:tcBorders>
              <w:top w:val="nil"/>
              <w:left w:val="single" w:sz="8" w:space="0" w:color="auto"/>
              <w:bottom w:val="single" w:sz="4" w:space="0" w:color="auto"/>
              <w:right w:val="single" w:sz="4" w:space="0" w:color="auto"/>
            </w:tcBorders>
            <w:vAlign w:val="center"/>
            <w:hideMark/>
          </w:tcPr>
          <w:p w14:paraId="0290EB2B"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3</w:t>
            </w:r>
          </w:p>
        </w:tc>
        <w:tc>
          <w:tcPr>
            <w:tcW w:w="1356" w:type="dxa"/>
            <w:tcBorders>
              <w:top w:val="nil"/>
              <w:left w:val="nil"/>
              <w:bottom w:val="single" w:sz="4" w:space="0" w:color="auto"/>
              <w:right w:val="single" w:sz="4" w:space="0" w:color="auto"/>
            </w:tcBorders>
            <w:vAlign w:val="center"/>
            <w:hideMark/>
          </w:tcPr>
          <w:p w14:paraId="0C9A7D5B"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w:t>
            </w:r>
          </w:p>
        </w:tc>
        <w:tc>
          <w:tcPr>
            <w:tcW w:w="1533" w:type="dxa"/>
            <w:tcBorders>
              <w:top w:val="nil"/>
              <w:left w:val="nil"/>
              <w:bottom w:val="single" w:sz="4" w:space="0" w:color="auto"/>
              <w:right w:val="single" w:sz="8" w:space="0" w:color="auto"/>
            </w:tcBorders>
            <w:vAlign w:val="center"/>
            <w:hideMark/>
          </w:tcPr>
          <w:p w14:paraId="1DC7D066"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w:t>
            </w:r>
          </w:p>
        </w:tc>
      </w:tr>
      <w:tr w:rsidR="006B48B2" w:rsidRPr="00306B53" w14:paraId="45C60E47" w14:textId="77777777" w:rsidTr="00C06DAE">
        <w:tc>
          <w:tcPr>
            <w:tcW w:w="4772" w:type="dxa"/>
            <w:tcBorders>
              <w:top w:val="single" w:sz="4" w:space="0" w:color="auto"/>
              <w:left w:val="single" w:sz="4" w:space="0" w:color="auto"/>
              <w:bottom w:val="single" w:sz="4" w:space="0" w:color="auto"/>
              <w:right w:val="single" w:sz="4" w:space="0" w:color="auto"/>
            </w:tcBorders>
            <w:shd w:val="clear" w:color="auto" w:fill="BFBFBF"/>
          </w:tcPr>
          <w:p w14:paraId="339E422A" w14:textId="77777777" w:rsidR="006B48B2" w:rsidRPr="00306B53" w:rsidRDefault="006B48B2" w:rsidP="00C06DAE">
            <w:pPr>
              <w:rPr>
                <w:rFonts w:ascii="Arial"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595D0A14" w14:textId="77777777" w:rsidR="006B48B2" w:rsidRPr="00306B53" w:rsidRDefault="006B48B2" w:rsidP="00C06DAE">
            <w:pPr>
              <w:rPr>
                <w:rFonts w:ascii="Arial"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61588807" w14:textId="77777777" w:rsidR="006B48B2" w:rsidRPr="00306B53" w:rsidRDefault="006B48B2" w:rsidP="00C06DAE">
            <w:pPr>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1C676623" w14:textId="77777777" w:rsidR="006B48B2" w:rsidRPr="00306B53" w:rsidRDefault="006B48B2" w:rsidP="00C06DAE">
            <w:pPr>
              <w:rPr>
                <w:rFonts w:ascii="Arial" w:hAnsi="Arial" w:cs="Arial"/>
                <w:sz w:val="24"/>
                <w:szCs w:val="24"/>
              </w:rPr>
            </w:pPr>
          </w:p>
        </w:tc>
      </w:tr>
      <w:tr w:rsidR="006B48B2" w:rsidRPr="00306B53" w14:paraId="1B3540C8"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5A1E9128" w14:textId="77777777" w:rsidR="006B48B2" w:rsidRPr="00306B53" w:rsidRDefault="006B48B2" w:rsidP="00C06DAE">
            <w:pPr>
              <w:rPr>
                <w:rFonts w:ascii="Arial" w:hAnsi="Arial" w:cs="Arial"/>
                <w:sz w:val="24"/>
                <w:szCs w:val="24"/>
              </w:rPr>
            </w:pPr>
            <w:r w:rsidRPr="00306B53">
              <w:rPr>
                <w:rFonts w:ascii="Arial" w:hAnsi="Arial" w:cs="Arial"/>
                <w:sz w:val="24"/>
                <w:szCs w:val="24"/>
              </w:rPr>
              <w:t>Number of staff in overall workforce</w:t>
            </w:r>
          </w:p>
        </w:tc>
        <w:tc>
          <w:tcPr>
            <w:tcW w:w="1355" w:type="dxa"/>
            <w:tcBorders>
              <w:top w:val="single" w:sz="4" w:space="0" w:color="auto"/>
              <w:left w:val="single" w:sz="4" w:space="0" w:color="auto"/>
              <w:bottom w:val="single" w:sz="4" w:space="0" w:color="auto"/>
              <w:right w:val="single" w:sz="4" w:space="0" w:color="auto"/>
            </w:tcBorders>
            <w:hideMark/>
          </w:tcPr>
          <w:p w14:paraId="61B3A3CA"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4479</w:t>
            </w:r>
          </w:p>
        </w:tc>
        <w:tc>
          <w:tcPr>
            <w:tcW w:w="1356" w:type="dxa"/>
            <w:tcBorders>
              <w:top w:val="single" w:sz="4" w:space="0" w:color="auto"/>
              <w:left w:val="single" w:sz="4" w:space="0" w:color="auto"/>
              <w:bottom w:val="single" w:sz="4" w:space="0" w:color="auto"/>
              <w:right w:val="single" w:sz="4" w:space="0" w:color="auto"/>
            </w:tcBorders>
            <w:hideMark/>
          </w:tcPr>
          <w:p w14:paraId="439F6AAD"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1822</w:t>
            </w:r>
          </w:p>
        </w:tc>
        <w:tc>
          <w:tcPr>
            <w:tcW w:w="1533" w:type="dxa"/>
            <w:tcBorders>
              <w:top w:val="single" w:sz="4" w:space="0" w:color="auto"/>
              <w:left w:val="single" w:sz="4" w:space="0" w:color="auto"/>
              <w:bottom w:val="single" w:sz="4" w:space="0" w:color="auto"/>
              <w:right w:val="single" w:sz="4" w:space="0" w:color="auto"/>
            </w:tcBorders>
            <w:hideMark/>
          </w:tcPr>
          <w:p w14:paraId="55CC5712"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130</w:t>
            </w:r>
          </w:p>
        </w:tc>
      </w:tr>
      <w:tr w:rsidR="006B48B2" w:rsidRPr="00306B53" w14:paraId="5AD53F16"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6502FA11" w14:textId="77777777" w:rsidR="006B48B2" w:rsidRPr="00306B53" w:rsidRDefault="006B48B2" w:rsidP="00C06DAE">
            <w:pPr>
              <w:rPr>
                <w:rFonts w:ascii="Arial" w:hAnsi="Arial" w:cs="Arial"/>
                <w:sz w:val="24"/>
                <w:szCs w:val="24"/>
              </w:rPr>
            </w:pPr>
            <w:r w:rsidRPr="00306B53">
              <w:rPr>
                <w:rFonts w:ascii="Arial" w:hAnsi="Arial" w:cs="Arial"/>
                <w:sz w:val="24"/>
                <w:szCs w:val="24"/>
              </w:rPr>
              <w:t>Overall Workforce % by ethnicity</w:t>
            </w:r>
          </w:p>
        </w:tc>
        <w:tc>
          <w:tcPr>
            <w:tcW w:w="1355" w:type="dxa"/>
            <w:tcBorders>
              <w:top w:val="single" w:sz="4" w:space="0" w:color="auto"/>
              <w:left w:val="single" w:sz="4" w:space="0" w:color="auto"/>
              <w:bottom w:val="single" w:sz="4" w:space="0" w:color="auto"/>
              <w:right w:val="single" w:sz="4" w:space="0" w:color="auto"/>
            </w:tcBorders>
            <w:hideMark/>
          </w:tcPr>
          <w:p w14:paraId="3E404DF8"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69.65%</w:t>
            </w:r>
          </w:p>
        </w:tc>
        <w:tc>
          <w:tcPr>
            <w:tcW w:w="1356" w:type="dxa"/>
            <w:tcBorders>
              <w:top w:val="single" w:sz="4" w:space="0" w:color="auto"/>
              <w:left w:val="single" w:sz="4" w:space="0" w:color="auto"/>
              <w:bottom w:val="single" w:sz="4" w:space="0" w:color="auto"/>
              <w:right w:val="single" w:sz="4" w:space="0" w:color="auto"/>
            </w:tcBorders>
            <w:hideMark/>
          </w:tcPr>
          <w:p w14:paraId="43FBFD3C"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28.33%</w:t>
            </w:r>
          </w:p>
        </w:tc>
        <w:tc>
          <w:tcPr>
            <w:tcW w:w="1533" w:type="dxa"/>
            <w:tcBorders>
              <w:top w:val="single" w:sz="4" w:space="0" w:color="auto"/>
              <w:left w:val="single" w:sz="4" w:space="0" w:color="auto"/>
              <w:bottom w:val="single" w:sz="4" w:space="0" w:color="auto"/>
              <w:right w:val="single" w:sz="4" w:space="0" w:color="auto"/>
            </w:tcBorders>
            <w:hideMark/>
          </w:tcPr>
          <w:p w14:paraId="352EADFB"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2.02%</w:t>
            </w:r>
          </w:p>
        </w:tc>
      </w:tr>
      <w:tr w:rsidR="006B48B2" w:rsidRPr="00306B53" w14:paraId="1B6861B5" w14:textId="77777777" w:rsidTr="00C06DAE">
        <w:tc>
          <w:tcPr>
            <w:tcW w:w="4772" w:type="dxa"/>
            <w:tcBorders>
              <w:top w:val="single" w:sz="4" w:space="0" w:color="auto"/>
              <w:left w:val="single" w:sz="4" w:space="0" w:color="auto"/>
              <w:bottom w:val="single" w:sz="4" w:space="0" w:color="auto"/>
              <w:right w:val="single" w:sz="4" w:space="0" w:color="auto"/>
            </w:tcBorders>
            <w:shd w:val="clear" w:color="auto" w:fill="BFBFBF"/>
          </w:tcPr>
          <w:p w14:paraId="41E22514" w14:textId="77777777" w:rsidR="006B48B2" w:rsidRPr="00306B53" w:rsidRDefault="006B48B2" w:rsidP="00C06DAE">
            <w:pPr>
              <w:rPr>
                <w:rFonts w:ascii="Arial"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1BB5544C" w14:textId="77777777" w:rsidR="006B48B2" w:rsidRPr="00306B53" w:rsidRDefault="006B48B2" w:rsidP="00C06DAE">
            <w:pPr>
              <w:rPr>
                <w:rFonts w:ascii="Arial"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166FADE5" w14:textId="77777777" w:rsidR="006B48B2" w:rsidRPr="00306B53" w:rsidRDefault="006B48B2" w:rsidP="00C06DAE">
            <w:pPr>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556EEC34" w14:textId="77777777" w:rsidR="006B48B2" w:rsidRPr="00306B53" w:rsidRDefault="006B48B2" w:rsidP="00C06DAE">
            <w:pPr>
              <w:rPr>
                <w:rFonts w:ascii="Arial" w:hAnsi="Arial" w:cs="Arial"/>
                <w:sz w:val="24"/>
                <w:szCs w:val="24"/>
              </w:rPr>
            </w:pPr>
          </w:p>
        </w:tc>
      </w:tr>
      <w:tr w:rsidR="006B48B2" w:rsidRPr="00306B53" w14:paraId="4B523BE9"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0E7915ED" w14:textId="77777777" w:rsidR="006B48B2" w:rsidRPr="00306B53" w:rsidRDefault="006B48B2" w:rsidP="00C06DAE">
            <w:pPr>
              <w:rPr>
                <w:rFonts w:ascii="Arial" w:hAnsi="Arial" w:cs="Arial"/>
                <w:sz w:val="24"/>
                <w:szCs w:val="24"/>
              </w:rPr>
            </w:pPr>
            <w:r w:rsidRPr="00306B53">
              <w:rPr>
                <w:rFonts w:ascii="Arial" w:hAnsi="Arial" w:cs="Arial"/>
                <w:sz w:val="24"/>
                <w:szCs w:val="24"/>
              </w:rPr>
              <w:t>Total Board members by ethnicity (%)</w:t>
            </w:r>
          </w:p>
        </w:tc>
        <w:tc>
          <w:tcPr>
            <w:tcW w:w="1355" w:type="dxa"/>
            <w:tcBorders>
              <w:top w:val="single" w:sz="4" w:space="0" w:color="auto"/>
              <w:left w:val="single" w:sz="4" w:space="0" w:color="auto"/>
              <w:bottom w:val="single" w:sz="4" w:space="0" w:color="auto"/>
              <w:right w:val="single" w:sz="4" w:space="0" w:color="auto"/>
            </w:tcBorders>
            <w:hideMark/>
          </w:tcPr>
          <w:p w14:paraId="564AEF47"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76.92%</w:t>
            </w:r>
          </w:p>
        </w:tc>
        <w:tc>
          <w:tcPr>
            <w:tcW w:w="1356" w:type="dxa"/>
            <w:tcBorders>
              <w:top w:val="single" w:sz="4" w:space="0" w:color="auto"/>
              <w:left w:val="single" w:sz="4" w:space="0" w:color="auto"/>
              <w:bottom w:val="single" w:sz="4" w:space="0" w:color="auto"/>
              <w:right w:val="single" w:sz="4" w:space="0" w:color="auto"/>
            </w:tcBorders>
            <w:hideMark/>
          </w:tcPr>
          <w:p w14:paraId="13CA49E4"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15.38%</w:t>
            </w:r>
          </w:p>
        </w:tc>
        <w:tc>
          <w:tcPr>
            <w:tcW w:w="1533" w:type="dxa"/>
            <w:tcBorders>
              <w:top w:val="single" w:sz="4" w:space="0" w:color="auto"/>
              <w:left w:val="single" w:sz="4" w:space="0" w:color="auto"/>
              <w:bottom w:val="single" w:sz="4" w:space="0" w:color="auto"/>
              <w:right w:val="single" w:sz="4" w:space="0" w:color="auto"/>
            </w:tcBorders>
            <w:hideMark/>
          </w:tcPr>
          <w:p w14:paraId="52817429"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7.69%</w:t>
            </w:r>
          </w:p>
        </w:tc>
      </w:tr>
      <w:tr w:rsidR="006B48B2" w:rsidRPr="00306B53" w14:paraId="47E7FD9E" w14:textId="77777777" w:rsidTr="00C06DAE">
        <w:tc>
          <w:tcPr>
            <w:tcW w:w="4772" w:type="dxa"/>
            <w:tcBorders>
              <w:top w:val="single" w:sz="4" w:space="0" w:color="auto"/>
              <w:left w:val="single" w:sz="4" w:space="0" w:color="auto"/>
              <w:bottom w:val="single" w:sz="4" w:space="0" w:color="auto"/>
              <w:right w:val="single" w:sz="4" w:space="0" w:color="auto"/>
            </w:tcBorders>
            <w:shd w:val="clear" w:color="auto" w:fill="BFBFBF"/>
          </w:tcPr>
          <w:p w14:paraId="2CD12C84" w14:textId="77777777" w:rsidR="006B48B2" w:rsidRPr="00306B53" w:rsidRDefault="006B48B2" w:rsidP="00C06DAE">
            <w:pPr>
              <w:rPr>
                <w:rFonts w:ascii="Arial"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6FA599BE" w14:textId="77777777" w:rsidR="006B48B2" w:rsidRPr="00306B53" w:rsidRDefault="006B48B2" w:rsidP="00C06DAE">
            <w:pPr>
              <w:rPr>
                <w:rFonts w:ascii="Arial"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3F080D67" w14:textId="77777777" w:rsidR="006B48B2" w:rsidRPr="00306B53" w:rsidRDefault="006B48B2" w:rsidP="00C06DAE">
            <w:pPr>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32F6FA2A" w14:textId="77777777" w:rsidR="006B48B2" w:rsidRPr="00306B53" w:rsidRDefault="006B48B2" w:rsidP="00C06DAE">
            <w:pPr>
              <w:rPr>
                <w:rFonts w:ascii="Arial" w:hAnsi="Arial" w:cs="Arial"/>
                <w:sz w:val="24"/>
                <w:szCs w:val="24"/>
              </w:rPr>
            </w:pPr>
          </w:p>
        </w:tc>
      </w:tr>
      <w:tr w:rsidR="006B48B2" w:rsidRPr="00306B53" w14:paraId="2F50D029"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29F96081" w14:textId="77777777" w:rsidR="006B48B2" w:rsidRPr="00306B53" w:rsidRDefault="006B48B2" w:rsidP="00C06DAE">
            <w:pPr>
              <w:rPr>
                <w:rFonts w:ascii="Arial" w:hAnsi="Arial" w:cs="Arial"/>
                <w:sz w:val="24"/>
                <w:szCs w:val="24"/>
              </w:rPr>
            </w:pPr>
            <w:r w:rsidRPr="00306B53">
              <w:rPr>
                <w:rFonts w:ascii="Arial" w:hAnsi="Arial" w:cs="Arial"/>
                <w:sz w:val="24"/>
                <w:szCs w:val="24"/>
              </w:rPr>
              <w:t>Difference Board membership to overall workforce</w:t>
            </w:r>
          </w:p>
        </w:tc>
        <w:tc>
          <w:tcPr>
            <w:tcW w:w="1355" w:type="dxa"/>
            <w:tcBorders>
              <w:top w:val="single" w:sz="4" w:space="0" w:color="auto"/>
              <w:left w:val="single" w:sz="4" w:space="0" w:color="auto"/>
              <w:bottom w:val="single" w:sz="4" w:space="0" w:color="auto"/>
              <w:right w:val="single" w:sz="4" w:space="0" w:color="auto"/>
            </w:tcBorders>
            <w:hideMark/>
          </w:tcPr>
          <w:p w14:paraId="5EF800FD"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7%</w:t>
            </w:r>
          </w:p>
        </w:tc>
        <w:tc>
          <w:tcPr>
            <w:tcW w:w="1356" w:type="dxa"/>
            <w:tcBorders>
              <w:top w:val="single" w:sz="4" w:space="0" w:color="auto"/>
              <w:left w:val="single" w:sz="4" w:space="0" w:color="auto"/>
              <w:bottom w:val="single" w:sz="4" w:space="0" w:color="auto"/>
              <w:right w:val="single" w:sz="4" w:space="0" w:color="auto"/>
            </w:tcBorders>
            <w:hideMark/>
          </w:tcPr>
          <w:p w14:paraId="6B4AD8BA"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-13%</w:t>
            </w:r>
          </w:p>
        </w:tc>
        <w:tc>
          <w:tcPr>
            <w:tcW w:w="1533" w:type="dxa"/>
            <w:tcBorders>
              <w:top w:val="single" w:sz="4" w:space="0" w:color="auto"/>
              <w:left w:val="single" w:sz="4" w:space="0" w:color="auto"/>
              <w:bottom w:val="single" w:sz="4" w:space="0" w:color="auto"/>
              <w:right w:val="single" w:sz="4" w:space="0" w:color="auto"/>
            </w:tcBorders>
            <w:hideMark/>
          </w:tcPr>
          <w:p w14:paraId="31694A36"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6%</w:t>
            </w:r>
          </w:p>
        </w:tc>
      </w:tr>
    </w:tbl>
    <w:p w14:paraId="4A4E86DE" w14:textId="77777777" w:rsidR="006B48B2" w:rsidRPr="00306B53" w:rsidRDefault="006B48B2" w:rsidP="006B48B2">
      <w:pPr>
        <w:spacing w:line="256" w:lineRule="auto"/>
        <w:rPr>
          <w:rFonts w:ascii="Arial" w:eastAsia="Aptos" w:hAnsi="Arial" w:cs="Arial"/>
          <w:b/>
          <w:bCs/>
          <w:color w:val="FF0000"/>
          <w:kern w:val="2"/>
          <w:sz w:val="24"/>
          <w:szCs w:val="24"/>
          <w14:ligatures w14:val="standardContextual"/>
        </w:rPr>
      </w:pPr>
    </w:p>
    <w:p w14:paraId="4198C18C" w14:textId="77777777" w:rsidR="006B48B2" w:rsidRPr="00306B53" w:rsidRDefault="006B48B2" w:rsidP="006B48B2">
      <w:pPr>
        <w:spacing w:line="256" w:lineRule="auto"/>
        <w:rPr>
          <w:rFonts w:ascii="Arial" w:eastAsia="Aptos" w:hAnsi="Arial" w:cs="Arial"/>
          <w:b/>
          <w:bCs/>
          <w:color w:val="FF0000"/>
          <w:kern w:val="2"/>
          <w:sz w:val="24"/>
          <w:szCs w:val="24"/>
          <w14:ligatures w14:val="standardContextual"/>
        </w:rPr>
      </w:pPr>
    </w:p>
    <w:p w14:paraId="5874C207" w14:textId="77777777" w:rsidR="00C16D15" w:rsidRDefault="00C16D15"/>
    <w:sectPr w:rsidR="00C16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6A8D"/>
    <w:multiLevelType w:val="hybridMultilevel"/>
    <w:tmpl w:val="D97CF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3A71F9"/>
    <w:multiLevelType w:val="hybridMultilevel"/>
    <w:tmpl w:val="3DBA5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7C4FC2"/>
    <w:multiLevelType w:val="hybridMultilevel"/>
    <w:tmpl w:val="F31E4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541F45"/>
    <w:multiLevelType w:val="hybridMultilevel"/>
    <w:tmpl w:val="A2BA2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9727878">
    <w:abstractNumId w:val="0"/>
  </w:num>
  <w:num w:numId="2" w16cid:durableId="665790312">
    <w:abstractNumId w:val="3"/>
  </w:num>
  <w:num w:numId="3" w16cid:durableId="451754122">
    <w:abstractNumId w:val="2"/>
  </w:num>
  <w:num w:numId="4" w16cid:durableId="1209533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F2"/>
    <w:rsid w:val="00204FF2"/>
    <w:rsid w:val="00354635"/>
    <w:rsid w:val="00651F13"/>
    <w:rsid w:val="006B48B2"/>
    <w:rsid w:val="007027E0"/>
    <w:rsid w:val="007B4C17"/>
    <w:rsid w:val="00C16D15"/>
    <w:rsid w:val="00D54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B32A"/>
  <w15:chartTrackingRefBased/>
  <w15:docId w15:val="{2DEC64C4-0BCB-408D-BD28-F712EF4E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8B2"/>
    <w:rPr>
      <w:kern w:val="0"/>
      <w14:ligatures w14:val="none"/>
    </w:rPr>
  </w:style>
  <w:style w:type="paragraph" w:styleId="Heading1">
    <w:name w:val="heading 1"/>
    <w:basedOn w:val="Normal"/>
    <w:next w:val="Normal"/>
    <w:link w:val="Heading1Char"/>
    <w:uiPriority w:val="9"/>
    <w:qFormat/>
    <w:rsid w:val="0020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FF2"/>
    <w:rPr>
      <w:rFonts w:eastAsiaTheme="majorEastAsia" w:cstheme="majorBidi"/>
      <w:color w:val="272727" w:themeColor="text1" w:themeTint="D8"/>
    </w:rPr>
  </w:style>
  <w:style w:type="paragraph" w:styleId="Title">
    <w:name w:val="Title"/>
    <w:basedOn w:val="Normal"/>
    <w:next w:val="Normal"/>
    <w:link w:val="TitleChar"/>
    <w:uiPriority w:val="10"/>
    <w:qFormat/>
    <w:rsid w:val="0020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FF2"/>
    <w:pPr>
      <w:spacing w:before="160"/>
      <w:jc w:val="center"/>
    </w:pPr>
    <w:rPr>
      <w:i/>
      <w:iCs/>
      <w:color w:val="404040" w:themeColor="text1" w:themeTint="BF"/>
    </w:rPr>
  </w:style>
  <w:style w:type="character" w:customStyle="1" w:styleId="QuoteChar">
    <w:name w:val="Quote Char"/>
    <w:basedOn w:val="DefaultParagraphFont"/>
    <w:link w:val="Quote"/>
    <w:uiPriority w:val="29"/>
    <w:rsid w:val="00204FF2"/>
    <w:rPr>
      <w:i/>
      <w:iCs/>
      <w:color w:val="404040" w:themeColor="text1" w:themeTint="BF"/>
    </w:rPr>
  </w:style>
  <w:style w:type="paragraph" w:styleId="ListParagraph">
    <w:name w:val="List Paragraph"/>
    <w:basedOn w:val="Normal"/>
    <w:uiPriority w:val="34"/>
    <w:qFormat/>
    <w:rsid w:val="00204FF2"/>
    <w:pPr>
      <w:ind w:left="720"/>
      <w:contextualSpacing/>
    </w:pPr>
  </w:style>
  <w:style w:type="character" w:styleId="IntenseEmphasis">
    <w:name w:val="Intense Emphasis"/>
    <w:basedOn w:val="DefaultParagraphFont"/>
    <w:uiPriority w:val="21"/>
    <w:qFormat/>
    <w:rsid w:val="00204FF2"/>
    <w:rPr>
      <w:i/>
      <w:iCs/>
      <w:color w:val="0F4761" w:themeColor="accent1" w:themeShade="BF"/>
    </w:rPr>
  </w:style>
  <w:style w:type="paragraph" w:styleId="IntenseQuote">
    <w:name w:val="Intense Quote"/>
    <w:basedOn w:val="Normal"/>
    <w:next w:val="Normal"/>
    <w:link w:val="IntenseQuoteChar"/>
    <w:uiPriority w:val="30"/>
    <w:qFormat/>
    <w:rsid w:val="0020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FF2"/>
    <w:rPr>
      <w:i/>
      <w:iCs/>
      <w:color w:val="0F4761" w:themeColor="accent1" w:themeShade="BF"/>
    </w:rPr>
  </w:style>
  <w:style w:type="character" w:styleId="IntenseReference">
    <w:name w:val="Intense Reference"/>
    <w:basedOn w:val="DefaultParagraphFont"/>
    <w:uiPriority w:val="32"/>
    <w:qFormat/>
    <w:rsid w:val="00204FF2"/>
    <w:rPr>
      <w:b/>
      <w:bCs/>
      <w:smallCaps/>
      <w:color w:val="0F4761" w:themeColor="accent1" w:themeShade="BF"/>
      <w:spacing w:val="5"/>
    </w:rPr>
  </w:style>
  <w:style w:type="table" w:customStyle="1" w:styleId="TableGrid1">
    <w:name w:val="Table Grid1"/>
    <w:basedOn w:val="TableNormal"/>
    <w:next w:val="TableGrid"/>
    <w:uiPriority w:val="39"/>
    <w:rsid w:val="006B48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6B48B2"/>
    <w:pPr>
      <w:spacing w:after="0" w:line="240" w:lineRule="auto"/>
    </w:pPr>
    <w:rPr>
      <w:rFonts w:ascii="Calibri" w:eastAsia="Calibri" w:hAnsi="Calibri" w:cs="Arial"/>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6B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2.xml"/><Relationship Id="rId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Non-clinical workforce, ethnicity of all AfC pay bands, 2024-2025</a:t>
            </a:r>
          </a:p>
        </c:rich>
      </c:tx>
      <c:overlay val="0"/>
      <c:spPr>
        <a:noFill/>
        <a:ln>
          <a:noFill/>
        </a:ln>
        <a:effectLst/>
      </c:spPr>
    </c:title>
    <c:autoTitleDeleted val="0"/>
    <c:plotArea>
      <c:layout/>
      <c:barChart>
        <c:barDir val="col"/>
        <c:grouping val="clustered"/>
        <c:varyColors val="0"/>
        <c:ser>
          <c:idx val="0"/>
          <c:order val="0"/>
          <c:tx>
            <c:strRef>
              <c:f>'non clinical'!$I$19:$I$20</c:f>
              <c:strCache>
                <c:ptCount val="2"/>
                <c:pt idx="0">
                  <c:v>2025</c:v>
                </c:pt>
                <c:pt idx="1">
                  <c:v>BAME</c:v>
                </c:pt>
              </c:strCache>
            </c:strRef>
          </c:tx>
          <c:spPr>
            <a:solidFill>
              <a:schemeClr val="accent1"/>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clinical'!$I$21:$I$33</c:f>
              <c:numCache>
                <c:formatCode>0.0%</c:formatCode>
                <c:ptCount val="13"/>
                <c:pt idx="0">
                  <c:v>0.222</c:v>
                </c:pt>
                <c:pt idx="1">
                  <c:v>0.20799999999999999</c:v>
                </c:pt>
                <c:pt idx="2">
                  <c:v>0.13700000000000001</c:v>
                </c:pt>
                <c:pt idx="3">
                  <c:v>5.2999999999999999E-2</c:v>
                </c:pt>
                <c:pt idx="4">
                  <c:v>6.4000000000000001E-2</c:v>
                </c:pt>
                <c:pt idx="5">
                  <c:v>0.13900000000000001</c:v>
                </c:pt>
                <c:pt idx="6">
                  <c:v>0.153</c:v>
                </c:pt>
                <c:pt idx="7">
                  <c:v>5.0999999999999997E-2</c:v>
                </c:pt>
                <c:pt idx="8">
                  <c:v>0.115</c:v>
                </c:pt>
                <c:pt idx="9">
                  <c:v>0</c:v>
                </c:pt>
                <c:pt idx="10">
                  <c:v>0</c:v>
                </c:pt>
                <c:pt idx="11">
                  <c:v>0</c:v>
                </c:pt>
                <c:pt idx="12">
                  <c:v>0</c:v>
                </c:pt>
              </c:numCache>
            </c:numRef>
          </c:val>
          <c:extLst>
            <c:ext xmlns:c16="http://schemas.microsoft.com/office/drawing/2014/chart" uri="{C3380CC4-5D6E-409C-BE32-E72D297353CC}">
              <c16:uniqueId val="{00000000-C035-4A19-80E1-CDA0F7D73F01}"/>
            </c:ext>
          </c:extLst>
        </c:ser>
        <c:ser>
          <c:idx val="1"/>
          <c:order val="1"/>
          <c:tx>
            <c:strRef>
              <c:f>'non clinical'!$J$19:$J$20</c:f>
              <c:strCache>
                <c:ptCount val="2"/>
                <c:pt idx="0">
                  <c:v>2025</c:v>
                </c:pt>
                <c:pt idx="1">
                  <c:v>White</c:v>
                </c:pt>
              </c:strCache>
            </c:strRef>
          </c:tx>
          <c:spPr>
            <a:solidFill>
              <a:schemeClr val="accent2"/>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clinical'!$J$21:$J$33</c:f>
              <c:numCache>
                <c:formatCode>0.0%</c:formatCode>
                <c:ptCount val="13"/>
                <c:pt idx="0">
                  <c:v>0.77800000000000002</c:v>
                </c:pt>
                <c:pt idx="1">
                  <c:v>0.77700000000000002</c:v>
                </c:pt>
                <c:pt idx="2">
                  <c:v>0.85699999999999998</c:v>
                </c:pt>
                <c:pt idx="3">
                  <c:v>0.93500000000000005</c:v>
                </c:pt>
                <c:pt idx="4">
                  <c:v>0.92800000000000005</c:v>
                </c:pt>
                <c:pt idx="5">
                  <c:v>0.86099999999999999</c:v>
                </c:pt>
                <c:pt idx="6">
                  <c:v>0.83099999999999996</c:v>
                </c:pt>
                <c:pt idx="7">
                  <c:v>0.89800000000000002</c:v>
                </c:pt>
                <c:pt idx="8">
                  <c:v>0.88500000000000001</c:v>
                </c:pt>
                <c:pt idx="9">
                  <c:v>1</c:v>
                </c:pt>
                <c:pt idx="10">
                  <c:v>1</c:v>
                </c:pt>
                <c:pt idx="11">
                  <c:v>1</c:v>
                </c:pt>
                <c:pt idx="12">
                  <c:v>1</c:v>
                </c:pt>
              </c:numCache>
            </c:numRef>
          </c:val>
          <c:extLst>
            <c:ext xmlns:c16="http://schemas.microsoft.com/office/drawing/2014/chart" uri="{C3380CC4-5D6E-409C-BE32-E72D297353CC}">
              <c16:uniqueId val="{00000001-C035-4A19-80E1-CDA0F7D73F01}"/>
            </c:ext>
          </c:extLst>
        </c:ser>
        <c:ser>
          <c:idx val="2"/>
          <c:order val="2"/>
          <c:tx>
            <c:strRef>
              <c:f>'non clinical'!$K$19:$K$20</c:f>
              <c:strCache>
                <c:ptCount val="2"/>
                <c:pt idx="0">
                  <c:v>2025</c:v>
                </c:pt>
                <c:pt idx="1">
                  <c:v>Unknown</c:v>
                </c:pt>
              </c:strCache>
            </c:strRef>
          </c:tx>
          <c:spPr>
            <a:solidFill>
              <a:schemeClr val="accent3"/>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clinical'!$K$21:$K$33</c:f>
              <c:numCache>
                <c:formatCode>0.0%</c:formatCode>
                <c:ptCount val="13"/>
                <c:pt idx="0">
                  <c:v>0</c:v>
                </c:pt>
                <c:pt idx="1">
                  <c:v>1.6E-2</c:v>
                </c:pt>
                <c:pt idx="2">
                  <c:v>6.0000000000000001E-3</c:v>
                </c:pt>
                <c:pt idx="3">
                  <c:v>1.0999999999999999E-2</c:v>
                </c:pt>
                <c:pt idx="4">
                  <c:v>8.0000000000000002E-3</c:v>
                </c:pt>
                <c:pt idx="5">
                  <c:v>0</c:v>
                </c:pt>
                <c:pt idx="6">
                  <c:v>1.7000000000000001E-2</c:v>
                </c:pt>
                <c:pt idx="7">
                  <c:v>5.0999999999999997E-2</c:v>
                </c:pt>
                <c:pt idx="8">
                  <c:v>0</c:v>
                </c:pt>
                <c:pt idx="9">
                  <c:v>0</c:v>
                </c:pt>
                <c:pt idx="10">
                  <c:v>0</c:v>
                </c:pt>
                <c:pt idx="11">
                  <c:v>0</c:v>
                </c:pt>
                <c:pt idx="12">
                  <c:v>0</c:v>
                </c:pt>
              </c:numCache>
            </c:numRef>
          </c:val>
          <c:extLst>
            <c:ext xmlns:c16="http://schemas.microsoft.com/office/drawing/2014/chart" uri="{C3380CC4-5D6E-409C-BE32-E72D297353CC}">
              <c16:uniqueId val="{00000002-C035-4A19-80E1-CDA0F7D73F01}"/>
            </c:ext>
          </c:extLst>
        </c:ser>
        <c:ser>
          <c:idx val="3"/>
          <c:order val="3"/>
          <c:tx>
            <c:strRef>
              <c:f>'non clinical'!$L$19:$L$20</c:f>
              <c:strCache>
                <c:ptCount val="2"/>
                <c:pt idx="0">
                  <c:v>2024</c:v>
                </c:pt>
                <c:pt idx="1">
                  <c:v>BAME</c:v>
                </c:pt>
              </c:strCache>
            </c:strRef>
          </c:tx>
          <c:spPr>
            <a:solidFill>
              <a:schemeClr val="accent4"/>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clinical'!$L$21:$L$33</c:f>
              <c:numCache>
                <c:formatCode>0.0%</c:formatCode>
                <c:ptCount val="13"/>
                <c:pt idx="0">
                  <c:v>0.20689655172413793</c:v>
                </c:pt>
                <c:pt idx="1">
                  <c:v>0.18232044198895028</c:v>
                </c:pt>
                <c:pt idx="2">
                  <c:v>9.9358974358974353E-2</c:v>
                </c:pt>
                <c:pt idx="3">
                  <c:v>4.9618320610687022E-2</c:v>
                </c:pt>
                <c:pt idx="4">
                  <c:v>6.0869565217391307E-2</c:v>
                </c:pt>
                <c:pt idx="5">
                  <c:v>0.15662650602409639</c:v>
                </c:pt>
                <c:pt idx="6">
                  <c:v>0.13793103448275862</c:v>
                </c:pt>
                <c:pt idx="7">
                  <c:v>0.04</c:v>
                </c:pt>
                <c:pt idx="8">
                  <c:v>9.6774193548387094E-2</c:v>
                </c:pt>
                <c:pt idx="9">
                  <c:v>0</c:v>
                </c:pt>
                <c:pt idx="10">
                  <c:v>0</c:v>
                </c:pt>
                <c:pt idx="11">
                  <c:v>0</c:v>
                </c:pt>
                <c:pt idx="12">
                  <c:v>0</c:v>
                </c:pt>
              </c:numCache>
            </c:numRef>
          </c:val>
          <c:extLst>
            <c:ext xmlns:c16="http://schemas.microsoft.com/office/drawing/2014/chart" uri="{C3380CC4-5D6E-409C-BE32-E72D297353CC}">
              <c16:uniqueId val="{00000003-C035-4A19-80E1-CDA0F7D73F01}"/>
            </c:ext>
          </c:extLst>
        </c:ser>
        <c:ser>
          <c:idx val="4"/>
          <c:order val="4"/>
          <c:tx>
            <c:strRef>
              <c:f>'non clinical'!$M$19:$M$20</c:f>
              <c:strCache>
                <c:ptCount val="2"/>
                <c:pt idx="0">
                  <c:v>2024</c:v>
                </c:pt>
                <c:pt idx="1">
                  <c:v>White</c:v>
                </c:pt>
              </c:strCache>
            </c:strRef>
          </c:tx>
          <c:spPr>
            <a:solidFill>
              <a:schemeClr val="accent5"/>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clinical'!$M$21:$M$33</c:f>
              <c:numCache>
                <c:formatCode>0.0%</c:formatCode>
                <c:ptCount val="13"/>
                <c:pt idx="0">
                  <c:v>0.7931034482758621</c:v>
                </c:pt>
                <c:pt idx="1">
                  <c:v>0.79972375690607733</c:v>
                </c:pt>
                <c:pt idx="2">
                  <c:v>0.89102564102564108</c:v>
                </c:pt>
                <c:pt idx="3">
                  <c:v>0.93893129770992367</c:v>
                </c:pt>
                <c:pt idx="4">
                  <c:v>0.93043478260869561</c:v>
                </c:pt>
                <c:pt idx="5">
                  <c:v>0.84337349397590367</c:v>
                </c:pt>
                <c:pt idx="6">
                  <c:v>0.86206896551724133</c:v>
                </c:pt>
                <c:pt idx="7">
                  <c:v>0.9</c:v>
                </c:pt>
                <c:pt idx="8">
                  <c:v>0.90322580645161288</c:v>
                </c:pt>
                <c:pt idx="9">
                  <c:v>1</c:v>
                </c:pt>
                <c:pt idx="10">
                  <c:v>1</c:v>
                </c:pt>
                <c:pt idx="11">
                  <c:v>1</c:v>
                </c:pt>
                <c:pt idx="12">
                  <c:v>1</c:v>
                </c:pt>
              </c:numCache>
            </c:numRef>
          </c:val>
          <c:extLst>
            <c:ext xmlns:c16="http://schemas.microsoft.com/office/drawing/2014/chart" uri="{C3380CC4-5D6E-409C-BE32-E72D297353CC}">
              <c16:uniqueId val="{00000004-C035-4A19-80E1-CDA0F7D73F01}"/>
            </c:ext>
          </c:extLst>
        </c:ser>
        <c:ser>
          <c:idx val="5"/>
          <c:order val="5"/>
          <c:tx>
            <c:strRef>
              <c:f>'non clinical'!$N$19:$N$20</c:f>
              <c:strCache>
                <c:ptCount val="2"/>
                <c:pt idx="0">
                  <c:v>2024</c:v>
                </c:pt>
                <c:pt idx="1">
                  <c:v>Unknown</c:v>
                </c:pt>
              </c:strCache>
            </c:strRef>
          </c:tx>
          <c:spPr>
            <a:solidFill>
              <a:schemeClr val="accent6"/>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clinical'!$N$21:$N$33</c:f>
              <c:numCache>
                <c:formatCode>0.0%</c:formatCode>
                <c:ptCount val="13"/>
                <c:pt idx="0">
                  <c:v>0</c:v>
                </c:pt>
                <c:pt idx="1">
                  <c:v>1.7955801104972375E-2</c:v>
                </c:pt>
                <c:pt idx="2">
                  <c:v>9.6153846153846159E-3</c:v>
                </c:pt>
                <c:pt idx="3">
                  <c:v>1.1450381679389313E-2</c:v>
                </c:pt>
                <c:pt idx="4">
                  <c:v>8.6956521739130436E-3</c:v>
                </c:pt>
                <c:pt idx="5">
                  <c:v>0</c:v>
                </c:pt>
                <c:pt idx="6">
                  <c:v>0</c:v>
                </c:pt>
                <c:pt idx="7">
                  <c:v>0.06</c:v>
                </c:pt>
                <c:pt idx="8">
                  <c:v>0</c:v>
                </c:pt>
                <c:pt idx="9">
                  <c:v>0</c:v>
                </c:pt>
                <c:pt idx="10">
                  <c:v>0</c:v>
                </c:pt>
                <c:pt idx="11">
                  <c:v>0</c:v>
                </c:pt>
                <c:pt idx="12">
                  <c:v>0</c:v>
                </c:pt>
              </c:numCache>
            </c:numRef>
          </c:val>
          <c:extLst>
            <c:ext xmlns:c16="http://schemas.microsoft.com/office/drawing/2014/chart" uri="{C3380CC4-5D6E-409C-BE32-E72D297353CC}">
              <c16:uniqueId val="{00000005-C035-4A19-80E1-CDA0F7D73F01}"/>
            </c:ext>
          </c:extLst>
        </c:ser>
        <c:dLbls>
          <c:showLegendKey val="0"/>
          <c:showVal val="0"/>
          <c:showCatName val="0"/>
          <c:showSerName val="0"/>
          <c:showPercent val="0"/>
          <c:showBubbleSize val="0"/>
        </c:dLbls>
        <c:gapWidth val="219"/>
        <c:overlap val="-27"/>
        <c:axId val="232022784"/>
        <c:axId val="232024320"/>
      </c:barChart>
      <c:catAx>
        <c:axId val="23202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24320"/>
        <c:crosses val="autoZero"/>
        <c:auto val="1"/>
        <c:lblAlgn val="ctr"/>
        <c:lblOffset val="100"/>
        <c:noMultiLvlLbl val="0"/>
      </c:catAx>
      <c:valAx>
        <c:axId val="2320243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22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Clinical workforce by Afc band and ethnicity 2024-25</a:t>
            </a:r>
          </a:p>
        </c:rich>
      </c:tx>
      <c:overlay val="0"/>
      <c:spPr>
        <a:noFill/>
        <a:ln>
          <a:noFill/>
        </a:ln>
        <a:effectLst/>
      </c:spPr>
    </c:title>
    <c:autoTitleDeleted val="0"/>
    <c:plotArea>
      <c:layout/>
      <c:barChart>
        <c:barDir val="col"/>
        <c:grouping val="clustered"/>
        <c:varyColors val="0"/>
        <c:ser>
          <c:idx val="0"/>
          <c:order val="0"/>
          <c:tx>
            <c:strRef>
              <c:f>clinical!$J$24:$J$25</c:f>
              <c:strCache>
                <c:ptCount val="2"/>
                <c:pt idx="0">
                  <c:v>2025</c:v>
                </c:pt>
                <c:pt idx="1">
                  <c:v>BME</c:v>
                </c:pt>
              </c:strCache>
            </c:strRef>
          </c:tx>
          <c:spPr>
            <a:solidFill>
              <a:schemeClr val="accent1"/>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clinical!$J$26:$J$38</c:f>
              <c:numCache>
                <c:formatCode>0.0%</c:formatCode>
                <c:ptCount val="13"/>
                <c:pt idx="0">
                  <c:v>0</c:v>
                </c:pt>
                <c:pt idx="1">
                  <c:v>0.52470000000000006</c:v>
                </c:pt>
                <c:pt idx="2">
                  <c:v>0.31280000000000002</c:v>
                </c:pt>
                <c:pt idx="3">
                  <c:v>6.8599999999999994E-2</c:v>
                </c:pt>
                <c:pt idx="4">
                  <c:v>0.46289999999999998</c:v>
                </c:pt>
                <c:pt idx="5">
                  <c:v>0.18920000000000001</c:v>
                </c:pt>
                <c:pt idx="6">
                  <c:v>0.105</c:v>
                </c:pt>
                <c:pt idx="7">
                  <c:v>6.5199999999999994E-2</c:v>
                </c:pt>
                <c:pt idx="8">
                  <c:v>9.3799999999999994E-2</c:v>
                </c:pt>
                <c:pt idx="9">
                  <c:v>0</c:v>
                </c:pt>
                <c:pt idx="10">
                  <c:v>0</c:v>
                </c:pt>
                <c:pt idx="11">
                  <c:v>0</c:v>
                </c:pt>
                <c:pt idx="12">
                  <c:v>0</c:v>
                </c:pt>
              </c:numCache>
            </c:numRef>
          </c:val>
          <c:extLst>
            <c:ext xmlns:c16="http://schemas.microsoft.com/office/drawing/2014/chart" uri="{C3380CC4-5D6E-409C-BE32-E72D297353CC}">
              <c16:uniqueId val="{00000000-0C9E-4B56-90C0-36C0FB12918F}"/>
            </c:ext>
          </c:extLst>
        </c:ser>
        <c:ser>
          <c:idx val="1"/>
          <c:order val="1"/>
          <c:tx>
            <c:strRef>
              <c:f>clinical!$K$24:$K$25</c:f>
              <c:strCache>
                <c:ptCount val="2"/>
                <c:pt idx="0">
                  <c:v>2025</c:v>
                </c:pt>
                <c:pt idx="1">
                  <c:v>White</c:v>
                </c:pt>
              </c:strCache>
            </c:strRef>
          </c:tx>
          <c:spPr>
            <a:solidFill>
              <a:schemeClr val="accent2"/>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clinical!$K$26:$K$38</c:f>
              <c:numCache>
                <c:formatCode>0.0%</c:formatCode>
                <c:ptCount val="13"/>
                <c:pt idx="0">
                  <c:v>0</c:v>
                </c:pt>
                <c:pt idx="1">
                  <c:v>0.45519999999999999</c:v>
                </c:pt>
                <c:pt idx="2">
                  <c:v>0.67689999999999995</c:v>
                </c:pt>
                <c:pt idx="3">
                  <c:v>0.92159999999999997</c:v>
                </c:pt>
                <c:pt idx="4">
                  <c:v>0.4904</c:v>
                </c:pt>
                <c:pt idx="5">
                  <c:v>0.79779999999999995</c:v>
                </c:pt>
                <c:pt idx="6">
                  <c:v>0.88739999999999997</c:v>
                </c:pt>
                <c:pt idx="7">
                  <c:v>0.92930000000000001</c:v>
                </c:pt>
                <c:pt idx="8">
                  <c:v>0.875</c:v>
                </c:pt>
                <c:pt idx="9">
                  <c:v>1</c:v>
                </c:pt>
                <c:pt idx="10">
                  <c:v>1</c:v>
                </c:pt>
                <c:pt idx="11">
                  <c:v>1</c:v>
                </c:pt>
                <c:pt idx="12">
                  <c:v>1</c:v>
                </c:pt>
              </c:numCache>
            </c:numRef>
          </c:val>
          <c:extLst>
            <c:ext xmlns:c16="http://schemas.microsoft.com/office/drawing/2014/chart" uri="{C3380CC4-5D6E-409C-BE32-E72D297353CC}">
              <c16:uniqueId val="{00000001-0C9E-4B56-90C0-36C0FB12918F}"/>
            </c:ext>
          </c:extLst>
        </c:ser>
        <c:ser>
          <c:idx val="2"/>
          <c:order val="2"/>
          <c:tx>
            <c:strRef>
              <c:f>clinical!$L$24:$L$25</c:f>
              <c:strCache>
                <c:ptCount val="2"/>
                <c:pt idx="0">
                  <c:v>2025</c:v>
                </c:pt>
                <c:pt idx="1">
                  <c:v>Unknown</c:v>
                </c:pt>
              </c:strCache>
            </c:strRef>
          </c:tx>
          <c:spPr>
            <a:solidFill>
              <a:schemeClr val="accent3"/>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clinical!$L$26:$L$38</c:f>
              <c:numCache>
                <c:formatCode>0.0%</c:formatCode>
                <c:ptCount val="13"/>
                <c:pt idx="0">
                  <c:v>0</c:v>
                </c:pt>
                <c:pt idx="1">
                  <c:v>2.0199999999999999E-2</c:v>
                </c:pt>
                <c:pt idx="2">
                  <c:v>1.03E-2</c:v>
                </c:pt>
                <c:pt idx="3">
                  <c:v>9.7999999999999997E-3</c:v>
                </c:pt>
                <c:pt idx="4">
                  <c:v>4.6699999999999998E-2</c:v>
                </c:pt>
                <c:pt idx="5">
                  <c:v>1.2999999999999999E-2</c:v>
                </c:pt>
                <c:pt idx="6">
                  <c:v>7.6E-3</c:v>
                </c:pt>
                <c:pt idx="7">
                  <c:v>5.4000000000000003E-3</c:v>
                </c:pt>
                <c:pt idx="8">
                  <c:v>3.1300000000000001E-2</c:v>
                </c:pt>
                <c:pt idx="9">
                  <c:v>0</c:v>
                </c:pt>
                <c:pt idx="10">
                  <c:v>0</c:v>
                </c:pt>
                <c:pt idx="11">
                  <c:v>0</c:v>
                </c:pt>
                <c:pt idx="12">
                  <c:v>0</c:v>
                </c:pt>
              </c:numCache>
            </c:numRef>
          </c:val>
          <c:extLst>
            <c:ext xmlns:c16="http://schemas.microsoft.com/office/drawing/2014/chart" uri="{C3380CC4-5D6E-409C-BE32-E72D297353CC}">
              <c16:uniqueId val="{00000002-0C9E-4B56-90C0-36C0FB12918F}"/>
            </c:ext>
          </c:extLst>
        </c:ser>
        <c:ser>
          <c:idx val="3"/>
          <c:order val="3"/>
          <c:tx>
            <c:strRef>
              <c:f>clinical!$M$24:$M$25</c:f>
              <c:strCache>
                <c:ptCount val="2"/>
                <c:pt idx="0">
                  <c:v>2024</c:v>
                </c:pt>
                <c:pt idx="1">
                  <c:v>BME</c:v>
                </c:pt>
              </c:strCache>
            </c:strRef>
          </c:tx>
          <c:spPr>
            <a:solidFill>
              <a:schemeClr val="accent4"/>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clinical!$M$26:$M$38</c:f>
              <c:numCache>
                <c:formatCode>0.0%</c:formatCode>
                <c:ptCount val="13"/>
                <c:pt idx="0">
                  <c:v>0</c:v>
                </c:pt>
                <c:pt idx="1">
                  <c:v>0.44588744588744589</c:v>
                </c:pt>
                <c:pt idx="2">
                  <c:v>0.2593220338983051</c:v>
                </c:pt>
                <c:pt idx="3">
                  <c:v>8.1632653061224483E-2</c:v>
                </c:pt>
                <c:pt idx="4">
                  <c:v>0.4341880341880342</c:v>
                </c:pt>
                <c:pt idx="5">
                  <c:v>0.16049382716049382</c:v>
                </c:pt>
                <c:pt idx="6">
                  <c:v>9.4230769230769229E-2</c:v>
                </c:pt>
                <c:pt idx="7">
                  <c:v>5.4945054945054944E-2</c:v>
                </c:pt>
                <c:pt idx="8">
                  <c:v>0.10714285714285714</c:v>
                </c:pt>
                <c:pt idx="9">
                  <c:v>0</c:v>
                </c:pt>
                <c:pt idx="10">
                  <c:v>0</c:v>
                </c:pt>
                <c:pt idx="11">
                  <c:v>0</c:v>
                </c:pt>
                <c:pt idx="12">
                  <c:v>0</c:v>
                </c:pt>
              </c:numCache>
            </c:numRef>
          </c:val>
          <c:extLst>
            <c:ext xmlns:c16="http://schemas.microsoft.com/office/drawing/2014/chart" uri="{C3380CC4-5D6E-409C-BE32-E72D297353CC}">
              <c16:uniqueId val="{00000003-0C9E-4B56-90C0-36C0FB12918F}"/>
            </c:ext>
          </c:extLst>
        </c:ser>
        <c:ser>
          <c:idx val="4"/>
          <c:order val="4"/>
          <c:tx>
            <c:strRef>
              <c:f>clinical!$N$24:$N$25</c:f>
              <c:strCache>
                <c:ptCount val="2"/>
                <c:pt idx="0">
                  <c:v>2024</c:v>
                </c:pt>
                <c:pt idx="1">
                  <c:v>White</c:v>
                </c:pt>
              </c:strCache>
            </c:strRef>
          </c:tx>
          <c:spPr>
            <a:solidFill>
              <a:schemeClr val="accent5"/>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clinical!$N$26:$N$38</c:f>
              <c:numCache>
                <c:formatCode>0.0%</c:formatCode>
                <c:ptCount val="13"/>
                <c:pt idx="0">
                  <c:v>0</c:v>
                </c:pt>
                <c:pt idx="1">
                  <c:v>0.53246753246753242</c:v>
                </c:pt>
                <c:pt idx="2">
                  <c:v>0.7220338983050848</c:v>
                </c:pt>
                <c:pt idx="3">
                  <c:v>0.90306122448979587</c:v>
                </c:pt>
                <c:pt idx="4">
                  <c:v>0.50683760683760681</c:v>
                </c:pt>
                <c:pt idx="5">
                  <c:v>0.82828282828282829</c:v>
                </c:pt>
                <c:pt idx="6">
                  <c:v>0.89615384615384619</c:v>
                </c:pt>
                <c:pt idx="7">
                  <c:v>0.93956043956043955</c:v>
                </c:pt>
                <c:pt idx="8">
                  <c:v>0.8214285714285714</c:v>
                </c:pt>
                <c:pt idx="9">
                  <c:v>1</c:v>
                </c:pt>
                <c:pt idx="10">
                  <c:v>1</c:v>
                </c:pt>
                <c:pt idx="11">
                  <c:v>1</c:v>
                </c:pt>
                <c:pt idx="12">
                  <c:v>1</c:v>
                </c:pt>
              </c:numCache>
            </c:numRef>
          </c:val>
          <c:extLst>
            <c:ext xmlns:c16="http://schemas.microsoft.com/office/drawing/2014/chart" uri="{C3380CC4-5D6E-409C-BE32-E72D297353CC}">
              <c16:uniqueId val="{00000004-0C9E-4B56-90C0-36C0FB12918F}"/>
            </c:ext>
          </c:extLst>
        </c:ser>
        <c:ser>
          <c:idx val="5"/>
          <c:order val="5"/>
          <c:tx>
            <c:strRef>
              <c:f>clinical!$O$24:$O$25</c:f>
              <c:strCache>
                <c:ptCount val="2"/>
                <c:pt idx="0">
                  <c:v>2024</c:v>
                </c:pt>
                <c:pt idx="1">
                  <c:v>Unknown</c:v>
                </c:pt>
              </c:strCache>
            </c:strRef>
          </c:tx>
          <c:spPr>
            <a:solidFill>
              <a:schemeClr val="accent6"/>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clinical!$O$26:$O$38</c:f>
              <c:numCache>
                <c:formatCode>0.0%</c:formatCode>
                <c:ptCount val="13"/>
                <c:pt idx="0">
                  <c:v>0</c:v>
                </c:pt>
                <c:pt idx="1">
                  <c:v>2.1645021645021644E-2</c:v>
                </c:pt>
                <c:pt idx="2">
                  <c:v>1.864406779661017E-2</c:v>
                </c:pt>
                <c:pt idx="3">
                  <c:v>1.5306122448979591E-2</c:v>
                </c:pt>
                <c:pt idx="4">
                  <c:v>5.8974358974358973E-2</c:v>
                </c:pt>
                <c:pt idx="5">
                  <c:v>1.1223344556677889E-2</c:v>
                </c:pt>
                <c:pt idx="6">
                  <c:v>9.6153846153846159E-3</c:v>
                </c:pt>
                <c:pt idx="7">
                  <c:v>5.4945054945054949E-3</c:v>
                </c:pt>
                <c:pt idx="8">
                  <c:v>7.1428571428571425E-2</c:v>
                </c:pt>
                <c:pt idx="9">
                  <c:v>0</c:v>
                </c:pt>
                <c:pt idx="10">
                  <c:v>0</c:v>
                </c:pt>
                <c:pt idx="11">
                  <c:v>0</c:v>
                </c:pt>
                <c:pt idx="12">
                  <c:v>0</c:v>
                </c:pt>
              </c:numCache>
            </c:numRef>
          </c:val>
          <c:extLst>
            <c:ext xmlns:c16="http://schemas.microsoft.com/office/drawing/2014/chart" uri="{C3380CC4-5D6E-409C-BE32-E72D297353CC}">
              <c16:uniqueId val="{00000005-0C9E-4B56-90C0-36C0FB12918F}"/>
            </c:ext>
          </c:extLst>
        </c:ser>
        <c:dLbls>
          <c:showLegendKey val="0"/>
          <c:showVal val="0"/>
          <c:showCatName val="0"/>
          <c:showSerName val="0"/>
          <c:showPercent val="0"/>
          <c:showBubbleSize val="0"/>
        </c:dLbls>
        <c:gapWidth val="219"/>
        <c:overlap val="-27"/>
        <c:axId val="278329216"/>
        <c:axId val="278330752"/>
      </c:barChart>
      <c:catAx>
        <c:axId val="27832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330752"/>
        <c:crosses val="autoZero"/>
        <c:auto val="1"/>
        <c:lblAlgn val="ctr"/>
        <c:lblOffset val="100"/>
        <c:noMultiLvlLbl val="0"/>
      </c:catAx>
      <c:valAx>
        <c:axId val="27833075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329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Medical and Dental staff by ethnicity and career grade</a:t>
            </a:r>
          </a:p>
        </c:rich>
      </c:tx>
      <c:overlay val="0"/>
      <c:spPr>
        <a:noFill/>
        <a:ln>
          <a:noFill/>
        </a:ln>
        <a:effectLst/>
      </c:spPr>
    </c:title>
    <c:autoTitleDeleted val="0"/>
    <c:plotArea>
      <c:layout/>
      <c:barChart>
        <c:barDir val="col"/>
        <c:grouping val="clustered"/>
        <c:varyColors val="0"/>
        <c:ser>
          <c:idx val="0"/>
          <c:order val="0"/>
          <c:tx>
            <c:strRef>
              <c:f>medical!$R$9:$R$10</c:f>
              <c:strCache>
                <c:ptCount val="2"/>
                <c:pt idx="0">
                  <c:v>2025</c:v>
                </c:pt>
                <c:pt idx="1">
                  <c:v>BAME</c:v>
                </c:pt>
              </c:strCache>
            </c:strRef>
          </c:tx>
          <c:spPr>
            <a:solidFill>
              <a:schemeClr val="accent1"/>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medical!$R$11:$R$13</c:f>
              <c:numCache>
                <c:formatCode>0.0%</c:formatCode>
                <c:ptCount val="3"/>
                <c:pt idx="0">
                  <c:v>0.45590000000000003</c:v>
                </c:pt>
                <c:pt idx="1">
                  <c:v>0.6875</c:v>
                </c:pt>
                <c:pt idx="2">
                  <c:v>0.73570000000000002</c:v>
                </c:pt>
              </c:numCache>
            </c:numRef>
          </c:val>
          <c:extLst>
            <c:ext xmlns:c16="http://schemas.microsoft.com/office/drawing/2014/chart" uri="{C3380CC4-5D6E-409C-BE32-E72D297353CC}">
              <c16:uniqueId val="{00000000-64F6-4E0A-871E-8DDF21AF392B}"/>
            </c:ext>
          </c:extLst>
        </c:ser>
        <c:ser>
          <c:idx val="1"/>
          <c:order val="1"/>
          <c:tx>
            <c:strRef>
              <c:f>medical!$S$9:$S$10</c:f>
              <c:strCache>
                <c:ptCount val="2"/>
                <c:pt idx="0">
                  <c:v>2025</c:v>
                </c:pt>
                <c:pt idx="1">
                  <c:v>White</c:v>
                </c:pt>
              </c:strCache>
            </c:strRef>
          </c:tx>
          <c:spPr>
            <a:solidFill>
              <a:schemeClr val="accent2"/>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medical!$S$11:$S$13</c:f>
              <c:numCache>
                <c:formatCode>0.0%</c:formatCode>
                <c:ptCount val="3"/>
                <c:pt idx="0">
                  <c:v>0.52490000000000003</c:v>
                </c:pt>
                <c:pt idx="1">
                  <c:v>0.27079999999999999</c:v>
                </c:pt>
                <c:pt idx="2">
                  <c:v>0.2203</c:v>
                </c:pt>
              </c:numCache>
            </c:numRef>
          </c:val>
          <c:extLst>
            <c:ext xmlns:c16="http://schemas.microsoft.com/office/drawing/2014/chart" uri="{C3380CC4-5D6E-409C-BE32-E72D297353CC}">
              <c16:uniqueId val="{00000001-64F6-4E0A-871E-8DDF21AF392B}"/>
            </c:ext>
          </c:extLst>
        </c:ser>
        <c:ser>
          <c:idx val="2"/>
          <c:order val="2"/>
          <c:tx>
            <c:strRef>
              <c:f>medical!$T$9:$T$10</c:f>
              <c:strCache>
                <c:ptCount val="2"/>
                <c:pt idx="0">
                  <c:v>2024</c:v>
                </c:pt>
                <c:pt idx="1">
                  <c:v>BAME</c:v>
                </c:pt>
              </c:strCache>
            </c:strRef>
          </c:tx>
          <c:spPr>
            <a:solidFill>
              <a:schemeClr val="accent3"/>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medical!$T$11:$T$13</c:f>
              <c:numCache>
                <c:formatCode>0.0%</c:formatCode>
                <c:ptCount val="3"/>
                <c:pt idx="0">
                  <c:v>0.46300000000000002</c:v>
                </c:pt>
                <c:pt idx="1">
                  <c:v>0.64600000000000002</c:v>
                </c:pt>
                <c:pt idx="2">
                  <c:v>0.69299999999999995</c:v>
                </c:pt>
              </c:numCache>
            </c:numRef>
          </c:val>
          <c:extLst>
            <c:ext xmlns:c16="http://schemas.microsoft.com/office/drawing/2014/chart" uri="{C3380CC4-5D6E-409C-BE32-E72D297353CC}">
              <c16:uniqueId val="{00000002-64F6-4E0A-871E-8DDF21AF392B}"/>
            </c:ext>
          </c:extLst>
        </c:ser>
        <c:ser>
          <c:idx val="3"/>
          <c:order val="3"/>
          <c:tx>
            <c:strRef>
              <c:f>medical!$U$9:$U$10</c:f>
              <c:strCache>
                <c:ptCount val="2"/>
                <c:pt idx="0">
                  <c:v>2024</c:v>
                </c:pt>
                <c:pt idx="1">
                  <c:v>White</c:v>
                </c:pt>
              </c:strCache>
            </c:strRef>
          </c:tx>
          <c:spPr>
            <a:solidFill>
              <a:schemeClr val="accent4"/>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medical!$U$11:$U$13</c:f>
              <c:numCache>
                <c:formatCode>0.0%</c:formatCode>
                <c:ptCount val="3"/>
                <c:pt idx="0">
                  <c:v>0.51500000000000001</c:v>
                </c:pt>
                <c:pt idx="1">
                  <c:v>0.313</c:v>
                </c:pt>
                <c:pt idx="2">
                  <c:v>0.25600000000000001</c:v>
                </c:pt>
              </c:numCache>
            </c:numRef>
          </c:val>
          <c:extLst>
            <c:ext xmlns:c16="http://schemas.microsoft.com/office/drawing/2014/chart" uri="{C3380CC4-5D6E-409C-BE32-E72D297353CC}">
              <c16:uniqueId val="{00000003-64F6-4E0A-871E-8DDF21AF392B}"/>
            </c:ext>
          </c:extLst>
        </c:ser>
        <c:dLbls>
          <c:showLegendKey val="0"/>
          <c:showVal val="0"/>
          <c:showCatName val="0"/>
          <c:showSerName val="0"/>
          <c:showPercent val="0"/>
          <c:showBubbleSize val="0"/>
        </c:dLbls>
        <c:gapWidth val="219"/>
        <c:overlap val="-27"/>
        <c:axId val="326275840"/>
        <c:axId val="326277376"/>
      </c:barChart>
      <c:catAx>
        <c:axId val="32627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77376"/>
        <c:crosses val="autoZero"/>
        <c:auto val="1"/>
        <c:lblAlgn val="ctr"/>
        <c:lblOffset val="100"/>
        <c:noMultiLvlLbl val="0"/>
      </c:catAx>
      <c:valAx>
        <c:axId val="3262773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75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10</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Stuart</dc:creator>
  <cp:keywords/>
  <dc:description/>
  <cp:lastModifiedBy>Ben Granger</cp:lastModifiedBy>
  <cp:revision>2</cp:revision>
  <dcterms:created xsi:type="dcterms:W3CDTF">2025-10-27T16:10:00Z</dcterms:created>
  <dcterms:modified xsi:type="dcterms:W3CDTF">2025-10-27T16:10:00Z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2025-10-27T16:10:37Z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05b7b62c-367a-4b35-9dd1-b6f175bda7ef</vt:lpwstr>
  </property>
  <property fmtid="{D5CDD505-2E9C-101B-9397-08002B2CF9AE}" pid="8" name="MSIP_Label_e5fc148d-1837-4605-813b-0f4629c213a3_ContentBits">
    <vt:lpwstr>0</vt:lpwstr>
  </property>
  <property fmtid="{D5CDD505-2E9C-101B-9397-08002B2CF9AE}" pid="9" name="MSIP_Label_e5fc148d-1837-4605-813b-0f4629c213a3_Tag">
    <vt:lpwstr>10, 3, 0, 1</vt:lpwstr>
  </property>
</Properties>
</file>