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D7" w:rsidRDefault="006C55D7" w:rsidP="006C55D7">
      <w:pPr>
        <w:rPr>
          <w:rFonts w:ascii="Arial" w:hAnsi="Arial" w:cs="Arial"/>
        </w:rPr>
      </w:pPr>
      <w:bookmarkStart w:id="0" w:name="_GoBack"/>
      <w:bookmarkEnd w:id="0"/>
    </w:p>
    <w:p w:rsidR="006C55D7" w:rsidRPr="006C55D7" w:rsidRDefault="006C55D7" w:rsidP="006C55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SHH Endoscopy Unit </w:t>
      </w:r>
      <w:r w:rsidRPr="006C55D7">
        <w:rPr>
          <w:rFonts w:ascii="Arial" w:hAnsi="Arial" w:cs="Arial"/>
          <w:b/>
          <w:sz w:val="24"/>
          <w:szCs w:val="24"/>
        </w:rPr>
        <w:t xml:space="preserve">Barrett’s surveillance </w:t>
      </w:r>
      <w:r>
        <w:rPr>
          <w:rFonts w:ascii="Arial" w:hAnsi="Arial" w:cs="Arial"/>
          <w:b/>
          <w:sz w:val="24"/>
          <w:szCs w:val="24"/>
        </w:rPr>
        <w:t>guidelines</w:t>
      </w:r>
      <w:proofErr w:type="gramStart"/>
      <w:r w:rsidRPr="006C55D7">
        <w:rPr>
          <w:rFonts w:ascii="Arial" w:hAnsi="Arial" w:cs="Arial"/>
          <w:b/>
          <w:sz w:val="24"/>
          <w:szCs w:val="24"/>
        </w:rPr>
        <w:t xml:space="preserve">– </w:t>
      </w:r>
      <w:r w:rsidR="00CF3C04">
        <w:rPr>
          <w:rFonts w:ascii="Arial" w:hAnsi="Arial" w:cs="Arial"/>
          <w:b/>
          <w:sz w:val="24"/>
          <w:szCs w:val="24"/>
        </w:rPr>
        <w:t xml:space="preserve"> 2016</w:t>
      </w:r>
      <w:proofErr w:type="gramEnd"/>
      <w:r w:rsidR="00CF3C04">
        <w:rPr>
          <w:rFonts w:ascii="Arial" w:hAnsi="Arial" w:cs="Arial"/>
          <w:b/>
          <w:sz w:val="24"/>
          <w:szCs w:val="24"/>
        </w:rPr>
        <w:t xml:space="preserve"> </w:t>
      </w:r>
      <w:r w:rsidRPr="006C55D7">
        <w:rPr>
          <w:rFonts w:ascii="Arial" w:hAnsi="Arial" w:cs="Arial"/>
          <w:b/>
          <w:sz w:val="24"/>
          <w:szCs w:val="24"/>
        </w:rPr>
        <w:t>Based on BSG guidelines from 2013</w:t>
      </w:r>
    </w:p>
    <w:p w:rsidR="006C55D7" w:rsidRDefault="006C55D7" w:rsidP="006C55D7">
      <w:pPr>
        <w:rPr>
          <w:rFonts w:ascii="Arial" w:hAnsi="Arial" w:cs="Arial"/>
        </w:rPr>
      </w:pPr>
    </w:p>
    <w:p w:rsidR="006C55D7" w:rsidRDefault="006C55D7" w:rsidP="006C55D7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Definition of Barrett’s.</w:t>
      </w:r>
      <w:proofErr w:type="gramEnd"/>
    </w:p>
    <w:p w:rsidR="006C55D7" w:rsidRDefault="006C55D7" w:rsidP="006C55D7">
      <w:pPr>
        <w:rPr>
          <w:rFonts w:ascii="Arial" w:hAnsi="Arial" w:cs="Arial"/>
        </w:rPr>
      </w:pPr>
      <w:r>
        <w:rPr>
          <w:rFonts w:ascii="Arial" w:hAnsi="Arial" w:cs="Arial"/>
        </w:rPr>
        <w:t>Barrett’s oesophagus is defined as an oesophagus in which  any portion of the normal distal squamous epithelial lining has been replaced by metaplastic columnar epithelium, which is clearly visible endoscopically (</w:t>
      </w:r>
      <w:r>
        <w:rPr>
          <w:rFonts w:ascii="Arial" w:eastAsia="AdvOT8608a8d1+22" w:hAnsi="Arial" w:cs="Arial"/>
        </w:rPr>
        <w:t>≥</w:t>
      </w:r>
      <w:r>
        <w:rPr>
          <w:rFonts w:ascii="Arial" w:hAnsi="Arial" w:cs="Arial"/>
        </w:rPr>
        <w:t xml:space="preserve">1 cm) above the GOJ and confirmed </w:t>
      </w:r>
      <w:proofErr w:type="spellStart"/>
      <w:r>
        <w:rPr>
          <w:rFonts w:ascii="Arial" w:hAnsi="Arial" w:cs="Arial"/>
        </w:rPr>
        <w:t>histo</w:t>
      </w:r>
      <w:proofErr w:type="spellEnd"/>
      <w:r>
        <w:rPr>
          <w:rFonts w:ascii="Arial" w:hAnsi="Arial" w:cs="Arial"/>
        </w:rPr>
        <w:t>-pathologically from oesophageal biopsies.</w:t>
      </w: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proximal limit of the longitudinal gastric folds with minimal air insufflation is the easiest landmark to delineate the GOJ and is the suggested minimum requirement.</w:t>
      </w: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Endoscopic reporting should be performed using a minimum dataset including a record of the length using the Prague criteria (circumferential extent (C), maximum extent (M) of</w:t>
      </w: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endoscopically</w:t>
      </w:r>
      <w:proofErr w:type="gramEnd"/>
      <w:r>
        <w:rPr>
          <w:rFonts w:ascii="Arial" w:hAnsi="Arial" w:cs="Arial"/>
        </w:rPr>
        <w:t xml:space="preserve"> visible columnar-lined oesophagus in centimetres and any separate islands above the main columnar lined segment noted)</w:t>
      </w: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Therefore anyone who has a columnar lined shorter than 1 cm should be discharged from further surveillance.</w:t>
      </w: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Endoscopic surveillance for Barrett’s Oesophagus</w:t>
      </w: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a given patient, whether or not surveillance is indicated should be determined on the basis of an estimate of the likelihood of cancer progression and patient fitness for repeat</w:t>
      </w: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endoscopies</w:t>
      </w:r>
      <w:proofErr w:type="gramEnd"/>
      <w:r>
        <w:rPr>
          <w:rFonts w:ascii="Arial" w:hAnsi="Arial" w:cs="Arial"/>
        </w:rPr>
        <w:t>, as well as patient preference.</w:t>
      </w: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Adherence to a quadratic, 2 cm biopsy protocol in addition to sampling any visible lesions is recommended for all patients undergoing surveillance. </w:t>
      </w: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Surveillance is generally not recommended in patients with intestinal metaplasia (IM)</w:t>
      </w: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at</w:t>
      </w:r>
      <w:proofErr w:type="gramEnd"/>
      <w:r>
        <w:rPr>
          <w:rFonts w:ascii="Arial" w:hAnsi="Arial" w:cs="Arial"/>
        </w:rPr>
        <w:t xml:space="preserve"> the cardia or in those with an irregular Z-line regardless of the presence of IM</w:t>
      </w: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patients with Barrett’s oesophagus shorter than 3 cm without IM or dysplasia, a repeat endoscopy with quadratic biopsies is recommended to confirm the diagnosis. If repeat endoscopy confirms the absence of IM, discharge from surveillance is encouraged as the </w:t>
      </w:r>
      <w:proofErr w:type="gramStart"/>
      <w:r>
        <w:rPr>
          <w:rFonts w:ascii="Arial" w:hAnsi="Arial" w:cs="Arial"/>
        </w:rPr>
        <w:t>risks</w:t>
      </w:r>
      <w:proofErr w:type="gramEnd"/>
      <w:r>
        <w:rPr>
          <w:rFonts w:ascii="Arial" w:hAnsi="Arial" w:cs="Arial"/>
        </w:rPr>
        <w:t xml:space="preserve"> for endoscopy probably outweigh the benefits </w:t>
      </w: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Patients with Barrett’s oesophagus shorter than 3 cm, with IM, should receive endoscopic surveillance every 3–5 years</w:t>
      </w: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Patients with segments of 3 cm or longer should receive surveillance every 2–3 years </w:t>
      </w: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C55D7" w:rsidRDefault="006C55D7" w:rsidP="006C55D7">
      <w:pPr>
        <w:pStyle w:val="Footer"/>
      </w:pPr>
    </w:p>
    <w:p w:rsidR="006C55D7" w:rsidRDefault="006C55D7" w:rsidP="006C55D7">
      <w:pPr>
        <w:pStyle w:val="Footer"/>
      </w:pPr>
    </w:p>
    <w:p w:rsidR="006C55D7" w:rsidRDefault="006C55D7" w:rsidP="006C55D7">
      <w:pPr>
        <w:pStyle w:val="Footer"/>
      </w:pPr>
    </w:p>
    <w:p w:rsidR="006C55D7" w:rsidRDefault="006C55D7" w:rsidP="006C55D7">
      <w:pPr>
        <w:pStyle w:val="Footer"/>
      </w:pP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5724525" cy="6781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3C04" w:rsidRDefault="00CF3C04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CF3C04" w:rsidRDefault="00CF3C04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CF3C04" w:rsidRDefault="00CF3C04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CF3C04" w:rsidRDefault="00CF3C04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CF3C04" w:rsidRDefault="00CF3C04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CF3C04" w:rsidRDefault="00CF3C04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CF3C04" w:rsidRDefault="00CF3C04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CF3C04" w:rsidRDefault="00CF3C04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CF3C04" w:rsidRDefault="00CF3C04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CF3C04" w:rsidRDefault="00CF3C04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For new diagnosis of Barrett’s: Patients should be invited for clinic review to be informed about their new diagnosis of Barrett’s oesophagus and to discuss their preference and suitability regarding endoscopic surveillance</w:t>
      </w: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For patients already undergoing Barrett’s surveillance: </w:t>
      </w: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Any patient over 75 or those </w:t>
      </w:r>
      <w:proofErr w:type="gramStart"/>
      <w:r>
        <w:rPr>
          <w:rFonts w:ascii="Arial" w:hAnsi="Arial" w:cs="Arial"/>
          <w:i/>
        </w:rPr>
        <w:t>under</w:t>
      </w:r>
      <w:proofErr w:type="gramEnd"/>
      <w:r>
        <w:rPr>
          <w:rFonts w:ascii="Arial" w:hAnsi="Arial" w:cs="Arial"/>
          <w:i/>
        </w:rPr>
        <w:t xml:space="preserve"> 75 but with significant co-morbidity should be invited for clinic review to discuss pros and cons of surveillance.</w:t>
      </w: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Any patient under 75 (without significant co-morbidity): histology results and endoscopy reports should be reviewed.</w:t>
      </w: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Those without intestinal metaplasia on biopsy on 2 consecutive examinations should be discharged, regardless of whether columnar lined oesophagus (Barrett’s) was visible endoscopically. If intestinal metaplasia was absent on only one examination a further gastroscopy should be offered to check for a sampling error if clinically appropriate.  Those with intestinal metaplasia should continue with endoscopic surveillance.</w:t>
      </w: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 the absence of definite surveillance intervals for Barrett’s patients, I suggest we offer screening every 5 years for those with Barrett’s &lt;3cm and every 3 years for Barrett’s ≥ 3cm.</w:t>
      </w: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Any patient with dysplasia either low or high grade should be referred to the UGI MDT for discussion.  Any patient who is “indefinite for dysplasia” should be offered a repeat gastroscopy in 6 months after optimising their anti-acid medication.</w:t>
      </w: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6C55D7" w:rsidRDefault="006C55D7" w:rsidP="006C5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5F32F4" w:rsidRDefault="005F32F4"/>
    <w:p w:rsidR="006C55D7" w:rsidRDefault="006C55D7"/>
    <w:p w:rsidR="006C55D7" w:rsidRDefault="006C55D7"/>
    <w:p w:rsidR="006C55D7" w:rsidRDefault="006C55D7"/>
    <w:p w:rsidR="006C55D7" w:rsidRDefault="006C55D7"/>
    <w:p w:rsidR="006C55D7" w:rsidRDefault="006C55D7"/>
    <w:p w:rsidR="006C55D7" w:rsidRDefault="006C55D7"/>
    <w:p w:rsidR="006C55D7" w:rsidRDefault="006C55D7"/>
    <w:p w:rsidR="006C55D7" w:rsidRDefault="006C55D7"/>
    <w:p w:rsidR="006C55D7" w:rsidRDefault="006C55D7"/>
    <w:p w:rsidR="006C55D7" w:rsidRDefault="006C55D7"/>
    <w:p w:rsidR="006C55D7" w:rsidRDefault="006C55D7"/>
    <w:p w:rsidR="006C55D7" w:rsidRPr="006C55D7" w:rsidRDefault="006C55D7" w:rsidP="006C55D7">
      <w:pPr>
        <w:pStyle w:val="Footer"/>
        <w:rPr>
          <w:b/>
          <w:sz w:val="28"/>
          <w:szCs w:val="28"/>
        </w:rPr>
      </w:pPr>
      <w:r w:rsidRPr="006C55D7">
        <w:rPr>
          <w:b/>
          <w:sz w:val="28"/>
          <w:szCs w:val="28"/>
        </w:rPr>
        <w:t xml:space="preserve">Miss </w:t>
      </w:r>
      <w:r>
        <w:rPr>
          <w:b/>
          <w:sz w:val="28"/>
          <w:szCs w:val="28"/>
        </w:rPr>
        <w:t xml:space="preserve">Natasha Henley </w:t>
      </w:r>
      <w:r w:rsidRPr="006C55D7">
        <w:rPr>
          <w:b/>
          <w:sz w:val="28"/>
          <w:szCs w:val="28"/>
        </w:rPr>
        <w:t xml:space="preserve">Upper </w:t>
      </w:r>
      <w:proofErr w:type="gramStart"/>
      <w:r w:rsidRPr="006C55D7">
        <w:rPr>
          <w:b/>
          <w:sz w:val="28"/>
          <w:szCs w:val="28"/>
        </w:rPr>
        <w:t>GI  Consultant</w:t>
      </w:r>
      <w:proofErr w:type="gramEnd"/>
      <w:r w:rsidRPr="006C55D7">
        <w:rPr>
          <w:b/>
          <w:sz w:val="28"/>
          <w:szCs w:val="28"/>
        </w:rPr>
        <w:t xml:space="preserve"> Surgeon</w:t>
      </w:r>
    </w:p>
    <w:p w:rsidR="006C55D7" w:rsidRDefault="00CF3C04">
      <w:r>
        <w:t xml:space="preserve">June </w:t>
      </w:r>
      <w:proofErr w:type="gramStart"/>
      <w:r>
        <w:t>2016  for</w:t>
      </w:r>
      <w:proofErr w:type="gramEnd"/>
      <w:r>
        <w:t xml:space="preserve"> review  June 2018</w:t>
      </w:r>
    </w:p>
    <w:sectPr w:rsidR="006C55D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00D" w:rsidRDefault="009A700D" w:rsidP="006C55D7">
      <w:pPr>
        <w:spacing w:after="0" w:line="240" w:lineRule="auto"/>
      </w:pPr>
      <w:r>
        <w:separator/>
      </w:r>
    </w:p>
  </w:endnote>
  <w:endnote w:type="continuationSeparator" w:id="0">
    <w:p w:rsidR="009A700D" w:rsidRDefault="009A700D" w:rsidP="006C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OT8608a8d1+22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5D7" w:rsidRDefault="006C55D7">
    <w:pPr>
      <w:pStyle w:val="Footer"/>
    </w:pPr>
  </w:p>
  <w:p w:rsidR="006C55D7" w:rsidRDefault="006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00D" w:rsidRDefault="009A700D" w:rsidP="006C55D7">
      <w:pPr>
        <w:spacing w:after="0" w:line="240" w:lineRule="auto"/>
      </w:pPr>
      <w:r>
        <w:separator/>
      </w:r>
    </w:p>
  </w:footnote>
  <w:footnote w:type="continuationSeparator" w:id="0">
    <w:p w:rsidR="009A700D" w:rsidRDefault="009A700D" w:rsidP="006C5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5D7" w:rsidRDefault="006C55D7" w:rsidP="006C55D7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724025" cy="3905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D7"/>
    <w:rsid w:val="005F32F4"/>
    <w:rsid w:val="006C55D7"/>
    <w:rsid w:val="008F70C0"/>
    <w:rsid w:val="009A700D"/>
    <w:rsid w:val="00C765F9"/>
    <w:rsid w:val="00CA523D"/>
    <w:rsid w:val="00C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5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5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5D7"/>
  </w:style>
  <w:style w:type="paragraph" w:styleId="Footer">
    <w:name w:val="footer"/>
    <w:basedOn w:val="Normal"/>
    <w:link w:val="FooterChar"/>
    <w:uiPriority w:val="99"/>
    <w:unhideWhenUsed/>
    <w:rsid w:val="006C5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5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5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5D7"/>
  </w:style>
  <w:style w:type="paragraph" w:styleId="Footer">
    <w:name w:val="footer"/>
    <w:basedOn w:val="Normal"/>
    <w:link w:val="FooterChar"/>
    <w:uiPriority w:val="99"/>
    <w:unhideWhenUsed/>
    <w:rsid w:val="006C5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AD963-F823-4DFF-BC80-7325DB20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SNFT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Beverley Jane Murphy</dc:creator>
  <cp:lastModifiedBy>Michelle Moran</cp:lastModifiedBy>
  <cp:revision>2</cp:revision>
  <dcterms:created xsi:type="dcterms:W3CDTF">2016-11-22T10:41:00Z</dcterms:created>
  <dcterms:modified xsi:type="dcterms:W3CDTF">2016-11-22T10:41:00Z</dcterms:modified>
</cp:coreProperties>
</file>