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F04D2" w14:textId="77777777" w:rsidR="00C154B8" w:rsidRPr="00C154B8" w:rsidRDefault="00C154B8" w:rsidP="00C154B8">
      <w:pPr>
        <w:overflowPunct w:val="0"/>
        <w:jc w:val="center"/>
        <w:rPr>
          <w:rFonts w:ascii="Arial" w:eastAsia="SimSun" w:hAnsi="Arial"/>
          <w:b/>
          <w:bCs/>
          <w:kern w:val="2"/>
          <w:sz w:val="22"/>
          <w:szCs w:val="24"/>
          <w:lang w:eastAsia="zh-CN" w:bidi="hi-IN"/>
        </w:rPr>
      </w:pPr>
      <w:bookmarkStart w:id="0" w:name="_GoBack"/>
      <w:bookmarkEnd w:id="0"/>
    </w:p>
    <w:p w14:paraId="6B38C6E0" w14:textId="77777777" w:rsidR="00C154B8" w:rsidRPr="00C154B8" w:rsidRDefault="00C154B8" w:rsidP="00C154B8">
      <w:pPr>
        <w:overflowPunct w:val="0"/>
        <w:rPr>
          <w:rFonts w:ascii="Arial" w:eastAsia="SimSun" w:hAnsi="Arial"/>
          <w:kern w:val="2"/>
          <w:sz w:val="22"/>
          <w:szCs w:val="24"/>
          <w:lang w:eastAsia="zh-CN" w:bidi="hi-IN"/>
        </w:rPr>
      </w:pPr>
    </w:p>
    <w:p w14:paraId="7C32705D" w14:textId="77777777" w:rsidR="00C154B8" w:rsidRPr="00C154B8" w:rsidRDefault="00C154B8" w:rsidP="00C154B8">
      <w:pPr>
        <w:overflowPunct w:val="0"/>
        <w:rPr>
          <w:rFonts w:ascii="Arial" w:eastAsia="SimSun" w:hAnsi="Arial"/>
          <w:b/>
          <w:bCs/>
          <w:kern w:val="2"/>
          <w:sz w:val="22"/>
          <w:szCs w:val="24"/>
          <w:lang w:eastAsia="zh-CN" w:bidi="hi-IN"/>
        </w:rPr>
      </w:pPr>
    </w:p>
    <w:p w14:paraId="360D9CB1" w14:textId="77777777" w:rsidR="00F35E29" w:rsidRDefault="00F35E29" w:rsidP="002A0E13">
      <w:pPr>
        <w:pStyle w:val="Title"/>
        <w:rPr>
          <w:rFonts w:ascii="Arial" w:hAnsi="Arial" w:cs="Arial"/>
          <w:color w:val="008080"/>
          <w:sz w:val="44"/>
          <w:szCs w:val="44"/>
        </w:rPr>
      </w:pPr>
    </w:p>
    <w:p w14:paraId="43410459" w14:textId="77777777" w:rsidR="00F35E29" w:rsidRDefault="00F35E29" w:rsidP="002A0E13">
      <w:pPr>
        <w:pStyle w:val="Title"/>
        <w:rPr>
          <w:rFonts w:ascii="Arial" w:hAnsi="Arial" w:cs="Arial"/>
          <w:color w:val="008080"/>
          <w:sz w:val="44"/>
          <w:szCs w:val="44"/>
        </w:rPr>
      </w:pPr>
    </w:p>
    <w:p w14:paraId="3050A033" w14:textId="77777777" w:rsidR="00F35E29" w:rsidRDefault="00F35E29" w:rsidP="002A0E13">
      <w:pPr>
        <w:pStyle w:val="Title"/>
        <w:rPr>
          <w:rFonts w:ascii="Arial" w:hAnsi="Arial" w:cs="Arial"/>
          <w:color w:val="008080"/>
          <w:sz w:val="44"/>
          <w:szCs w:val="44"/>
        </w:rPr>
      </w:pPr>
    </w:p>
    <w:p w14:paraId="201EA483" w14:textId="77777777" w:rsidR="00F35E29" w:rsidRDefault="00F35E29" w:rsidP="002A0E13">
      <w:pPr>
        <w:pStyle w:val="Title"/>
        <w:rPr>
          <w:rFonts w:ascii="Arial" w:hAnsi="Arial" w:cs="Arial"/>
          <w:color w:val="008080"/>
          <w:sz w:val="44"/>
          <w:szCs w:val="44"/>
        </w:rPr>
      </w:pPr>
    </w:p>
    <w:p w14:paraId="64319F49" w14:textId="77777777" w:rsidR="009E64F6" w:rsidRDefault="009E64F6" w:rsidP="009E64F6">
      <w:pPr>
        <w:pStyle w:val="Title"/>
        <w:rPr>
          <w:rFonts w:ascii="Arial" w:hAnsi="Arial" w:cs="Arial"/>
          <w:color w:val="000000" w:themeColor="text1"/>
          <w:sz w:val="44"/>
          <w:szCs w:val="44"/>
        </w:rPr>
      </w:pPr>
      <w:r>
        <w:rPr>
          <w:rFonts w:ascii="Arial" w:hAnsi="Arial" w:cs="Arial"/>
          <w:color w:val="000000" w:themeColor="text1"/>
          <w:sz w:val="44"/>
          <w:szCs w:val="44"/>
        </w:rPr>
        <w:t xml:space="preserve">Stockport NHS Foundation Trust </w:t>
      </w:r>
    </w:p>
    <w:p w14:paraId="5EB8A3B0" w14:textId="77777777" w:rsidR="009E64F6" w:rsidRPr="00B74FE9" w:rsidRDefault="009E64F6" w:rsidP="009E64F6">
      <w:pPr>
        <w:pStyle w:val="Title"/>
        <w:rPr>
          <w:rFonts w:ascii="Arial" w:hAnsi="Arial" w:cs="Arial"/>
          <w:color w:val="000000" w:themeColor="text1"/>
          <w:sz w:val="44"/>
          <w:szCs w:val="44"/>
        </w:rPr>
      </w:pPr>
      <w:r w:rsidRPr="00B74FE9">
        <w:rPr>
          <w:rFonts w:ascii="Arial" w:hAnsi="Arial" w:cs="Arial"/>
          <w:color w:val="000000" w:themeColor="text1"/>
          <w:sz w:val="44"/>
          <w:szCs w:val="44"/>
        </w:rPr>
        <w:t>Workforce Race Equality Standard</w:t>
      </w:r>
    </w:p>
    <w:p w14:paraId="6C6C6D8D" w14:textId="77777777" w:rsidR="009E64F6" w:rsidRDefault="009E64F6" w:rsidP="009E64F6">
      <w:pPr>
        <w:pStyle w:val="Title"/>
        <w:rPr>
          <w:rFonts w:ascii="Arial" w:hAnsi="Arial" w:cs="Arial"/>
          <w:color w:val="000000" w:themeColor="text1"/>
          <w:sz w:val="44"/>
          <w:szCs w:val="44"/>
        </w:rPr>
      </w:pPr>
      <w:r w:rsidRPr="00B74FE9">
        <w:rPr>
          <w:rFonts w:ascii="Arial" w:hAnsi="Arial" w:cs="Arial"/>
          <w:color w:val="000000" w:themeColor="text1"/>
          <w:sz w:val="44"/>
          <w:szCs w:val="44"/>
        </w:rPr>
        <w:t xml:space="preserve">(WRES) Report </w:t>
      </w:r>
      <w:r>
        <w:rPr>
          <w:rFonts w:ascii="Arial" w:hAnsi="Arial" w:cs="Arial"/>
          <w:color w:val="000000" w:themeColor="text1"/>
          <w:sz w:val="44"/>
          <w:szCs w:val="44"/>
        </w:rPr>
        <w:t>2021</w:t>
      </w:r>
    </w:p>
    <w:p w14:paraId="16B3B987" w14:textId="77777777" w:rsidR="009E64F6" w:rsidRDefault="009E64F6" w:rsidP="009E64F6">
      <w:pPr>
        <w:rPr>
          <w:lang w:eastAsia="en-US"/>
        </w:rPr>
      </w:pPr>
    </w:p>
    <w:p w14:paraId="07E13AE6" w14:textId="77777777" w:rsidR="009E64F6" w:rsidRDefault="009E64F6" w:rsidP="009E64F6">
      <w:pPr>
        <w:rPr>
          <w:lang w:eastAsia="en-US"/>
        </w:rPr>
      </w:pPr>
    </w:p>
    <w:p w14:paraId="669D4EA3" w14:textId="77777777" w:rsidR="009E64F6" w:rsidRDefault="009E64F6" w:rsidP="009E64F6">
      <w:pPr>
        <w:rPr>
          <w:lang w:eastAsia="en-US"/>
        </w:rPr>
      </w:pPr>
    </w:p>
    <w:p w14:paraId="529A0337" w14:textId="77777777" w:rsidR="00F35E29" w:rsidRDefault="00F35E29" w:rsidP="002A0E13">
      <w:pPr>
        <w:pStyle w:val="Title"/>
        <w:rPr>
          <w:rFonts w:ascii="Arial" w:hAnsi="Arial" w:cs="Arial"/>
          <w:color w:val="008080"/>
          <w:sz w:val="44"/>
          <w:szCs w:val="44"/>
        </w:rPr>
      </w:pPr>
    </w:p>
    <w:p w14:paraId="797A35B6" w14:textId="77777777" w:rsidR="002A0E13" w:rsidRDefault="002A0E13" w:rsidP="002A0E13">
      <w:pPr>
        <w:pStyle w:val="Title"/>
        <w:rPr>
          <w:rFonts w:ascii="Arial" w:hAnsi="Arial" w:cs="Arial"/>
          <w:color w:val="008080"/>
          <w:sz w:val="44"/>
          <w:szCs w:val="44"/>
        </w:rPr>
      </w:pPr>
    </w:p>
    <w:p w14:paraId="015183A2" w14:textId="03F73F83" w:rsidR="002A0E13" w:rsidRDefault="009E64F6" w:rsidP="00FD442E">
      <w:pPr>
        <w:pStyle w:val="NoSpacing"/>
        <w:jc w:val="center"/>
        <w:rPr>
          <w:rFonts w:ascii="Arial" w:hAnsi="Arial"/>
          <w:b/>
          <w:sz w:val="28"/>
        </w:rPr>
      </w:pPr>
      <w:r>
        <w:rPr>
          <w:rFonts w:ascii="Arial" w:hAnsi="Arial"/>
          <w:noProof/>
        </w:rPr>
        <w:drawing>
          <wp:inline distT="0" distB="0" distL="0" distR="0" wp14:anchorId="3655F84A" wp14:editId="1F04532A">
            <wp:extent cx="5736590" cy="2524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6590" cy="2524125"/>
                    </a:xfrm>
                    <a:prstGeom prst="rect">
                      <a:avLst/>
                    </a:prstGeom>
                    <a:noFill/>
                  </pic:spPr>
                </pic:pic>
              </a:graphicData>
            </a:graphic>
          </wp:inline>
        </w:drawing>
      </w:r>
      <w:r w:rsidR="002A0E13" w:rsidRPr="004141DA">
        <w:rPr>
          <w:rFonts w:ascii="Arial" w:hAnsi="Arial"/>
        </w:rPr>
        <w:br w:type="page"/>
      </w:r>
    </w:p>
    <w:p w14:paraId="2F3399A5" w14:textId="77777777" w:rsidR="00444F40" w:rsidRPr="00444F40" w:rsidRDefault="00444F40" w:rsidP="005D73CF">
      <w:pPr>
        <w:pStyle w:val="NoSpacing"/>
        <w:rPr>
          <w:rFonts w:ascii="Arial" w:hAnsi="Arial"/>
          <w:b/>
          <w:sz w:val="28"/>
        </w:rPr>
      </w:pPr>
      <w:r w:rsidRPr="00444F40">
        <w:rPr>
          <w:rFonts w:ascii="Arial" w:hAnsi="Arial"/>
          <w:b/>
          <w:sz w:val="28"/>
        </w:rPr>
        <w:lastRenderedPageBreak/>
        <w:t>Introduction</w:t>
      </w:r>
    </w:p>
    <w:p w14:paraId="699A26D5" w14:textId="77777777" w:rsidR="00444F40" w:rsidRDefault="00444F40" w:rsidP="005D73CF">
      <w:pPr>
        <w:spacing w:line="200" w:lineRule="exact"/>
        <w:rPr>
          <w:rFonts w:ascii="Times New Roman" w:eastAsia="Times New Roman" w:hAnsi="Times New Roman"/>
        </w:rPr>
      </w:pPr>
    </w:p>
    <w:p w14:paraId="59D0A131" w14:textId="77777777" w:rsidR="00444F40" w:rsidRPr="00D8776E" w:rsidRDefault="00444F40" w:rsidP="005D73CF">
      <w:pPr>
        <w:autoSpaceDE w:val="0"/>
        <w:autoSpaceDN w:val="0"/>
        <w:adjustRightInd w:val="0"/>
        <w:rPr>
          <w:rFonts w:ascii="Arial" w:hAnsi="Arial"/>
          <w:sz w:val="22"/>
          <w:szCs w:val="24"/>
        </w:rPr>
      </w:pPr>
      <w:r w:rsidRPr="00D8776E">
        <w:rPr>
          <w:rFonts w:ascii="Arial" w:hAnsi="Arial"/>
          <w:sz w:val="22"/>
          <w:szCs w:val="24"/>
        </w:rPr>
        <w:t>The NHS Workforce Race Equality Standard (WRES) was made available to the NHS from April 2015, following sustained engagement and consultation with key stakeholders including a widespread of NHS organisations across England. The WRES is included in the NHS standard contract, and since July 2015, NHS trusts have been producing and publishing their WRES data on an annual basis.</w:t>
      </w:r>
    </w:p>
    <w:p w14:paraId="33C4B4DC" w14:textId="77777777" w:rsidR="00444F40" w:rsidRPr="00D8776E" w:rsidRDefault="00444F40" w:rsidP="005D73CF">
      <w:pPr>
        <w:autoSpaceDE w:val="0"/>
        <w:autoSpaceDN w:val="0"/>
        <w:adjustRightInd w:val="0"/>
        <w:rPr>
          <w:rFonts w:ascii="Arial" w:hAnsi="Arial"/>
          <w:sz w:val="22"/>
          <w:szCs w:val="24"/>
        </w:rPr>
      </w:pPr>
    </w:p>
    <w:p w14:paraId="1C5B3085" w14:textId="77777777" w:rsidR="00444F40" w:rsidRPr="00D8776E" w:rsidRDefault="00444F40" w:rsidP="005D73CF">
      <w:pPr>
        <w:pStyle w:val="NoSpacing"/>
        <w:rPr>
          <w:rFonts w:ascii="Arial" w:hAnsi="Arial"/>
          <w:sz w:val="22"/>
          <w:szCs w:val="24"/>
        </w:rPr>
      </w:pPr>
      <w:r w:rsidRPr="00D8776E">
        <w:rPr>
          <w:rFonts w:ascii="Arial" w:hAnsi="Arial"/>
          <w:sz w:val="22"/>
          <w:szCs w:val="24"/>
        </w:rPr>
        <w:t>The main purpose of the WRES is:</w:t>
      </w:r>
    </w:p>
    <w:p w14:paraId="71611490" w14:textId="77777777" w:rsidR="00444F40" w:rsidRPr="00D8776E" w:rsidRDefault="00444F40" w:rsidP="005D73CF">
      <w:pPr>
        <w:pStyle w:val="NoSpacing"/>
        <w:rPr>
          <w:rFonts w:ascii="Arial" w:hAnsi="Arial"/>
          <w:sz w:val="22"/>
          <w:szCs w:val="24"/>
        </w:rPr>
      </w:pPr>
    </w:p>
    <w:p w14:paraId="345EC5A2" w14:textId="77777777" w:rsidR="00444F40" w:rsidRPr="00D8776E" w:rsidRDefault="00444F40" w:rsidP="005D73CF">
      <w:pPr>
        <w:pStyle w:val="NoSpacing"/>
        <w:numPr>
          <w:ilvl w:val="0"/>
          <w:numId w:val="1"/>
        </w:numPr>
        <w:rPr>
          <w:rFonts w:ascii="Arial" w:hAnsi="Arial"/>
          <w:sz w:val="22"/>
          <w:szCs w:val="24"/>
        </w:rPr>
      </w:pPr>
      <w:r w:rsidRPr="00D8776E">
        <w:rPr>
          <w:rFonts w:ascii="Arial" w:hAnsi="Arial"/>
          <w:sz w:val="22"/>
          <w:szCs w:val="24"/>
        </w:rPr>
        <w:t>to help local, and national, NHS organisations (and other organisations providing NHS services) to review their data against the nine WRES indicators,</w:t>
      </w:r>
    </w:p>
    <w:p w14:paraId="32D0B24B" w14:textId="77777777" w:rsidR="00444F40" w:rsidRPr="00D8776E" w:rsidRDefault="00444F40" w:rsidP="005D73CF">
      <w:pPr>
        <w:pStyle w:val="NoSpacing"/>
        <w:numPr>
          <w:ilvl w:val="0"/>
          <w:numId w:val="1"/>
        </w:numPr>
        <w:rPr>
          <w:rFonts w:ascii="Arial" w:hAnsi="Arial"/>
          <w:sz w:val="22"/>
          <w:szCs w:val="24"/>
        </w:rPr>
      </w:pPr>
      <w:r w:rsidRPr="00D8776E">
        <w:rPr>
          <w:rFonts w:ascii="Arial" w:hAnsi="Arial"/>
          <w:sz w:val="22"/>
          <w:szCs w:val="24"/>
        </w:rPr>
        <w:t>to produce action plans to close the gaps in workplace experience between white and Black and Ethnic Minority (BME) staff, and,</w:t>
      </w:r>
    </w:p>
    <w:p w14:paraId="0B54A3F1" w14:textId="77777777" w:rsidR="00444F40" w:rsidRPr="00D8776E" w:rsidRDefault="00444F40" w:rsidP="005D73CF">
      <w:pPr>
        <w:pStyle w:val="NoSpacing"/>
        <w:numPr>
          <w:ilvl w:val="0"/>
          <w:numId w:val="1"/>
        </w:numPr>
        <w:rPr>
          <w:rFonts w:ascii="Arial" w:hAnsi="Arial"/>
          <w:sz w:val="22"/>
          <w:szCs w:val="24"/>
        </w:rPr>
      </w:pPr>
      <w:r w:rsidRPr="00D8776E">
        <w:rPr>
          <w:rFonts w:ascii="Arial" w:hAnsi="Arial"/>
          <w:sz w:val="22"/>
          <w:szCs w:val="24"/>
        </w:rPr>
        <w:t>to improve B</w:t>
      </w:r>
      <w:r w:rsidR="00C73046" w:rsidRPr="00D8776E">
        <w:rPr>
          <w:rFonts w:ascii="Arial" w:hAnsi="Arial"/>
          <w:sz w:val="22"/>
          <w:szCs w:val="24"/>
        </w:rPr>
        <w:t>A</w:t>
      </w:r>
      <w:r w:rsidRPr="00D8776E">
        <w:rPr>
          <w:rFonts w:ascii="Arial" w:hAnsi="Arial"/>
          <w:sz w:val="22"/>
          <w:szCs w:val="24"/>
        </w:rPr>
        <w:t>ME representation at the Board level of the organisation.</w:t>
      </w:r>
    </w:p>
    <w:p w14:paraId="49220CF9" w14:textId="77777777" w:rsidR="00444F40" w:rsidRPr="00D8776E" w:rsidRDefault="00444F40" w:rsidP="005D73CF">
      <w:pPr>
        <w:pStyle w:val="NoSpacing"/>
        <w:rPr>
          <w:rFonts w:ascii="Arial" w:hAnsi="Arial"/>
          <w:sz w:val="22"/>
          <w:szCs w:val="24"/>
        </w:rPr>
      </w:pPr>
    </w:p>
    <w:p w14:paraId="3A587DAE" w14:textId="77777777" w:rsidR="00444F40" w:rsidRPr="00D8776E" w:rsidRDefault="00444F40" w:rsidP="005D73CF">
      <w:pPr>
        <w:pStyle w:val="NoSpacing"/>
        <w:rPr>
          <w:rFonts w:ascii="Arial" w:hAnsi="Arial"/>
          <w:sz w:val="22"/>
          <w:szCs w:val="24"/>
        </w:rPr>
      </w:pPr>
      <w:r w:rsidRPr="00D8776E">
        <w:rPr>
          <w:rFonts w:ascii="Arial" w:hAnsi="Arial"/>
          <w:sz w:val="22"/>
          <w:szCs w:val="24"/>
        </w:rPr>
        <w:t>This document reports</w:t>
      </w:r>
      <w:r w:rsidR="005D73CF" w:rsidRPr="00D8776E">
        <w:rPr>
          <w:rFonts w:ascii="Arial" w:hAnsi="Arial"/>
          <w:sz w:val="22"/>
          <w:szCs w:val="24"/>
        </w:rPr>
        <w:t xml:space="preserve"> on Trust’s activity between 1</w:t>
      </w:r>
      <w:r w:rsidRPr="00D8776E">
        <w:rPr>
          <w:rFonts w:ascii="Arial" w:hAnsi="Arial"/>
          <w:sz w:val="22"/>
          <w:szCs w:val="24"/>
        </w:rPr>
        <w:t xml:space="preserve"> April 2020</w:t>
      </w:r>
      <w:r w:rsidR="005D73CF" w:rsidRPr="00D8776E">
        <w:rPr>
          <w:rFonts w:ascii="Arial" w:hAnsi="Arial"/>
          <w:sz w:val="22"/>
          <w:szCs w:val="24"/>
        </w:rPr>
        <w:t xml:space="preserve"> and 31</w:t>
      </w:r>
      <w:r w:rsidRPr="00D8776E">
        <w:rPr>
          <w:rFonts w:ascii="Arial" w:hAnsi="Arial"/>
          <w:sz w:val="22"/>
          <w:szCs w:val="24"/>
        </w:rPr>
        <w:t xml:space="preserve"> March 202</w:t>
      </w:r>
      <w:r w:rsidR="00C73046" w:rsidRPr="00D8776E">
        <w:rPr>
          <w:rFonts w:ascii="Arial" w:hAnsi="Arial"/>
          <w:sz w:val="22"/>
          <w:szCs w:val="24"/>
        </w:rPr>
        <w:t>1. I</w:t>
      </w:r>
      <w:r w:rsidRPr="00D8776E">
        <w:rPr>
          <w:rFonts w:ascii="Arial" w:hAnsi="Arial"/>
          <w:sz w:val="22"/>
          <w:szCs w:val="24"/>
        </w:rPr>
        <w:t xml:space="preserve">n accordance with the three workforce themes: workforce diversity (indicators 1 – 4), staff experience (indicators 5 – 8) and leadership diversity (indicator 9).  </w:t>
      </w:r>
    </w:p>
    <w:p w14:paraId="6FDA5227" w14:textId="77777777" w:rsidR="00A4565A" w:rsidRPr="00D8776E" w:rsidRDefault="00A4565A" w:rsidP="005D73CF">
      <w:pPr>
        <w:pStyle w:val="NoSpacing"/>
        <w:rPr>
          <w:rFonts w:ascii="Arial" w:hAnsi="Arial"/>
          <w:sz w:val="22"/>
          <w:szCs w:val="24"/>
        </w:rPr>
      </w:pPr>
    </w:p>
    <w:p w14:paraId="258E891F" w14:textId="77777777" w:rsidR="00A4565A" w:rsidRDefault="00A4565A" w:rsidP="005D73CF">
      <w:pPr>
        <w:pStyle w:val="NoSpacing"/>
        <w:rPr>
          <w:rFonts w:ascii="Arial" w:hAnsi="Arial"/>
          <w:sz w:val="22"/>
          <w:szCs w:val="24"/>
        </w:rPr>
      </w:pPr>
      <w:r w:rsidRPr="00D8776E">
        <w:rPr>
          <w:rFonts w:ascii="Arial" w:hAnsi="Arial"/>
          <w:sz w:val="22"/>
          <w:szCs w:val="24"/>
        </w:rPr>
        <w:t>In addition to reporting the metrics required of the WRES, this report also sets out actions that will be undertaken to address the inequalities identified.</w:t>
      </w:r>
    </w:p>
    <w:p w14:paraId="682F33EA" w14:textId="77777777" w:rsidR="00E26596" w:rsidRDefault="00E26596" w:rsidP="005D73CF">
      <w:pPr>
        <w:pStyle w:val="NoSpacing"/>
        <w:rPr>
          <w:rFonts w:ascii="Arial" w:hAnsi="Arial"/>
          <w:sz w:val="22"/>
          <w:szCs w:val="24"/>
        </w:rPr>
      </w:pPr>
    </w:p>
    <w:p w14:paraId="75E7870C" w14:textId="77777777" w:rsidR="00E26596" w:rsidRPr="00D8776E" w:rsidRDefault="00E26596" w:rsidP="005D73CF">
      <w:pPr>
        <w:pStyle w:val="NoSpacing"/>
        <w:rPr>
          <w:rFonts w:ascii="Arial" w:eastAsia="Times New Roman" w:hAnsi="Arial"/>
          <w:sz w:val="22"/>
          <w:szCs w:val="24"/>
        </w:rPr>
        <w:sectPr w:rsidR="00E26596" w:rsidRPr="00D8776E" w:rsidSect="00B3687F">
          <w:headerReference w:type="default" r:id="rId10"/>
          <w:footerReference w:type="default" r:id="rId11"/>
          <w:type w:val="nextColumn"/>
          <w:pgSz w:w="11920" w:h="16857"/>
          <w:pgMar w:top="1440" w:right="1440" w:bottom="1440" w:left="1440" w:header="0" w:footer="0" w:gutter="0"/>
          <w:cols w:space="0" w:equalWidth="0">
            <w:col w:w="9490"/>
          </w:cols>
          <w:docGrid w:linePitch="360"/>
        </w:sectPr>
      </w:pPr>
      <w:r>
        <w:rPr>
          <w:rFonts w:ascii="Arial" w:hAnsi="Arial"/>
          <w:sz w:val="22"/>
          <w:szCs w:val="24"/>
        </w:rPr>
        <w:t xml:space="preserve">It is recognised that whilst the Trust has seen a </w:t>
      </w:r>
      <w:r w:rsidR="00A70B77">
        <w:rPr>
          <w:rFonts w:ascii="Arial" w:hAnsi="Arial"/>
          <w:sz w:val="22"/>
          <w:szCs w:val="24"/>
        </w:rPr>
        <w:t>s</w:t>
      </w:r>
      <w:r>
        <w:rPr>
          <w:rFonts w:ascii="Arial" w:hAnsi="Arial"/>
          <w:sz w:val="22"/>
          <w:szCs w:val="24"/>
        </w:rPr>
        <w:t xml:space="preserve">light improvement in the Staff Survey metrics in relation to Harassment &amp; Bullying there is still </w:t>
      </w:r>
      <w:r w:rsidR="00A70B77">
        <w:rPr>
          <w:rFonts w:ascii="Arial" w:hAnsi="Arial"/>
          <w:sz w:val="22"/>
          <w:szCs w:val="24"/>
        </w:rPr>
        <w:t>significant</w:t>
      </w:r>
      <w:r>
        <w:rPr>
          <w:rFonts w:ascii="Arial" w:hAnsi="Arial"/>
          <w:sz w:val="22"/>
          <w:szCs w:val="24"/>
        </w:rPr>
        <w:t xml:space="preserve"> work to do particularly in relation to leadership development and progression of BAME staff within the organisation, recruitment and the likely hood of BAME staff members being shortlisted and the disparity figures in relation to disciplinary procedures.  </w:t>
      </w:r>
    </w:p>
    <w:p w14:paraId="4E34DEE7" w14:textId="77777777" w:rsidR="00444F40" w:rsidRPr="00C353B5" w:rsidRDefault="00444F40" w:rsidP="00444F40">
      <w:pPr>
        <w:tabs>
          <w:tab w:val="left" w:pos="2460"/>
        </w:tabs>
        <w:spacing w:line="399" w:lineRule="exact"/>
        <w:rPr>
          <w:rFonts w:ascii="Arial" w:eastAsia="Times New Roman" w:hAnsi="Arial"/>
          <w:b/>
          <w:sz w:val="28"/>
          <w:szCs w:val="36"/>
        </w:rPr>
      </w:pPr>
      <w:r w:rsidRPr="00C353B5">
        <w:rPr>
          <w:rFonts w:ascii="Arial" w:eastAsia="Times New Roman" w:hAnsi="Arial"/>
          <w:b/>
          <w:sz w:val="28"/>
          <w:szCs w:val="36"/>
        </w:rPr>
        <w:lastRenderedPageBreak/>
        <w:t>The WRES Indicators</w:t>
      </w:r>
    </w:p>
    <w:p w14:paraId="5D583462" w14:textId="77777777" w:rsidR="00444F40" w:rsidRDefault="00444F40" w:rsidP="00444F40">
      <w:pPr>
        <w:spacing w:line="399" w:lineRule="exact"/>
        <w:rPr>
          <w:rFonts w:ascii="Times New Roman" w:eastAsia="Times New Roman" w:hAnsi="Times New Roman"/>
        </w:rPr>
      </w:pPr>
      <w:r>
        <w:rPr>
          <w:rFonts w:ascii="Arial" w:eastAsia="Arial" w:hAnsi="Arial"/>
          <w:noProof/>
          <w:sz w:val="26"/>
        </w:rPr>
        <w:drawing>
          <wp:anchor distT="0" distB="0" distL="114300" distR="114300" simplePos="0" relativeHeight="251658240" behindDoc="1" locked="0" layoutInCell="1" allowOverlap="1" wp14:anchorId="7CB60113" wp14:editId="6D542F35">
            <wp:simplePos x="0" y="0"/>
            <wp:positionH relativeFrom="margin">
              <wp:align>left</wp:align>
            </wp:positionH>
            <wp:positionV relativeFrom="paragraph">
              <wp:posOffset>201295</wp:posOffset>
            </wp:positionV>
            <wp:extent cx="750570" cy="750570"/>
            <wp:effectExtent l="0" t="0" r="0" b="0"/>
            <wp:wrapNone/>
            <wp:docPr id="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BEBA8EAE-BF5A-486C-A8C5-ECC9F3942E4B}">
                          <a14:imgProps xmlns:a14="http://schemas.microsoft.com/office/drawing/2010/main">
                            <a14:imgLayer r:embed="rId13">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pic:spPr>
                </pic:pic>
              </a:graphicData>
            </a:graphic>
            <wp14:sizeRelH relativeFrom="page">
              <wp14:pctWidth>0</wp14:pctWidth>
            </wp14:sizeRelH>
            <wp14:sizeRelV relativeFrom="page">
              <wp14:pctHeight>0</wp14:pctHeight>
            </wp14:sizeRelV>
          </wp:anchor>
        </w:drawing>
      </w:r>
    </w:p>
    <w:p w14:paraId="1BDE8618" w14:textId="77777777" w:rsidR="00444F40" w:rsidRDefault="00444F40" w:rsidP="00444F40">
      <w:pPr>
        <w:spacing w:line="0" w:lineRule="atLeast"/>
        <w:ind w:left="940"/>
        <w:rPr>
          <w:rFonts w:ascii="Arial" w:eastAsia="Arial" w:hAnsi="Arial"/>
          <w:b/>
          <w:sz w:val="24"/>
        </w:rPr>
      </w:pPr>
    </w:p>
    <w:p w14:paraId="42CB0F2D" w14:textId="77777777" w:rsidR="00444F40" w:rsidRDefault="00444F40" w:rsidP="00724688">
      <w:pPr>
        <w:spacing w:line="0" w:lineRule="atLeast"/>
        <w:ind w:left="940" w:firstLine="500"/>
        <w:rPr>
          <w:rFonts w:ascii="Arial" w:eastAsia="Arial" w:hAnsi="Arial"/>
          <w:b/>
          <w:sz w:val="24"/>
        </w:rPr>
      </w:pPr>
      <w:r>
        <w:rPr>
          <w:rFonts w:ascii="Arial" w:eastAsia="Arial" w:hAnsi="Arial"/>
          <w:b/>
          <w:sz w:val="24"/>
        </w:rPr>
        <w:t>Workforce indicators</w:t>
      </w:r>
    </w:p>
    <w:p w14:paraId="0311FDA1" w14:textId="77777777" w:rsidR="00444F40" w:rsidRDefault="00444F40" w:rsidP="00444F40">
      <w:pPr>
        <w:spacing w:line="54" w:lineRule="exact"/>
        <w:rPr>
          <w:rFonts w:ascii="Times New Roman" w:eastAsia="Times New Roman" w:hAnsi="Times New Roman"/>
        </w:rPr>
      </w:pPr>
    </w:p>
    <w:p w14:paraId="643BB984" w14:textId="77777777" w:rsidR="00444F40" w:rsidRDefault="00444F40" w:rsidP="00444F40">
      <w:pPr>
        <w:spacing w:line="331" w:lineRule="auto"/>
        <w:ind w:right="1040"/>
        <w:rPr>
          <w:rFonts w:ascii="Arial" w:eastAsia="Arial" w:hAnsi="Arial"/>
          <w:sz w:val="24"/>
        </w:rPr>
      </w:pPr>
    </w:p>
    <w:p w14:paraId="6248E75A" w14:textId="77777777" w:rsidR="00444F40" w:rsidRDefault="00444F40" w:rsidP="00444F40">
      <w:pPr>
        <w:spacing w:line="331" w:lineRule="auto"/>
        <w:ind w:right="1040"/>
        <w:rPr>
          <w:rFonts w:ascii="Arial" w:eastAsia="Arial" w:hAnsi="Arial"/>
          <w:sz w:val="24"/>
        </w:rPr>
      </w:pPr>
    </w:p>
    <w:tbl>
      <w:tblPr>
        <w:tblStyle w:val="GridTable6Colorful1"/>
        <w:tblW w:w="0" w:type="auto"/>
        <w:tblLayout w:type="fixed"/>
        <w:tblLook w:val="04A0" w:firstRow="1" w:lastRow="0" w:firstColumn="1" w:lastColumn="0" w:noHBand="0" w:noVBand="1"/>
      </w:tblPr>
      <w:tblGrid>
        <w:gridCol w:w="2376"/>
        <w:gridCol w:w="6866"/>
      </w:tblGrid>
      <w:tr w:rsidR="00444F40" w14:paraId="4E0B3ECF" w14:textId="77777777" w:rsidTr="00B877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bottom w:val="none" w:sz="0" w:space="0" w:color="auto"/>
            </w:tcBorders>
          </w:tcPr>
          <w:p w14:paraId="21E055D8" w14:textId="77777777" w:rsidR="00444F40" w:rsidRDefault="00444F40" w:rsidP="00B3687F">
            <w:pPr>
              <w:spacing w:line="331" w:lineRule="auto"/>
              <w:ind w:right="1040"/>
              <w:rPr>
                <w:rFonts w:ascii="Arial" w:eastAsia="Arial" w:hAnsi="Arial"/>
                <w:sz w:val="24"/>
              </w:rPr>
            </w:pPr>
            <w:r>
              <w:rPr>
                <w:rFonts w:ascii="Arial" w:eastAsia="Arial" w:hAnsi="Arial"/>
                <w:sz w:val="24"/>
              </w:rPr>
              <w:t>Indicator</w:t>
            </w:r>
          </w:p>
        </w:tc>
        <w:tc>
          <w:tcPr>
            <w:tcW w:w="6866" w:type="dxa"/>
            <w:tcBorders>
              <w:bottom w:val="none" w:sz="0" w:space="0" w:color="auto"/>
            </w:tcBorders>
          </w:tcPr>
          <w:p w14:paraId="3649F365" w14:textId="77777777" w:rsidR="00444F40" w:rsidRDefault="00444F40" w:rsidP="00B3687F">
            <w:pPr>
              <w:spacing w:line="331" w:lineRule="auto"/>
              <w:ind w:right="1040"/>
              <w:cnfStyle w:val="100000000000" w:firstRow="1" w:lastRow="0" w:firstColumn="0" w:lastColumn="0" w:oddVBand="0" w:evenVBand="0" w:oddHBand="0" w:evenHBand="0" w:firstRowFirstColumn="0" w:firstRowLastColumn="0" w:lastRowFirstColumn="0" w:lastRowLastColumn="0"/>
              <w:rPr>
                <w:rFonts w:ascii="Arial" w:eastAsia="Arial" w:hAnsi="Arial"/>
                <w:sz w:val="24"/>
              </w:rPr>
            </w:pPr>
            <w:r>
              <w:rPr>
                <w:rFonts w:ascii="Arial" w:eastAsia="Arial" w:hAnsi="Arial"/>
                <w:sz w:val="24"/>
              </w:rPr>
              <w:t>Descriptor</w:t>
            </w:r>
          </w:p>
        </w:tc>
      </w:tr>
      <w:tr w:rsidR="00444F40" w14:paraId="6278107B" w14:textId="77777777" w:rsidTr="00B877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2075723A" w14:textId="77777777" w:rsidR="00444F40" w:rsidRDefault="00444F40" w:rsidP="00B3687F">
            <w:pPr>
              <w:spacing w:line="331" w:lineRule="auto"/>
              <w:ind w:right="1040"/>
              <w:rPr>
                <w:rFonts w:ascii="Arial" w:eastAsia="Arial" w:hAnsi="Arial"/>
                <w:sz w:val="24"/>
              </w:rPr>
            </w:pPr>
            <w:r>
              <w:rPr>
                <w:rFonts w:ascii="Arial" w:eastAsia="Arial" w:hAnsi="Arial"/>
                <w:sz w:val="24"/>
              </w:rPr>
              <w:t>1</w:t>
            </w:r>
          </w:p>
        </w:tc>
        <w:tc>
          <w:tcPr>
            <w:tcW w:w="6866" w:type="dxa"/>
          </w:tcPr>
          <w:p w14:paraId="54ABEB8B" w14:textId="77777777" w:rsidR="00444F40" w:rsidRPr="00046B4C" w:rsidRDefault="00444F40" w:rsidP="00B3687F">
            <w:pPr>
              <w:pStyle w:val="NoSpacing"/>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sidRPr="00046B4C">
              <w:rPr>
                <w:rFonts w:ascii="Arial" w:hAnsi="Arial"/>
                <w:sz w:val="22"/>
                <w:szCs w:val="22"/>
              </w:rPr>
              <w:t>Percentage of staff in each of the AfC Bands 1-9 and Very Senior Managers (VSM) (including executive Board members) compared with the percentage of staff in the overall workforce Note: organisations should undertake this calculation separately for non-clinical and for clinical staff</w:t>
            </w:r>
          </w:p>
        </w:tc>
      </w:tr>
      <w:tr w:rsidR="00444F40" w14:paraId="1D57D6CC" w14:textId="77777777" w:rsidTr="00B87799">
        <w:tc>
          <w:tcPr>
            <w:cnfStyle w:val="001000000000" w:firstRow="0" w:lastRow="0" w:firstColumn="1" w:lastColumn="0" w:oddVBand="0" w:evenVBand="0" w:oddHBand="0" w:evenHBand="0" w:firstRowFirstColumn="0" w:firstRowLastColumn="0" w:lastRowFirstColumn="0" w:lastRowLastColumn="0"/>
            <w:tcW w:w="2376" w:type="dxa"/>
          </w:tcPr>
          <w:p w14:paraId="331D287C" w14:textId="77777777" w:rsidR="00444F40" w:rsidRDefault="00444F40" w:rsidP="00B3687F">
            <w:pPr>
              <w:spacing w:line="331" w:lineRule="auto"/>
              <w:ind w:right="1040"/>
              <w:rPr>
                <w:rFonts w:ascii="Arial" w:eastAsia="Arial" w:hAnsi="Arial"/>
                <w:sz w:val="24"/>
              </w:rPr>
            </w:pPr>
            <w:r>
              <w:rPr>
                <w:rFonts w:ascii="Arial" w:eastAsia="Arial" w:hAnsi="Arial"/>
                <w:sz w:val="24"/>
              </w:rPr>
              <w:t>2</w:t>
            </w:r>
          </w:p>
        </w:tc>
        <w:tc>
          <w:tcPr>
            <w:tcW w:w="6866" w:type="dxa"/>
          </w:tcPr>
          <w:p w14:paraId="00A6E2CF" w14:textId="77777777" w:rsidR="00444F40" w:rsidRPr="00046B4C" w:rsidRDefault="00444F40" w:rsidP="00B3687F">
            <w:pPr>
              <w:pStyle w:val="NoSpacing"/>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sidRPr="00046B4C">
              <w:rPr>
                <w:rFonts w:ascii="Arial" w:hAnsi="Arial"/>
                <w:sz w:val="22"/>
                <w:szCs w:val="22"/>
              </w:rPr>
              <w:t>Relative likelihood of staff being appointed from shortlisting across all posts</w:t>
            </w:r>
          </w:p>
        </w:tc>
      </w:tr>
      <w:tr w:rsidR="00444F40" w14:paraId="7D30F83D" w14:textId="77777777" w:rsidTr="00B877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4DD82168" w14:textId="77777777" w:rsidR="00444F40" w:rsidRDefault="00444F40" w:rsidP="00B3687F">
            <w:pPr>
              <w:spacing w:line="331" w:lineRule="auto"/>
              <w:ind w:right="1040"/>
              <w:rPr>
                <w:rFonts w:ascii="Arial" w:eastAsia="Arial" w:hAnsi="Arial"/>
                <w:sz w:val="24"/>
              </w:rPr>
            </w:pPr>
            <w:r>
              <w:rPr>
                <w:rFonts w:ascii="Arial" w:eastAsia="Arial" w:hAnsi="Arial"/>
                <w:sz w:val="24"/>
              </w:rPr>
              <w:t>3</w:t>
            </w:r>
          </w:p>
        </w:tc>
        <w:tc>
          <w:tcPr>
            <w:tcW w:w="6866" w:type="dxa"/>
          </w:tcPr>
          <w:p w14:paraId="77867B31" w14:textId="77777777" w:rsidR="00444F40" w:rsidRPr="00046B4C" w:rsidRDefault="00444F40" w:rsidP="00B3687F">
            <w:pPr>
              <w:pStyle w:val="NoSpacing"/>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sidRPr="00046B4C">
              <w:rPr>
                <w:rFonts w:ascii="Arial" w:hAnsi="Arial"/>
                <w:sz w:val="22"/>
                <w:szCs w:val="22"/>
              </w:rPr>
              <w:t>Relative likelihood of BAME staff entering the formal disciplinary process compared to that of White staff</w:t>
            </w:r>
          </w:p>
        </w:tc>
      </w:tr>
      <w:tr w:rsidR="00444F40" w14:paraId="3A442254" w14:textId="77777777" w:rsidTr="00B87799">
        <w:tc>
          <w:tcPr>
            <w:cnfStyle w:val="001000000000" w:firstRow="0" w:lastRow="0" w:firstColumn="1" w:lastColumn="0" w:oddVBand="0" w:evenVBand="0" w:oddHBand="0" w:evenHBand="0" w:firstRowFirstColumn="0" w:firstRowLastColumn="0" w:lastRowFirstColumn="0" w:lastRowLastColumn="0"/>
            <w:tcW w:w="2376" w:type="dxa"/>
          </w:tcPr>
          <w:p w14:paraId="5AB03CA9" w14:textId="77777777" w:rsidR="00444F40" w:rsidRDefault="00444F40" w:rsidP="00B3687F">
            <w:pPr>
              <w:spacing w:line="331" w:lineRule="auto"/>
              <w:ind w:right="1040"/>
              <w:rPr>
                <w:rFonts w:ascii="Arial" w:eastAsia="Arial" w:hAnsi="Arial"/>
                <w:sz w:val="24"/>
              </w:rPr>
            </w:pPr>
            <w:r>
              <w:rPr>
                <w:rFonts w:ascii="Arial" w:eastAsia="Arial" w:hAnsi="Arial"/>
                <w:sz w:val="24"/>
              </w:rPr>
              <w:t>4</w:t>
            </w:r>
          </w:p>
        </w:tc>
        <w:tc>
          <w:tcPr>
            <w:tcW w:w="6866" w:type="dxa"/>
          </w:tcPr>
          <w:p w14:paraId="36140D04" w14:textId="77777777" w:rsidR="00444F40" w:rsidRPr="00046B4C" w:rsidRDefault="00444F40" w:rsidP="00B3687F">
            <w:pPr>
              <w:pStyle w:val="NoSpacing"/>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sidRPr="00046B4C">
              <w:rPr>
                <w:rFonts w:ascii="Arial" w:hAnsi="Arial"/>
                <w:sz w:val="22"/>
                <w:szCs w:val="22"/>
              </w:rPr>
              <w:t>Relative likelihood of staff accessing non-mandatory training and continuous professional development (CPD)</w:t>
            </w:r>
            <w:r w:rsidR="006A5D39">
              <w:rPr>
                <w:rFonts w:ascii="Arial" w:hAnsi="Arial"/>
                <w:sz w:val="22"/>
                <w:szCs w:val="22"/>
              </w:rPr>
              <w:t>.</w:t>
            </w:r>
          </w:p>
        </w:tc>
      </w:tr>
    </w:tbl>
    <w:p w14:paraId="62E5BC1E" w14:textId="77777777" w:rsidR="00444F40" w:rsidRDefault="00444F40" w:rsidP="00444F40">
      <w:pPr>
        <w:spacing w:line="331" w:lineRule="auto"/>
        <w:ind w:right="1040"/>
        <w:rPr>
          <w:rFonts w:ascii="Arial" w:eastAsia="Arial" w:hAnsi="Arial"/>
          <w:sz w:val="24"/>
        </w:rPr>
      </w:pPr>
    </w:p>
    <w:p w14:paraId="226EAF4E" w14:textId="77777777" w:rsidR="00444F40" w:rsidRDefault="00444F40" w:rsidP="00444F40">
      <w:pPr>
        <w:spacing w:line="20" w:lineRule="exact"/>
        <w:rPr>
          <w:rFonts w:ascii="Times New Roman" w:eastAsia="Times New Roman" w:hAnsi="Times New Roman"/>
        </w:rPr>
      </w:pPr>
    </w:p>
    <w:p w14:paraId="0B48061A" w14:textId="77777777" w:rsidR="00444F40" w:rsidRDefault="00724688" w:rsidP="00444F40">
      <w:pPr>
        <w:spacing w:line="175" w:lineRule="exact"/>
        <w:rPr>
          <w:rFonts w:ascii="Times New Roman" w:eastAsia="Times New Roman" w:hAnsi="Times New Roman"/>
        </w:rPr>
      </w:pPr>
      <w:r>
        <w:rPr>
          <w:rFonts w:ascii="Arial" w:eastAsia="Arial" w:hAnsi="Arial"/>
          <w:noProof/>
          <w:sz w:val="22"/>
        </w:rPr>
        <w:drawing>
          <wp:anchor distT="0" distB="0" distL="114300" distR="114300" simplePos="0" relativeHeight="251659264" behindDoc="1" locked="0" layoutInCell="1" allowOverlap="1" wp14:anchorId="51A40774" wp14:editId="1CBEC915">
            <wp:simplePos x="0" y="0"/>
            <wp:positionH relativeFrom="margin">
              <wp:align>left</wp:align>
            </wp:positionH>
            <wp:positionV relativeFrom="paragraph">
              <wp:posOffset>22225</wp:posOffset>
            </wp:positionV>
            <wp:extent cx="750570" cy="750570"/>
            <wp:effectExtent l="0" t="0" r="0" b="0"/>
            <wp:wrapNone/>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BEBA8EAE-BF5A-486C-A8C5-ECC9F3942E4B}">
                          <a14:imgProps xmlns:a14="http://schemas.microsoft.com/office/drawing/2010/main">
                            <a14:imgLayer r:embed="rId15">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pic:spPr>
                </pic:pic>
              </a:graphicData>
            </a:graphic>
            <wp14:sizeRelH relativeFrom="page">
              <wp14:pctWidth>0</wp14:pctWidth>
            </wp14:sizeRelH>
            <wp14:sizeRelV relativeFrom="page">
              <wp14:pctHeight>0</wp14:pctHeight>
            </wp14:sizeRelV>
          </wp:anchor>
        </w:drawing>
      </w:r>
    </w:p>
    <w:p w14:paraId="651EC0DA" w14:textId="77777777" w:rsidR="00444F40" w:rsidRDefault="00444F40" w:rsidP="00444F40">
      <w:pPr>
        <w:spacing w:line="175" w:lineRule="exact"/>
        <w:rPr>
          <w:rFonts w:ascii="Times New Roman" w:eastAsia="Times New Roman" w:hAnsi="Times New Roman"/>
        </w:rPr>
      </w:pPr>
    </w:p>
    <w:p w14:paraId="67D947E1" w14:textId="77777777" w:rsidR="00444F40" w:rsidRDefault="00444F40" w:rsidP="00724688">
      <w:pPr>
        <w:spacing w:line="0" w:lineRule="atLeast"/>
        <w:ind w:left="900" w:firstLine="540"/>
        <w:rPr>
          <w:rFonts w:ascii="Arial" w:eastAsia="Arial" w:hAnsi="Arial"/>
          <w:b/>
          <w:sz w:val="24"/>
        </w:rPr>
      </w:pPr>
      <w:r>
        <w:rPr>
          <w:rFonts w:ascii="Arial" w:eastAsia="Arial" w:hAnsi="Arial"/>
          <w:b/>
          <w:sz w:val="24"/>
        </w:rPr>
        <w:t xml:space="preserve">National NHS Staff Survey indicators </w:t>
      </w:r>
    </w:p>
    <w:p w14:paraId="15A77708" w14:textId="77777777" w:rsidR="00444F40" w:rsidRDefault="00444F40" w:rsidP="00444F40">
      <w:pPr>
        <w:spacing w:line="54" w:lineRule="exact"/>
        <w:rPr>
          <w:rFonts w:ascii="Times New Roman" w:eastAsia="Times New Roman" w:hAnsi="Times New Roman"/>
        </w:rPr>
      </w:pPr>
    </w:p>
    <w:p w14:paraId="548E1DC9" w14:textId="77777777" w:rsidR="00444F40" w:rsidRDefault="00444F40" w:rsidP="00444F40">
      <w:pPr>
        <w:spacing w:line="20" w:lineRule="exact"/>
        <w:rPr>
          <w:rFonts w:ascii="Times New Roman" w:eastAsia="Times New Roman" w:hAnsi="Times New Roman"/>
        </w:rPr>
      </w:pPr>
    </w:p>
    <w:p w14:paraId="6B19847B" w14:textId="77777777" w:rsidR="00444F40" w:rsidRDefault="00444F40" w:rsidP="00444F40">
      <w:pPr>
        <w:spacing w:line="340" w:lineRule="exact"/>
        <w:rPr>
          <w:rFonts w:ascii="Times New Roman" w:eastAsia="Times New Roman" w:hAnsi="Times New Roman"/>
        </w:rPr>
      </w:pPr>
    </w:p>
    <w:p w14:paraId="4CFC4211" w14:textId="77777777" w:rsidR="00444F40" w:rsidRDefault="00444F40" w:rsidP="00444F40">
      <w:pPr>
        <w:spacing w:line="340" w:lineRule="exact"/>
        <w:rPr>
          <w:rFonts w:ascii="Times New Roman" w:eastAsia="Times New Roman" w:hAnsi="Times New Roman"/>
        </w:rPr>
      </w:pPr>
    </w:p>
    <w:tbl>
      <w:tblPr>
        <w:tblStyle w:val="GridTable6Colorful1"/>
        <w:tblpPr w:leftFromText="180" w:rightFromText="180" w:vertAnchor="text" w:horzAnchor="margin" w:tblpY="60"/>
        <w:tblW w:w="0" w:type="auto"/>
        <w:tblLook w:val="04A0" w:firstRow="1" w:lastRow="0" w:firstColumn="1" w:lastColumn="0" w:noHBand="0" w:noVBand="1"/>
      </w:tblPr>
      <w:tblGrid>
        <w:gridCol w:w="2270"/>
        <w:gridCol w:w="6972"/>
      </w:tblGrid>
      <w:tr w:rsidR="00444F40" w14:paraId="732AB31C" w14:textId="77777777" w:rsidTr="00B368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bottom w:val="none" w:sz="0" w:space="0" w:color="auto"/>
            </w:tcBorders>
          </w:tcPr>
          <w:p w14:paraId="047F68DC" w14:textId="77777777" w:rsidR="00444F40" w:rsidRDefault="00444F40" w:rsidP="00B3687F">
            <w:pPr>
              <w:spacing w:line="331" w:lineRule="auto"/>
              <w:ind w:right="1040"/>
              <w:rPr>
                <w:rFonts w:ascii="Arial" w:eastAsia="Arial" w:hAnsi="Arial"/>
                <w:sz w:val="24"/>
              </w:rPr>
            </w:pPr>
            <w:r>
              <w:rPr>
                <w:rFonts w:ascii="Arial" w:eastAsia="Arial" w:hAnsi="Arial"/>
                <w:sz w:val="24"/>
              </w:rPr>
              <w:t>Indicator</w:t>
            </w:r>
          </w:p>
        </w:tc>
        <w:tc>
          <w:tcPr>
            <w:tcW w:w="7740" w:type="dxa"/>
            <w:tcBorders>
              <w:bottom w:val="none" w:sz="0" w:space="0" w:color="auto"/>
            </w:tcBorders>
          </w:tcPr>
          <w:p w14:paraId="26E67BDE" w14:textId="77777777" w:rsidR="00444F40" w:rsidRDefault="00444F40" w:rsidP="00B3687F">
            <w:pPr>
              <w:spacing w:line="331" w:lineRule="auto"/>
              <w:ind w:right="1040"/>
              <w:cnfStyle w:val="100000000000" w:firstRow="1" w:lastRow="0" w:firstColumn="0" w:lastColumn="0" w:oddVBand="0" w:evenVBand="0" w:oddHBand="0" w:evenHBand="0" w:firstRowFirstColumn="0" w:firstRowLastColumn="0" w:lastRowFirstColumn="0" w:lastRowLastColumn="0"/>
              <w:rPr>
                <w:rFonts w:ascii="Arial" w:eastAsia="Arial" w:hAnsi="Arial"/>
                <w:sz w:val="24"/>
              </w:rPr>
            </w:pPr>
            <w:r>
              <w:rPr>
                <w:rFonts w:ascii="Arial" w:eastAsia="Arial" w:hAnsi="Arial"/>
                <w:sz w:val="24"/>
              </w:rPr>
              <w:t>Descriptor</w:t>
            </w:r>
          </w:p>
        </w:tc>
      </w:tr>
      <w:tr w:rsidR="00444F40" w14:paraId="37AB5F69" w14:textId="77777777" w:rsidTr="00B36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4826339B" w14:textId="77777777" w:rsidR="00444F40" w:rsidRDefault="00444F40" w:rsidP="00B3687F">
            <w:pPr>
              <w:spacing w:line="331" w:lineRule="auto"/>
              <w:ind w:right="1040"/>
              <w:rPr>
                <w:rFonts w:ascii="Arial" w:eastAsia="Arial" w:hAnsi="Arial"/>
                <w:sz w:val="24"/>
              </w:rPr>
            </w:pPr>
            <w:r>
              <w:rPr>
                <w:rFonts w:ascii="Arial" w:eastAsia="Arial" w:hAnsi="Arial"/>
                <w:sz w:val="24"/>
              </w:rPr>
              <w:t>5</w:t>
            </w:r>
          </w:p>
        </w:tc>
        <w:tc>
          <w:tcPr>
            <w:tcW w:w="7740" w:type="dxa"/>
          </w:tcPr>
          <w:p w14:paraId="7C9693A7" w14:textId="77777777" w:rsidR="00444F40" w:rsidRPr="00046B4C" w:rsidRDefault="00444F40" w:rsidP="00B3687F">
            <w:pPr>
              <w:pStyle w:val="NoSpacing"/>
              <w:cnfStyle w:val="000000100000" w:firstRow="0" w:lastRow="0" w:firstColumn="0" w:lastColumn="0" w:oddVBand="0" w:evenVBand="0" w:oddHBand="1" w:evenHBand="0" w:firstRowFirstColumn="0" w:firstRowLastColumn="0" w:lastRowFirstColumn="0" w:lastRowLastColumn="0"/>
              <w:rPr>
                <w:rFonts w:ascii="Arial" w:hAnsi="Arial"/>
                <w:sz w:val="22"/>
              </w:rPr>
            </w:pPr>
            <w:r w:rsidRPr="00046B4C">
              <w:rPr>
                <w:rFonts w:ascii="Arial" w:hAnsi="Arial"/>
                <w:sz w:val="22"/>
              </w:rPr>
              <w:t>KF 25. Percentage of staff experiencing harassment, bullying or abuse from patients, relatives or the public in last 12 months</w:t>
            </w:r>
          </w:p>
        </w:tc>
      </w:tr>
      <w:tr w:rsidR="00444F40" w14:paraId="3D2DF59A" w14:textId="77777777" w:rsidTr="00B3687F">
        <w:tc>
          <w:tcPr>
            <w:cnfStyle w:val="001000000000" w:firstRow="0" w:lastRow="0" w:firstColumn="1" w:lastColumn="0" w:oddVBand="0" w:evenVBand="0" w:oddHBand="0" w:evenHBand="0" w:firstRowFirstColumn="0" w:firstRowLastColumn="0" w:lastRowFirstColumn="0" w:lastRowLastColumn="0"/>
            <w:tcW w:w="2270" w:type="dxa"/>
          </w:tcPr>
          <w:p w14:paraId="44780ECB" w14:textId="77777777" w:rsidR="00444F40" w:rsidRDefault="00444F40" w:rsidP="00B3687F">
            <w:pPr>
              <w:spacing w:line="331" w:lineRule="auto"/>
              <w:ind w:right="1040"/>
              <w:rPr>
                <w:rFonts w:ascii="Arial" w:eastAsia="Arial" w:hAnsi="Arial"/>
                <w:sz w:val="24"/>
              </w:rPr>
            </w:pPr>
            <w:r>
              <w:rPr>
                <w:rFonts w:ascii="Arial" w:eastAsia="Arial" w:hAnsi="Arial"/>
                <w:sz w:val="24"/>
              </w:rPr>
              <w:t>6</w:t>
            </w:r>
          </w:p>
        </w:tc>
        <w:tc>
          <w:tcPr>
            <w:tcW w:w="7740" w:type="dxa"/>
          </w:tcPr>
          <w:p w14:paraId="4CDC5ECE" w14:textId="77777777" w:rsidR="00444F40" w:rsidRPr="00046B4C" w:rsidRDefault="00444F40" w:rsidP="00B3687F">
            <w:pPr>
              <w:pStyle w:val="NoSpacing"/>
              <w:cnfStyle w:val="000000000000" w:firstRow="0" w:lastRow="0" w:firstColumn="0" w:lastColumn="0" w:oddVBand="0" w:evenVBand="0" w:oddHBand="0" w:evenHBand="0" w:firstRowFirstColumn="0" w:firstRowLastColumn="0" w:lastRowFirstColumn="0" w:lastRowLastColumn="0"/>
              <w:rPr>
                <w:rFonts w:ascii="Arial" w:hAnsi="Arial"/>
                <w:sz w:val="22"/>
              </w:rPr>
            </w:pPr>
            <w:r w:rsidRPr="00046B4C">
              <w:rPr>
                <w:rFonts w:ascii="Arial" w:hAnsi="Arial"/>
                <w:sz w:val="22"/>
              </w:rPr>
              <w:t>KF 26. Percentage of staff experiencing harassment, bullying or abuse from staff in last 12 months</w:t>
            </w:r>
          </w:p>
        </w:tc>
      </w:tr>
      <w:tr w:rsidR="00444F40" w14:paraId="73D89B06" w14:textId="77777777" w:rsidTr="00B36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2733FCF3" w14:textId="77777777" w:rsidR="00444F40" w:rsidRDefault="00444F40" w:rsidP="00B3687F">
            <w:pPr>
              <w:spacing w:line="331" w:lineRule="auto"/>
              <w:ind w:right="1040"/>
              <w:rPr>
                <w:rFonts w:ascii="Arial" w:eastAsia="Arial" w:hAnsi="Arial"/>
                <w:sz w:val="24"/>
              </w:rPr>
            </w:pPr>
            <w:r>
              <w:rPr>
                <w:rFonts w:ascii="Arial" w:eastAsia="Arial" w:hAnsi="Arial"/>
                <w:sz w:val="24"/>
              </w:rPr>
              <w:t>7</w:t>
            </w:r>
          </w:p>
        </w:tc>
        <w:tc>
          <w:tcPr>
            <w:tcW w:w="7740" w:type="dxa"/>
          </w:tcPr>
          <w:p w14:paraId="107BAE41" w14:textId="77777777" w:rsidR="00444F40" w:rsidRPr="00046B4C" w:rsidRDefault="00444F40" w:rsidP="00B3687F">
            <w:pPr>
              <w:pStyle w:val="NoSpacing"/>
              <w:cnfStyle w:val="000000100000" w:firstRow="0" w:lastRow="0" w:firstColumn="0" w:lastColumn="0" w:oddVBand="0" w:evenVBand="0" w:oddHBand="1" w:evenHBand="0" w:firstRowFirstColumn="0" w:firstRowLastColumn="0" w:lastRowFirstColumn="0" w:lastRowLastColumn="0"/>
              <w:rPr>
                <w:rFonts w:ascii="Arial" w:eastAsia="Arial" w:hAnsi="Arial"/>
                <w:sz w:val="22"/>
              </w:rPr>
            </w:pPr>
            <w:r w:rsidRPr="00046B4C">
              <w:rPr>
                <w:rFonts w:ascii="Arial" w:eastAsia="Arial" w:hAnsi="Arial"/>
                <w:sz w:val="22"/>
              </w:rPr>
              <w:t>KF 21. Percentage believing that the trust (or organisation) provides equal opportunities for career progression or promotion</w:t>
            </w:r>
          </w:p>
        </w:tc>
      </w:tr>
      <w:tr w:rsidR="00444F40" w14:paraId="14EBE647" w14:textId="77777777" w:rsidTr="00B3687F">
        <w:tc>
          <w:tcPr>
            <w:cnfStyle w:val="001000000000" w:firstRow="0" w:lastRow="0" w:firstColumn="1" w:lastColumn="0" w:oddVBand="0" w:evenVBand="0" w:oddHBand="0" w:evenHBand="0" w:firstRowFirstColumn="0" w:firstRowLastColumn="0" w:lastRowFirstColumn="0" w:lastRowLastColumn="0"/>
            <w:tcW w:w="2270" w:type="dxa"/>
          </w:tcPr>
          <w:p w14:paraId="57C023D9" w14:textId="77777777" w:rsidR="00444F40" w:rsidRDefault="00444F40" w:rsidP="00B3687F">
            <w:pPr>
              <w:spacing w:line="331" w:lineRule="auto"/>
              <w:ind w:right="1040"/>
              <w:rPr>
                <w:rFonts w:ascii="Arial" w:eastAsia="Arial" w:hAnsi="Arial"/>
                <w:sz w:val="24"/>
              </w:rPr>
            </w:pPr>
            <w:r>
              <w:rPr>
                <w:rFonts w:ascii="Arial" w:eastAsia="Arial" w:hAnsi="Arial"/>
                <w:sz w:val="24"/>
              </w:rPr>
              <w:t>8</w:t>
            </w:r>
          </w:p>
        </w:tc>
        <w:tc>
          <w:tcPr>
            <w:tcW w:w="7740" w:type="dxa"/>
          </w:tcPr>
          <w:p w14:paraId="012C209D" w14:textId="77777777" w:rsidR="00444F40" w:rsidRPr="00046B4C" w:rsidRDefault="00444F40" w:rsidP="00B3687F">
            <w:pPr>
              <w:pStyle w:val="NoSpacing"/>
              <w:cnfStyle w:val="000000000000" w:firstRow="0" w:lastRow="0" w:firstColumn="0" w:lastColumn="0" w:oddVBand="0" w:evenVBand="0" w:oddHBand="0" w:evenHBand="0" w:firstRowFirstColumn="0" w:firstRowLastColumn="0" w:lastRowFirstColumn="0" w:lastRowLastColumn="0"/>
              <w:rPr>
                <w:rFonts w:ascii="Arial" w:eastAsia="Arial" w:hAnsi="Arial"/>
                <w:sz w:val="22"/>
              </w:rPr>
            </w:pPr>
            <w:r w:rsidRPr="00046B4C">
              <w:rPr>
                <w:rFonts w:ascii="Arial" w:eastAsia="Arial" w:hAnsi="Arial"/>
                <w:sz w:val="22"/>
              </w:rPr>
              <w:t>Q17. In the last 12 months have you personally experienced discrimination at work from any of the following? Manager/team leader or other colleagues</w:t>
            </w:r>
          </w:p>
        </w:tc>
      </w:tr>
    </w:tbl>
    <w:p w14:paraId="38EDF0F6" w14:textId="77777777" w:rsidR="00444F40" w:rsidRDefault="00444F40" w:rsidP="00444F40">
      <w:pPr>
        <w:spacing w:line="200" w:lineRule="exact"/>
        <w:rPr>
          <w:rFonts w:ascii="Times New Roman" w:eastAsia="Times New Roman" w:hAnsi="Times New Roman"/>
        </w:rPr>
      </w:pPr>
    </w:p>
    <w:p w14:paraId="1B41D111" w14:textId="77777777" w:rsidR="00444F40" w:rsidRDefault="00444F40" w:rsidP="00444F40">
      <w:pPr>
        <w:spacing w:line="294" w:lineRule="exact"/>
        <w:rPr>
          <w:rFonts w:ascii="Times New Roman" w:eastAsia="Times New Roman" w:hAnsi="Times New Roman"/>
        </w:rPr>
      </w:pPr>
    </w:p>
    <w:p w14:paraId="46FE441B" w14:textId="77777777" w:rsidR="00444F40" w:rsidRDefault="00724688" w:rsidP="00444F40">
      <w:pPr>
        <w:spacing w:line="294" w:lineRule="exact"/>
        <w:rPr>
          <w:rFonts w:ascii="Times New Roman" w:eastAsia="Times New Roman" w:hAnsi="Times New Roman"/>
        </w:rPr>
      </w:pPr>
      <w:r>
        <w:rPr>
          <w:rFonts w:ascii="Arial" w:eastAsia="Arial" w:hAnsi="Arial"/>
          <w:noProof/>
          <w:sz w:val="22"/>
        </w:rPr>
        <w:drawing>
          <wp:anchor distT="0" distB="0" distL="114300" distR="114300" simplePos="0" relativeHeight="251660288" behindDoc="1" locked="0" layoutInCell="1" allowOverlap="1" wp14:anchorId="5E34D93C" wp14:editId="2C7EABE3">
            <wp:simplePos x="0" y="0"/>
            <wp:positionH relativeFrom="margin">
              <wp:align>left</wp:align>
            </wp:positionH>
            <wp:positionV relativeFrom="paragraph">
              <wp:posOffset>13335</wp:posOffset>
            </wp:positionV>
            <wp:extent cx="750570" cy="750570"/>
            <wp:effectExtent l="0" t="0" r="0" b="0"/>
            <wp:wrapNone/>
            <wp:docPr id="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pic:spPr>
                </pic:pic>
              </a:graphicData>
            </a:graphic>
            <wp14:sizeRelH relativeFrom="page">
              <wp14:pctWidth>0</wp14:pctWidth>
            </wp14:sizeRelH>
            <wp14:sizeRelV relativeFrom="page">
              <wp14:pctHeight>0</wp14:pctHeight>
            </wp14:sizeRelV>
          </wp:anchor>
        </w:drawing>
      </w:r>
      <w:r w:rsidR="00444F40">
        <w:rPr>
          <w:rFonts w:ascii="Times New Roman" w:eastAsia="Times New Roman" w:hAnsi="Times New Roman"/>
        </w:rPr>
        <w:tab/>
      </w:r>
    </w:p>
    <w:p w14:paraId="23878BDD" w14:textId="77777777" w:rsidR="00444F40" w:rsidRDefault="00444F40" w:rsidP="00444F40">
      <w:pPr>
        <w:spacing w:line="0" w:lineRule="atLeast"/>
        <w:rPr>
          <w:rFonts w:ascii="Arial" w:eastAsia="Arial" w:hAnsi="Arial"/>
          <w:b/>
          <w:sz w:val="24"/>
        </w:rPr>
      </w:pPr>
      <w:r>
        <w:rPr>
          <w:rFonts w:ascii="Arial" w:eastAsia="Arial" w:hAnsi="Arial"/>
          <w:b/>
          <w:sz w:val="24"/>
        </w:rPr>
        <w:t xml:space="preserve">            </w:t>
      </w:r>
      <w:r w:rsidR="00724688">
        <w:rPr>
          <w:rFonts w:ascii="Arial" w:eastAsia="Arial" w:hAnsi="Arial"/>
          <w:b/>
          <w:sz w:val="24"/>
        </w:rPr>
        <w:tab/>
      </w:r>
      <w:r>
        <w:rPr>
          <w:rFonts w:ascii="Arial" w:eastAsia="Arial" w:hAnsi="Arial"/>
          <w:b/>
          <w:sz w:val="24"/>
        </w:rPr>
        <w:t>Board representation indicator</w:t>
      </w:r>
    </w:p>
    <w:p w14:paraId="220D5EC6" w14:textId="77777777" w:rsidR="00444F40" w:rsidRDefault="00444F40" w:rsidP="00444F40">
      <w:pPr>
        <w:spacing w:line="294" w:lineRule="exact"/>
        <w:rPr>
          <w:rFonts w:ascii="Times New Roman" w:eastAsia="Times New Roman" w:hAnsi="Times New Roman"/>
        </w:rPr>
      </w:pPr>
    </w:p>
    <w:p w14:paraId="75F9A253" w14:textId="77777777" w:rsidR="00444F40" w:rsidRDefault="00444F40" w:rsidP="00444F40">
      <w:pPr>
        <w:spacing w:line="294" w:lineRule="exact"/>
        <w:rPr>
          <w:rFonts w:ascii="Times New Roman" w:eastAsia="Times New Roman" w:hAnsi="Times New Roman"/>
        </w:rPr>
      </w:pPr>
    </w:p>
    <w:p w14:paraId="04D5468A" w14:textId="77777777" w:rsidR="00444F40" w:rsidRDefault="00444F40" w:rsidP="00444F40">
      <w:pPr>
        <w:spacing w:line="294" w:lineRule="exact"/>
        <w:rPr>
          <w:rFonts w:ascii="Times New Roman" w:eastAsia="Times New Roman" w:hAnsi="Times New Roman"/>
        </w:rPr>
      </w:pPr>
    </w:p>
    <w:tbl>
      <w:tblPr>
        <w:tblStyle w:val="GridTable6Colorful1"/>
        <w:tblpPr w:leftFromText="180" w:rightFromText="180" w:vertAnchor="text" w:horzAnchor="margin" w:tblpY="60"/>
        <w:tblW w:w="0" w:type="auto"/>
        <w:tblLook w:val="04A0" w:firstRow="1" w:lastRow="0" w:firstColumn="1" w:lastColumn="0" w:noHBand="0" w:noVBand="1"/>
      </w:tblPr>
      <w:tblGrid>
        <w:gridCol w:w="2270"/>
        <w:gridCol w:w="6972"/>
      </w:tblGrid>
      <w:tr w:rsidR="00444F40" w14:paraId="753BCD09" w14:textId="77777777" w:rsidTr="00B368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bottom w:val="none" w:sz="0" w:space="0" w:color="auto"/>
            </w:tcBorders>
          </w:tcPr>
          <w:p w14:paraId="04FFBD54" w14:textId="77777777" w:rsidR="00444F40" w:rsidRDefault="00444F40" w:rsidP="00B3687F">
            <w:pPr>
              <w:spacing w:line="331" w:lineRule="auto"/>
              <w:ind w:right="1040"/>
              <w:rPr>
                <w:rFonts w:ascii="Arial" w:eastAsia="Arial" w:hAnsi="Arial"/>
                <w:sz w:val="24"/>
              </w:rPr>
            </w:pPr>
            <w:r>
              <w:rPr>
                <w:rFonts w:ascii="Arial" w:eastAsia="Arial" w:hAnsi="Arial"/>
                <w:sz w:val="24"/>
              </w:rPr>
              <w:t>Indicator</w:t>
            </w:r>
          </w:p>
        </w:tc>
        <w:tc>
          <w:tcPr>
            <w:tcW w:w="7740" w:type="dxa"/>
            <w:tcBorders>
              <w:bottom w:val="none" w:sz="0" w:space="0" w:color="auto"/>
            </w:tcBorders>
          </w:tcPr>
          <w:p w14:paraId="620F04E6" w14:textId="77777777" w:rsidR="00444F40" w:rsidRDefault="00444F40" w:rsidP="00B3687F">
            <w:pPr>
              <w:spacing w:line="331" w:lineRule="auto"/>
              <w:ind w:right="1040"/>
              <w:cnfStyle w:val="100000000000" w:firstRow="1" w:lastRow="0" w:firstColumn="0" w:lastColumn="0" w:oddVBand="0" w:evenVBand="0" w:oddHBand="0" w:evenHBand="0" w:firstRowFirstColumn="0" w:firstRowLastColumn="0" w:lastRowFirstColumn="0" w:lastRowLastColumn="0"/>
              <w:rPr>
                <w:rFonts w:ascii="Arial" w:eastAsia="Arial" w:hAnsi="Arial"/>
                <w:sz w:val="24"/>
              </w:rPr>
            </w:pPr>
            <w:r>
              <w:rPr>
                <w:rFonts w:ascii="Arial" w:eastAsia="Arial" w:hAnsi="Arial"/>
                <w:sz w:val="24"/>
              </w:rPr>
              <w:t>Descriptor</w:t>
            </w:r>
          </w:p>
        </w:tc>
      </w:tr>
      <w:tr w:rsidR="00444F40" w14:paraId="730C87F6" w14:textId="77777777" w:rsidTr="00B36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1235B82D" w14:textId="77777777" w:rsidR="00444F40" w:rsidRDefault="00444F40" w:rsidP="00B3687F">
            <w:pPr>
              <w:spacing w:line="331" w:lineRule="auto"/>
              <w:ind w:right="1040"/>
              <w:rPr>
                <w:rFonts w:ascii="Arial" w:eastAsia="Arial" w:hAnsi="Arial"/>
                <w:sz w:val="24"/>
              </w:rPr>
            </w:pPr>
            <w:r>
              <w:rPr>
                <w:rFonts w:ascii="Arial" w:eastAsia="Arial" w:hAnsi="Arial"/>
                <w:sz w:val="24"/>
              </w:rPr>
              <w:t>9</w:t>
            </w:r>
          </w:p>
        </w:tc>
        <w:tc>
          <w:tcPr>
            <w:tcW w:w="7740" w:type="dxa"/>
          </w:tcPr>
          <w:p w14:paraId="31E74B06" w14:textId="77777777" w:rsidR="00444F40" w:rsidRPr="00046B4C" w:rsidRDefault="00444F40" w:rsidP="00B3687F">
            <w:pPr>
              <w:pStyle w:val="NoSpacing"/>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sidRPr="00046B4C">
              <w:rPr>
                <w:rFonts w:ascii="Arial" w:hAnsi="Arial"/>
                <w:sz w:val="22"/>
                <w:szCs w:val="22"/>
              </w:rPr>
              <w:t>Percentage difference between the organisation's Board voting membership and its overall workforce disaggregated:</w:t>
            </w:r>
          </w:p>
          <w:p w14:paraId="1135F342" w14:textId="77777777" w:rsidR="00444F40" w:rsidRPr="00046B4C" w:rsidRDefault="00444F40" w:rsidP="00444F40">
            <w:pPr>
              <w:pStyle w:val="NoSpacing"/>
              <w:numPr>
                <w:ilvl w:val="0"/>
                <w:numId w:val="2"/>
              </w:numP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sidRPr="00046B4C">
              <w:rPr>
                <w:rFonts w:ascii="Arial" w:hAnsi="Arial"/>
                <w:sz w:val="22"/>
                <w:szCs w:val="22"/>
              </w:rPr>
              <w:t>By voting membership of the Board</w:t>
            </w:r>
          </w:p>
          <w:p w14:paraId="5DC1E8CA" w14:textId="77777777" w:rsidR="00444F40" w:rsidRPr="00046B4C" w:rsidRDefault="00444F40" w:rsidP="00444F40">
            <w:pPr>
              <w:pStyle w:val="NoSpacing"/>
              <w:numPr>
                <w:ilvl w:val="0"/>
                <w:numId w:val="2"/>
              </w:numPr>
              <w:cnfStyle w:val="000000100000" w:firstRow="0" w:lastRow="0" w:firstColumn="0" w:lastColumn="0" w:oddVBand="0" w:evenVBand="0" w:oddHBand="1" w:evenHBand="0" w:firstRowFirstColumn="0" w:firstRowLastColumn="0" w:lastRowFirstColumn="0" w:lastRowLastColumn="0"/>
            </w:pPr>
            <w:r w:rsidRPr="00046B4C">
              <w:rPr>
                <w:rFonts w:ascii="Arial" w:hAnsi="Arial"/>
                <w:sz w:val="22"/>
                <w:szCs w:val="22"/>
              </w:rPr>
              <w:t>By executive membership of the Board</w:t>
            </w:r>
          </w:p>
        </w:tc>
      </w:tr>
    </w:tbl>
    <w:p w14:paraId="42C8EEDD" w14:textId="77777777" w:rsidR="00B3687F" w:rsidRDefault="00B3687F" w:rsidP="00444F40">
      <w:pPr>
        <w:spacing w:line="301" w:lineRule="exact"/>
        <w:rPr>
          <w:rFonts w:ascii="Arial" w:eastAsia="Times New Roman" w:hAnsi="Arial"/>
          <w:b/>
          <w:sz w:val="28"/>
        </w:rPr>
      </w:pPr>
    </w:p>
    <w:p w14:paraId="31806FEC" w14:textId="77777777" w:rsidR="00444F40" w:rsidRPr="00444F40" w:rsidRDefault="00444F40" w:rsidP="00444F40">
      <w:pPr>
        <w:spacing w:line="301" w:lineRule="exact"/>
        <w:rPr>
          <w:rFonts w:ascii="Arial" w:eastAsia="Times New Roman" w:hAnsi="Arial"/>
          <w:b/>
          <w:sz w:val="28"/>
        </w:rPr>
      </w:pPr>
      <w:r w:rsidRPr="00444F40">
        <w:rPr>
          <w:rFonts w:ascii="Arial" w:eastAsia="Times New Roman" w:hAnsi="Arial"/>
          <w:b/>
          <w:sz w:val="28"/>
        </w:rPr>
        <w:t>Report</w:t>
      </w:r>
      <w:r w:rsidR="00B87799">
        <w:rPr>
          <w:rFonts w:ascii="Arial" w:eastAsia="Times New Roman" w:hAnsi="Arial"/>
          <w:b/>
          <w:sz w:val="28"/>
        </w:rPr>
        <w:t>ing against the WRES Indicators</w:t>
      </w:r>
    </w:p>
    <w:p w14:paraId="27529032" w14:textId="77777777" w:rsidR="00444F40" w:rsidRDefault="00444F40" w:rsidP="00444F40">
      <w:pPr>
        <w:spacing w:line="301" w:lineRule="exact"/>
        <w:rPr>
          <w:rFonts w:ascii="Arial" w:eastAsia="Times New Roman" w:hAnsi="Arial"/>
          <w:sz w:val="24"/>
        </w:rPr>
      </w:pPr>
    </w:p>
    <w:p w14:paraId="25729160" w14:textId="77777777" w:rsidR="00653450" w:rsidRPr="00F4771D" w:rsidRDefault="00444F40" w:rsidP="001D3225">
      <w:pPr>
        <w:spacing w:line="301" w:lineRule="exact"/>
        <w:jc w:val="both"/>
        <w:rPr>
          <w:rFonts w:ascii="Arial" w:eastAsia="Times New Roman" w:hAnsi="Arial"/>
          <w:b/>
          <w:sz w:val="24"/>
        </w:rPr>
      </w:pPr>
      <w:r w:rsidRPr="00F4771D">
        <w:rPr>
          <w:rFonts w:ascii="Arial" w:eastAsia="Times New Roman" w:hAnsi="Arial"/>
          <w:b/>
          <w:sz w:val="24"/>
        </w:rPr>
        <w:t>Indicator 1</w:t>
      </w:r>
    </w:p>
    <w:p w14:paraId="373FE718" w14:textId="77777777" w:rsidR="00444F40" w:rsidRDefault="00444F40" w:rsidP="001D3225">
      <w:pPr>
        <w:spacing w:line="301" w:lineRule="exact"/>
        <w:jc w:val="both"/>
        <w:rPr>
          <w:rFonts w:ascii="Arial" w:eastAsia="Times New Roman" w:hAnsi="Arial"/>
          <w:sz w:val="24"/>
        </w:rPr>
      </w:pPr>
      <w:r w:rsidRPr="00D8776E">
        <w:rPr>
          <w:rFonts w:ascii="Arial" w:eastAsia="Times New Roman" w:hAnsi="Arial"/>
          <w:sz w:val="22"/>
        </w:rPr>
        <w:t xml:space="preserve">Percentage of staff in each of the AfC Bands 1-9 and Very Senior Managers (VSM) (including executive Board members) compared with the percentage of staff in the overall workforce </w:t>
      </w:r>
      <w:r w:rsidRPr="00B87799">
        <w:rPr>
          <w:rFonts w:ascii="Arial" w:eastAsia="Times New Roman" w:hAnsi="Arial"/>
        </w:rPr>
        <w:t>Note: organisations should undertake this calculation separately for non-clinical and for clinical staff</w:t>
      </w:r>
    </w:p>
    <w:p w14:paraId="299147AE" w14:textId="77777777" w:rsidR="00444F40" w:rsidRDefault="00444F40" w:rsidP="00444F40">
      <w:pPr>
        <w:spacing w:line="301" w:lineRule="exact"/>
        <w:rPr>
          <w:rFonts w:ascii="Arial" w:eastAsia="Times New Roman" w:hAnsi="Arial"/>
          <w:sz w:val="24"/>
        </w:rPr>
      </w:pPr>
    </w:p>
    <w:p w14:paraId="4577AE62" w14:textId="77777777" w:rsidR="00B54DF1" w:rsidRPr="00B54DF1" w:rsidRDefault="00B54DF1" w:rsidP="00444F40">
      <w:pPr>
        <w:spacing w:line="301" w:lineRule="exact"/>
        <w:rPr>
          <w:rFonts w:ascii="Arial" w:eastAsia="Times New Roman" w:hAnsi="Arial"/>
          <w:b/>
          <w:sz w:val="24"/>
        </w:rPr>
      </w:pPr>
      <w:r w:rsidRPr="00B54DF1">
        <w:rPr>
          <w:rFonts w:ascii="Arial" w:eastAsia="Times New Roman" w:hAnsi="Arial"/>
          <w:b/>
          <w:sz w:val="24"/>
        </w:rPr>
        <w:t>Non-Clinical</w:t>
      </w:r>
      <w:r w:rsidR="00B87799">
        <w:rPr>
          <w:rFonts w:ascii="Arial" w:eastAsia="Times New Roman" w:hAnsi="Arial"/>
          <w:b/>
          <w:sz w:val="24"/>
        </w:rPr>
        <w:t xml:space="preserve"> workforce</w:t>
      </w:r>
    </w:p>
    <w:p w14:paraId="1B69CD15" w14:textId="77777777" w:rsidR="00B87799" w:rsidRPr="00D8776E" w:rsidRDefault="00B87799" w:rsidP="00B87799">
      <w:pPr>
        <w:spacing w:line="301" w:lineRule="exact"/>
        <w:jc w:val="both"/>
        <w:rPr>
          <w:rFonts w:ascii="Arial" w:eastAsia="Times New Roman" w:hAnsi="Arial"/>
          <w:sz w:val="22"/>
        </w:rPr>
      </w:pPr>
      <w:r w:rsidRPr="00D8776E">
        <w:rPr>
          <w:rFonts w:ascii="Arial" w:eastAsia="Times New Roman" w:hAnsi="Arial"/>
          <w:sz w:val="22"/>
        </w:rPr>
        <w:t>As of March 2020, within the non-clinical workforce, 88.4% of staff were White, and 9.7% of staff were from Black and Minority Ethnic backgrounds. In March 2021, the proportion of White staff rose slightly to 88.7% and the proportion of BAME staff had fallen to 9.5%.</w:t>
      </w:r>
    </w:p>
    <w:p w14:paraId="44ED4C2F" w14:textId="77777777" w:rsidR="00B54DF1" w:rsidRDefault="00B54DF1" w:rsidP="00444F40">
      <w:pPr>
        <w:spacing w:line="301" w:lineRule="exact"/>
        <w:rPr>
          <w:rFonts w:ascii="Arial" w:eastAsia="Times New Roman" w:hAnsi="Arial"/>
          <w:sz w:val="24"/>
        </w:rPr>
      </w:pPr>
    </w:p>
    <w:tbl>
      <w:tblPr>
        <w:tblStyle w:val="TableGrid"/>
        <w:tblW w:w="0" w:type="auto"/>
        <w:jc w:val="center"/>
        <w:tblLook w:val="04A0" w:firstRow="1" w:lastRow="0" w:firstColumn="1" w:lastColumn="0" w:noHBand="0" w:noVBand="1"/>
      </w:tblPr>
      <w:tblGrid>
        <w:gridCol w:w="1803"/>
        <w:gridCol w:w="1803"/>
        <w:gridCol w:w="1803"/>
        <w:gridCol w:w="1803"/>
      </w:tblGrid>
      <w:tr w:rsidR="003469A8" w14:paraId="02A92E1D" w14:textId="77777777" w:rsidTr="00B87799">
        <w:trPr>
          <w:jc w:val="center"/>
        </w:trPr>
        <w:tc>
          <w:tcPr>
            <w:tcW w:w="3606" w:type="dxa"/>
            <w:gridSpan w:val="2"/>
          </w:tcPr>
          <w:p w14:paraId="5E9091B2" w14:textId="77777777" w:rsidR="003469A8" w:rsidRPr="00FC54C2" w:rsidRDefault="003469A8" w:rsidP="00B54DF1">
            <w:pPr>
              <w:spacing w:line="301" w:lineRule="exact"/>
              <w:rPr>
                <w:rFonts w:ascii="Arial" w:eastAsia="Times New Roman" w:hAnsi="Arial"/>
                <w:b/>
                <w:sz w:val="24"/>
              </w:rPr>
            </w:pPr>
            <w:r w:rsidRPr="00FC54C2">
              <w:rPr>
                <w:rFonts w:ascii="Arial" w:eastAsia="Times New Roman" w:hAnsi="Arial"/>
                <w:b/>
                <w:sz w:val="24"/>
              </w:rPr>
              <w:t>31</w:t>
            </w:r>
            <w:r w:rsidRPr="00FC54C2">
              <w:rPr>
                <w:rFonts w:ascii="Arial" w:eastAsia="Times New Roman" w:hAnsi="Arial"/>
                <w:b/>
                <w:sz w:val="24"/>
                <w:vertAlign w:val="superscript"/>
              </w:rPr>
              <w:t>st</w:t>
            </w:r>
            <w:r w:rsidRPr="00FC54C2">
              <w:rPr>
                <w:rFonts w:ascii="Arial" w:eastAsia="Times New Roman" w:hAnsi="Arial"/>
                <w:b/>
                <w:sz w:val="24"/>
              </w:rPr>
              <w:t xml:space="preserve"> March 2020</w:t>
            </w:r>
          </w:p>
        </w:tc>
        <w:tc>
          <w:tcPr>
            <w:tcW w:w="3606" w:type="dxa"/>
            <w:gridSpan w:val="2"/>
          </w:tcPr>
          <w:p w14:paraId="6B3245B5" w14:textId="77777777" w:rsidR="003469A8" w:rsidRPr="00FC54C2" w:rsidRDefault="003469A8" w:rsidP="00444F40">
            <w:pPr>
              <w:spacing w:line="301" w:lineRule="exact"/>
              <w:rPr>
                <w:rFonts w:ascii="Arial" w:eastAsia="Times New Roman" w:hAnsi="Arial"/>
                <w:b/>
                <w:sz w:val="24"/>
              </w:rPr>
            </w:pPr>
            <w:r w:rsidRPr="00FC54C2">
              <w:rPr>
                <w:rFonts w:ascii="Arial" w:eastAsia="Times New Roman" w:hAnsi="Arial"/>
                <w:b/>
                <w:sz w:val="24"/>
              </w:rPr>
              <w:t>31</w:t>
            </w:r>
            <w:r w:rsidRPr="00FC54C2">
              <w:rPr>
                <w:rFonts w:ascii="Arial" w:eastAsia="Times New Roman" w:hAnsi="Arial"/>
                <w:b/>
                <w:sz w:val="24"/>
                <w:vertAlign w:val="superscript"/>
              </w:rPr>
              <w:t>st</w:t>
            </w:r>
            <w:r w:rsidRPr="00FC54C2">
              <w:rPr>
                <w:rFonts w:ascii="Arial" w:eastAsia="Times New Roman" w:hAnsi="Arial"/>
                <w:b/>
                <w:sz w:val="24"/>
              </w:rPr>
              <w:t xml:space="preserve"> March 2021</w:t>
            </w:r>
          </w:p>
        </w:tc>
      </w:tr>
      <w:tr w:rsidR="003469A8" w14:paraId="155C192F" w14:textId="77777777" w:rsidTr="00B87799">
        <w:trPr>
          <w:jc w:val="center"/>
        </w:trPr>
        <w:tc>
          <w:tcPr>
            <w:tcW w:w="1803" w:type="dxa"/>
          </w:tcPr>
          <w:p w14:paraId="2F5ABDAB" w14:textId="77777777" w:rsidR="003469A8" w:rsidRDefault="003469A8" w:rsidP="00B54DF1">
            <w:pPr>
              <w:spacing w:line="301" w:lineRule="exact"/>
              <w:rPr>
                <w:rFonts w:ascii="Arial" w:eastAsia="Times New Roman" w:hAnsi="Arial"/>
                <w:sz w:val="24"/>
              </w:rPr>
            </w:pPr>
            <w:r>
              <w:rPr>
                <w:rFonts w:ascii="Arial" w:eastAsia="Times New Roman" w:hAnsi="Arial"/>
                <w:sz w:val="24"/>
              </w:rPr>
              <w:t>White</w:t>
            </w:r>
          </w:p>
        </w:tc>
        <w:tc>
          <w:tcPr>
            <w:tcW w:w="1803" w:type="dxa"/>
          </w:tcPr>
          <w:p w14:paraId="472B0644" w14:textId="77777777" w:rsidR="003469A8" w:rsidRDefault="005D73CF" w:rsidP="00D932DE">
            <w:pPr>
              <w:spacing w:line="301" w:lineRule="exact"/>
              <w:jc w:val="both"/>
              <w:rPr>
                <w:rFonts w:ascii="Arial" w:eastAsia="Times New Roman" w:hAnsi="Arial"/>
                <w:sz w:val="24"/>
              </w:rPr>
            </w:pPr>
            <w:r>
              <w:rPr>
                <w:rFonts w:ascii="Arial" w:eastAsia="Times New Roman" w:hAnsi="Arial"/>
                <w:sz w:val="24"/>
              </w:rPr>
              <w:t>1364</w:t>
            </w:r>
          </w:p>
        </w:tc>
        <w:tc>
          <w:tcPr>
            <w:tcW w:w="1803" w:type="dxa"/>
          </w:tcPr>
          <w:p w14:paraId="589C3193" w14:textId="77777777" w:rsidR="003469A8" w:rsidRDefault="003469A8" w:rsidP="00B54DF1">
            <w:pPr>
              <w:spacing w:line="301" w:lineRule="exact"/>
              <w:rPr>
                <w:rFonts w:ascii="Arial" w:eastAsia="Times New Roman" w:hAnsi="Arial"/>
                <w:sz w:val="24"/>
              </w:rPr>
            </w:pPr>
            <w:r>
              <w:rPr>
                <w:rFonts w:ascii="Arial" w:eastAsia="Times New Roman" w:hAnsi="Arial"/>
                <w:sz w:val="24"/>
              </w:rPr>
              <w:t>White</w:t>
            </w:r>
          </w:p>
        </w:tc>
        <w:tc>
          <w:tcPr>
            <w:tcW w:w="1803" w:type="dxa"/>
          </w:tcPr>
          <w:p w14:paraId="7B26AA31" w14:textId="77777777" w:rsidR="003469A8" w:rsidRDefault="00C21F3A" w:rsidP="00B54DF1">
            <w:pPr>
              <w:spacing w:line="301" w:lineRule="exact"/>
              <w:rPr>
                <w:rFonts w:ascii="Arial" w:eastAsia="Times New Roman" w:hAnsi="Arial"/>
                <w:sz w:val="24"/>
              </w:rPr>
            </w:pPr>
            <w:r>
              <w:rPr>
                <w:rFonts w:ascii="Arial" w:eastAsia="Times New Roman" w:hAnsi="Arial"/>
                <w:sz w:val="24"/>
              </w:rPr>
              <w:t>1388</w:t>
            </w:r>
          </w:p>
        </w:tc>
      </w:tr>
      <w:tr w:rsidR="003469A8" w14:paraId="1801E3F6" w14:textId="77777777" w:rsidTr="00B87799">
        <w:trPr>
          <w:jc w:val="center"/>
        </w:trPr>
        <w:tc>
          <w:tcPr>
            <w:tcW w:w="1803" w:type="dxa"/>
          </w:tcPr>
          <w:p w14:paraId="093ECB76" w14:textId="77777777" w:rsidR="003469A8" w:rsidRDefault="003469A8" w:rsidP="00B54DF1">
            <w:pPr>
              <w:spacing w:line="301" w:lineRule="exact"/>
              <w:rPr>
                <w:rFonts w:ascii="Arial" w:eastAsia="Times New Roman" w:hAnsi="Arial"/>
                <w:sz w:val="24"/>
              </w:rPr>
            </w:pPr>
            <w:r>
              <w:rPr>
                <w:rFonts w:ascii="Arial" w:eastAsia="Times New Roman" w:hAnsi="Arial"/>
                <w:sz w:val="24"/>
              </w:rPr>
              <w:t>BAME</w:t>
            </w:r>
          </w:p>
        </w:tc>
        <w:tc>
          <w:tcPr>
            <w:tcW w:w="1803" w:type="dxa"/>
          </w:tcPr>
          <w:p w14:paraId="491027DD" w14:textId="77777777" w:rsidR="003469A8" w:rsidRDefault="005D73CF" w:rsidP="00D932DE">
            <w:pPr>
              <w:spacing w:line="301" w:lineRule="exact"/>
              <w:jc w:val="both"/>
              <w:rPr>
                <w:rFonts w:ascii="Arial" w:eastAsia="Times New Roman" w:hAnsi="Arial"/>
                <w:sz w:val="24"/>
              </w:rPr>
            </w:pPr>
            <w:r>
              <w:rPr>
                <w:rFonts w:ascii="Arial" w:eastAsia="Times New Roman" w:hAnsi="Arial"/>
                <w:sz w:val="24"/>
              </w:rPr>
              <w:t>150</w:t>
            </w:r>
          </w:p>
        </w:tc>
        <w:tc>
          <w:tcPr>
            <w:tcW w:w="1803" w:type="dxa"/>
          </w:tcPr>
          <w:p w14:paraId="0BD61365" w14:textId="77777777" w:rsidR="003469A8" w:rsidRDefault="003469A8" w:rsidP="00B54DF1">
            <w:pPr>
              <w:spacing w:line="301" w:lineRule="exact"/>
              <w:rPr>
                <w:rFonts w:ascii="Arial" w:eastAsia="Times New Roman" w:hAnsi="Arial"/>
                <w:sz w:val="24"/>
              </w:rPr>
            </w:pPr>
            <w:r>
              <w:rPr>
                <w:rFonts w:ascii="Arial" w:eastAsia="Times New Roman" w:hAnsi="Arial"/>
                <w:sz w:val="24"/>
              </w:rPr>
              <w:t>BAME</w:t>
            </w:r>
          </w:p>
        </w:tc>
        <w:tc>
          <w:tcPr>
            <w:tcW w:w="1803" w:type="dxa"/>
          </w:tcPr>
          <w:p w14:paraId="2EB2AF75" w14:textId="77777777" w:rsidR="003469A8" w:rsidRDefault="00C21F3A" w:rsidP="00B54DF1">
            <w:pPr>
              <w:spacing w:line="301" w:lineRule="exact"/>
              <w:rPr>
                <w:rFonts w:ascii="Arial" w:eastAsia="Times New Roman" w:hAnsi="Arial"/>
                <w:sz w:val="24"/>
              </w:rPr>
            </w:pPr>
            <w:r>
              <w:rPr>
                <w:rFonts w:ascii="Arial" w:eastAsia="Times New Roman" w:hAnsi="Arial"/>
                <w:sz w:val="24"/>
              </w:rPr>
              <w:t>149</w:t>
            </w:r>
          </w:p>
        </w:tc>
      </w:tr>
      <w:tr w:rsidR="003469A8" w14:paraId="047C152F" w14:textId="77777777" w:rsidTr="00B87799">
        <w:trPr>
          <w:jc w:val="center"/>
        </w:trPr>
        <w:tc>
          <w:tcPr>
            <w:tcW w:w="1803" w:type="dxa"/>
          </w:tcPr>
          <w:p w14:paraId="1B9320A6" w14:textId="77777777" w:rsidR="003469A8" w:rsidRDefault="003469A8" w:rsidP="00B54DF1">
            <w:pPr>
              <w:spacing w:line="301" w:lineRule="exact"/>
              <w:rPr>
                <w:rFonts w:ascii="Arial" w:eastAsia="Times New Roman" w:hAnsi="Arial"/>
                <w:sz w:val="24"/>
              </w:rPr>
            </w:pPr>
            <w:r>
              <w:rPr>
                <w:rFonts w:ascii="Arial" w:eastAsia="Times New Roman" w:hAnsi="Arial"/>
                <w:sz w:val="24"/>
              </w:rPr>
              <w:t>Unknown</w:t>
            </w:r>
          </w:p>
        </w:tc>
        <w:tc>
          <w:tcPr>
            <w:tcW w:w="1803" w:type="dxa"/>
          </w:tcPr>
          <w:p w14:paraId="76583055" w14:textId="77777777" w:rsidR="003469A8" w:rsidRDefault="005D73CF" w:rsidP="00D932DE">
            <w:pPr>
              <w:spacing w:line="301" w:lineRule="exact"/>
              <w:jc w:val="both"/>
              <w:rPr>
                <w:rFonts w:ascii="Arial" w:eastAsia="Times New Roman" w:hAnsi="Arial"/>
                <w:sz w:val="24"/>
              </w:rPr>
            </w:pPr>
            <w:r>
              <w:rPr>
                <w:rFonts w:ascii="Arial" w:eastAsia="Times New Roman" w:hAnsi="Arial"/>
                <w:sz w:val="24"/>
              </w:rPr>
              <w:t>29</w:t>
            </w:r>
          </w:p>
        </w:tc>
        <w:tc>
          <w:tcPr>
            <w:tcW w:w="1803" w:type="dxa"/>
          </w:tcPr>
          <w:p w14:paraId="30431747" w14:textId="77777777" w:rsidR="003469A8" w:rsidRDefault="003469A8" w:rsidP="00B54DF1">
            <w:pPr>
              <w:spacing w:line="301" w:lineRule="exact"/>
              <w:rPr>
                <w:rFonts w:ascii="Arial" w:eastAsia="Times New Roman" w:hAnsi="Arial"/>
                <w:sz w:val="24"/>
              </w:rPr>
            </w:pPr>
            <w:r>
              <w:rPr>
                <w:rFonts w:ascii="Arial" w:eastAsia="Times New Roman" w:hAnsi="Arial"/>
                <w:sz w:val="24"/>
              </w:rPr>
              <w:t>Unknown</w:t>
            </w:r>
          </w:p>
        </w:tc>
        <w:tc>
          <w:tcPr>
            <w:tcW w:w="1803" w:type="dxa"/>
          </w:tcPr>
          <w:p w14:paraId="18E0D5F0" w14:textId="77777777" w:rsidR="003469A8" w:rsidRDefault="00C21F3A" w:rsidP="00B54DF1">
            <w:pPr>
              <w:spacing w:line="301" w:lineRule="exact"/>
              <w:rPr>
                <w:rFonts w:ascii="Arial" w:eastAsia="Times New Roman" w:hAnsi="Arial"/>
                <w:sz w:val="24"/>
              </w:rPr>
            </w:pPr>
            <w:r>
              <w:rPr>
                <w:rFonts w:ascii="Arial" w:eastAsia="Times New Roman" w:hAnsi="Arial"/>
                <w:sz w:val="24"/>
              </w:rPr>
              <w:t>28</w:t>
            </w:r>
          </w:p>
        </w:tc>
      </w:tr>
      <w:tr w:rsidR="003469A8" w14:paraId="1F0ACA82" w14:textId="77777777" w:rsidTr="00B87799">
        <w:trPr>
          <w:jc w:val="center"/>
        </w:trPr>
        <w:tc>
          <w:tcPr>
            <w:tcW w:w="1803" w:type="dxa"/>
          </w:tcPr>
          <w:p w14:paraId="27455A02" w14:textId="77777777" w:rsidR="003469A8" w:rsidRDefault="003469A8" w:rsidP="00B54DF1">
            <w:pPr>
              <w:spacing w:line="301" w:lineRule="exact"/>
              <w:rPr>
                <w:rFonts w:ascii="Arial" w:eastAsia="Times New Roman" w:hAnsi="Arial"/>
                <w:sz w:val="24"/>
              </w:rPr>
            </w:pPr>
            <w:r>
              <w:rPr>
                <w:rFonts w:ascii="Arial" w:eastAsia="Times New Roman" w:hAnsi="Arial"/>
                <w:sz w:val="24"/>
              </w:rPr>
              <w:t>Total</w:t>
            </w:r>
          </w:p>
        </w:tc>
        <w:tc>
          <w:tcPr>
            <w:tcW w:w="1803" w:type="dxa"/>
          </w:tcPr>
          <w:p w14:paraId="2A9ABF77" w14:textId="77777777" w:rsidR="003469A8" w:rsidRDefault="00C21F3A" w:rsidP="00D932DE">
            <w:pPr>
              <w:spacing w:line="301" w:lineRule="exact"/>
              <w:jc w:val="both"/>
              <w:rPr>
                <w:rFonts w:ascii="Arial" w:eastAsia="Times New Roman" w:hAnsi="Arial"/>
                <w:sz w:val="24"/>
              </w:rPr>
            </w:pPr>
            <w:r>
              <w:rPr>
                <w:rFonts w:ascii="Arial" w:eastAsia="Times New Roman" w:hAnsi="Arial"/>
                <w:sz w:val="24"/>
              </w:rPr>
              <w:t>1543</w:t>
            </w:r>
          </w:p>
        </w:tc>
        <w:tc>
          <w:tcPr>
            <w:tcW w:w="1803" w:type="dxa"/>
          </w:tcPr>
          <w:p w14:paraId="0DB00FAD" w14:textId="77777777" w:rsidR="003469A8" w:rsidRDefault="003469A8" w:rsidP="00B54DF1">
            <w:pPr>
              <w:spacing w:line="301" w:lineRule="exact"/>
              <w:rPr>
                <w:rFonts w:ascii="Arial" w:eastAsia="Times New Roman" w:hAnsi="Arial"/>
                <w:sz w:val="24"/>
              </w:rPr>
            </w:pPr>
            <w:r>
              <w:rPr>
                <w:rFonts w:ascii="Arial" w:eastAsia="Times New Roman" w:hAnsi="Arial"/>
                <w:sz w:val="24"/>
              </w:rPr>
              <w:t>Total</w:t>
            </w:r>
          </w:p>
        </w:tc>
        <w:tc>
          <w:tcPr>
            <w:tcW w:w="1803" w:type="dxa"/>
          </w:tcPr>
          <w:p w14:paraId="3656125A" w14:textId="77777777" w:rsidR="003469A8" w:rsidRDefault="00C21F3A" w:rsidP="00B54DF1">
            <w:pPr>
              <w:spacing w:line="301" w:lineRule="exact"/>
              <w:rPr>
                <w:rFonts w:ascii="Arial" w:eastAsia="Times New Roman" w:hAnsi="Arial"/>
                <w:sz w:val="24"/>
              </w:rPr>
            </w:pPr>
            <w:r>
              <w:rPr>
                <w:rFonts w:ascii="Arial" w:eastAsia="Times New Roman" w:hAnsi="Arial"/>
                <w:sz w:val="24"/>
              </w:rPr>
              <w:t>1565</w:t>
            </w:r>
          </w:p>
        </w:tc>
      </w:tr>
    </w:tbl>
    <w:p w14:paraId="7C079F76" w14:textId="77777777" w:rsidR="002F7308" w:rsidRDefault="002F7308" w:rsidP="00444F40">
      <w:pPr>
        <w:spacing w:line="301" w:lineRule="exact"/>
        <w:rPr>
          <w:rFonts w:ascii="Arial" w:eastAsia="Times New Roman" w:hAnsi="Arial"/>
          <w:sz w:val="24"/>
        </w:rPr>
      </w:pPr>
    </w:p>
    <w:p w14:paraId="4B7D6196" w14:textId="77777777" w:rsidR="00444F40" w:rsidRDefault="00444F40" w:rsidP="00444F40">
      <w:pPr>
        <w:spacing w:line="20" w:lineRule="exact"/>
        <w:rPr>
          <w:rFonts w:ascii="Times New Roman" w:eastAsia="Times New Roman" w:hAnsi="Times New Roman"/>
        </w:rPr>
      </w:pPr>
    </w:p>
    <w:p w14:paraId="24158ABD" w14:textId="77777777" w:rsidR="00B87799" w:rsidRDefault="00B54DF1" w:rsidP="00B87799">
      <w:pPr>
        <w:pStyle w:val="NoSpacing"/>
        <w:rPr>
          <w:rFonts w:ascii="Arial" w:eastAsia="Times New Roman" w:hAnsi="Arial"/>
          <w:b/>
          <w:sz w:val="24"/>
        </w:rPr>
      </w:pPr>
      <w:r w:rsidRPr="00B54DF1">
        <w:rPr>
          <w:rFonts w:ascii="Arial" w:eastAsia="Times New Roman" w:hAnsi="Arial"/>
          <w:b/>
          <w:sz w:val="24"/>
        </w:rPr>
        <w:t>Clinical</w:t>
      </w:r>
      <w:r w:rsidR="00B87799">
        <w:rPr>
          <w:rFonts w:ascii="Arial" w:eastAsia="Times New Roman" w:hAnsi="Arial"/>
          <w:b/>
          <w:sz w:val="24"/>
        </w:rPr>
        <w:t xml:space="preserve"> workforce</w:t>
      </w:r>
    </w:p>
    <w:p w14:paraId="697846EE" w14:textId="77777777" w:rsidR="00B87799" w:rsidRDefault="00B87799" w:rsidP="00B87799">
      <w:pPr>
        <w:pStyle w:val="NoSpacing"/>
        <w:rPr>
          <w:rFonts w:ascii="Arial" w:eastAsia="Times New Roman" w:hAnsi="Arial"/>
          <w:b/>
          <w:sz w:val="24"/>
        </w:rPr>
      </w:pPr>
    </w:p>
    <w:p w14:paraId="4646033C" w14:textId="77777777" w:rsidR="00B87799" w:rsidRPr="00D8776E" w:rsidRDefault="00B87799" w:rsidP="00B87799">
      <w:pPr>
        <w:pStyle w:val="NoSpacing"/>
        <w:rPr>
          <w:rFonts w:ascii="Arial" w:eastAsia="Times New Roman" w:hAnsi="Arial"/>
          <w:sz w:val="22"/>
        </w:rPr>
      </w:pPr>
      <w:r w:rsidRPr="00D8776E">
        <w:rPr>
          <w:rFonts w:ascii="Arial" w:eastAsia="Times New Roman" w:hAnsi="Arial"/>
          <w:sz w:val="22"/>
        </w:rPr>
        <w:t>As of March 2020, within the clinical workforce, 78.0% of staff were White, and 19.3% of staff were from Black &amp; Minority Ethnic backgrounds. In March 2021, the proportion of White staff had fallen slightly to 76.2%, and the proportion of BAME staff had risen to 20.5%.</w:t>
      </w:r>
    </w:p>
    <w:p w14:paraId="06F6E86C" w14:textId="77777777" w:rsidR="00B54DF1" w:rsidRDefault="00B54DF1" w:rsidP="002F7308">
      <w:pPr>
        <w:pStyle w:val="NoSpacing"/>
        <w:rPr>
          <w:rFonts w:ascii="Arial" w:eastAsia="Times New Roman" w:hAnsi="Arial"/>
          <w:b/>
          <w:sz w:val="24"/>
        </w:rPr>
      </w:pPr>
    </w:p>
    <w:tbl>
      <w:tblPr>
        <w:tblStyle w:val="TableGrid"/>
        <w:tblW w:w="0" w:type="auto"/>
        <w:jc w:val="center"/>
        <w:tblLook w:val="04A0" w:firstRow="1" w:lastRow="0" w:firstColumn="1" w:lastColumn="0" w:noHBand="0" w:noVBand="1"/>
      </w:tblPr>
      <w:tblGrid>
        <w:gridCol w:w="1803"/>
        <w:gridCol w:w="1803"/>
        <w:gridCol w:w="1803"/>
        <w:gridCol w:w="1803"/>
      </w:tblGrid>
      <w:tr w:rsidR="003469A8" w14:paraId="260A3BF5" w14:textId="77777777" w:rsidTr="00B87799">
        <w:trPr>
          <w:jc w:val="center"/>
        </w:trPr>
        <w:tc>
          <w:tcPr>
            <w:tcW w:w="3606" w:type="dxa"/>
            <w:gridSpan w:val="2"/>
          </w:tcPr>
          <w:p w14:paraId="493F1F9F" w14:textId="77777777" w:rsidR="003469A8" w:rsidRPr="003469A8" w:rsidRDefault="003469A8" w:rsidP="00B3687F">
            <w:pPr>
              <w:spacing w:line="301" w:lineRule="exact"/>
              <w:rPr>
                <w:rFonts w:ascii="Arial" w:eastAsia="Times New Roman" w:hAnsi="Arial"/>
                <w:b/>
                <w:sz w:val="24"/>
              </w:rPr>
            </w:pPr>
            <w:r w:rsidRPr="003469A8">
              <w:rPr>
                <w:rFonts w:ascii="Arial" w:eastAsia="Times New Roman" w:hAnsi="Arial"/>
                <w:b/>
                <w:sz w:val="24"/>
              </w:rPr>
              <w:t>31</w:t>
            </w:r>
            <w:r w:rsidRPr="003469A8">
              <w:rPr>
                <w:rFonts w:ascii="Arial" w:eastAsia="Times New Roman" w:hAnsi="Arial"/>
                <w:b/>
                <w:sz w:val="24"/>
                <w:vertAlign w:val="superscript"/>
              </w:rPr>
              <w:t>st</w:t>
            </w:r>
            <w:r w:rsidRPr="003469A8">
              <w:rPr>
                <w:rFonts w:ascii="Arial" w:eastAsia="Times New Roman" w:hAnsi="Arial"/>
                <w:b/>
                <w:sz w:val="24"/>
              </w:rPr>
              <w:t xml:space="preserve"> March 2020</w:t>
            </w:r>
          </w:p>
        </w:tc>
        <w:tc>
          <w:tcPr>
            <w:tcW w:w="3606" w:type="dxa"/>
            <w:gridSpan w:val="2"/>
          </w:tcPr>
          <w:p w14:paraId="15ACECEF" w14:textId="77777777" w:rsidR="003469A8" w:rsidRPr="003469A8" w:rsidRDefault="003469A8" w:rsidP="00B3687F">
            <w:pPr>
              <w:spacing w:line="301" w:lineRule="exact"/>
              <w:rPr>
                <w:rFonts w:ascii="Arial" w:eastAsia="Times New Roman" w:hAnsi="Arial"/>
                <w:b/>
                <w:sz w:val="24"/>
              </w:rPr>
            </w:pPr>
            <w:r w:rsidRPr="003469A8">
              <w:rPr>
                <w:rFonts w:ascii="Arial" w:eastAsia="Times New Roman" w:hAnsi="Arial"/>
                <w:b/>
                <w:sz w:val="24"/>
              </w:rPr>
              <w:t>31</w:t>
            </w:r>
            <w:r w:rsidRPr="003469A8">
              <w:rPr>
                <w:rFonts w:ascii="Arial" w:eastAsia="Times New Roman" w:hAnsi="Arial"/>
                <w:b/>
                <w:sz w:val="24"/>
                <w:vertAlign w:val="superscript"/>
              </w:rPr>
              <w:t>st</w:t>
            </w:r>
            <w:r w:rsidRPr="003469A8">
              <w:rPr>
                <w:rFonts w:ascii="Arial" w:eastAsia="Times New Roman" w:hAnsi="Arial"/>
                <w:b/>
                <w:sz w:val="24"/>
              </w:rPr>
              <w:t xml:space="preserve"> March 2021</w:t>
            </w:r>
          </w:p>
        </w:tc>
      </w:tr>
      <w:tr w:rsidR="003469A8" w14:paraId="648349C1" w14:textId="77777777" w:rsidTr="00B87799">
        <w:trPr>
          <w:jc w:val="center"/>
        </w:trPr>
        <w:tc>
          <w:tcPr>
            <w:tcW w:w="1803" w:type="dxa"/>
          </w:tcPr>
          <w:p w14:paraId="71AAE325" w14:textId="77777777" w:rsidR="003469A8" w:rsidRDefault="003469A8" w:rsidP="00B3687F">
            <w:pPr>
              <w:spacing w:line="301" w:lineRule="exact"/>
              <w:rPr>
                <w:rFonts w:ascii="Arial" w:eastAsia="Times New Roman" w:hAnsi="Arial"/>
                <w:sz w:val="24"/>
              </w:rPr>
            </w:pPr>
            <w:r>
              <w:rPr>
                <w:rFonts w:ascii="Arial" w:eastAsia="Times New Roman" w:hAnsi="Arial"/>
                <w:sz w:val="24"/>
              </w:rPr>
              <w:t>White</w:t>
            </w:r>
          </w:p>
        </w:tc>
        <w:tc>
          <w:tcPr>
            <w:tcW w:w="1803" w:type="dxa"/>
          </w:tcPr>
          <w:p w14:paraId="43D8E4AC" w14:textId="77777777" w:rsidR="003469A8" w:rsidRDefault="003A574D" w:rsidP="00B3687F">
            <w:pPr>
              <w:spacing w:line="301" w:lineRule="exact"/>
              <w:rPr>
                <w:rFonts w:ascii="Arial" w:eastAsia="Times New Roman" w:hAnsi="Arial"/>
                <w:sz w:val="24"/>
              </w:rPr>
            </w:pPr>
            <w:r>
              <w:rPr>
                <w:rFonts w:ascii="Arial" w:eastAsia="Times New Roman" w:hAnsi="Arial"/>
                <w:sz w:val="24"/>
              </w:rPr>
              <w:t>3057</w:t>
            </w:r>
          </w:p>
        </w:tc>
        <w:tc>
          <w:tcPr>
            <w:tcW w:w="1803" w:type="dxa"/>
          </w:tcPr>
          <w:p w14:paraId="72C9796A" w14:textId="77777777" w:rsidR="003469A8" w:rsidRDefault="003469A8" w:rsidP="00B3687F">
            <w:pPr>
              <w:spacing w:line="301" w:lineRule="exact"/>
              <w:rPr>
                <w:rFonts w:ascii="Arial" w:eastAsia="Times New Roman" w:hAnsi="Arial"/>
                <w:sz w:val="24"/>
              </w:rPr>
            </w:pPr>
            <w:r>
              <w:rPr>
                <w:rFonts w:ascii="Arial" w:eastAsia="Times New Roman" w:hAnsi="Arial"/>
                <w:sz w:val="24"/>
              </w:rPr>
              <w:t>White</w:t>
            </w:r>
          </w:p>
        </w:tc>
        <w:tc>
          <w:tcPr>
            <w:tcW w:w="1803" w:type="dxa"/>
          </w:tcPr>
          <w:p w14:paraId="3643DD08" w14:textId="77777777" w:rsidR="003469A8" w:rsidRDefault="003A574D" w:rsidP="00B3687F">
            <w:pPr>
              <w:spacing w:line="301" w:lineRule="exact"/>
              <w:rPr>
                <w:rFonts w:ascii="Arial" w:eastAsia="Times New Roman" w:hAnsi="Arial"/>
                <w:sz w:val="24"/>
              </w:rPr>
            </w:pPr>
            <w:r>
              <w:rPr>
                <w:rFonts w:ascii="Arial" w:eastAsia="Times New Roman" w:hAnsi="Arial"/>
                <w:sz w:val="24"/>
              </w:rPr>
              <w:t>3100</w:t>
            </w:r>
          </w:p>
        </w:tc>
      </w:tr>
      <w:tr w:rsidR="003469A8" w14:paraId="64D2C9DF" w14:textId="77777777" w:rsidTr="00B87799">
        <w:trPr>
          <w:jc w:val="center"/>
        </w:trPr>
        <w:tc>
          <w:tcPr>
            <w:tcW w:w="1803" w:type="dxa"/>
          </w:tcPr>
          <w:p w14:paraId="1BB166C1" w14:textId="77777777" w:rsidR="003469A8" w:rsidRDefault="003469A8" w:rsidP="00B3687F">
            <w:pPr>
              <w:spacing w:line="301" w:lineRule="exact"/>
              <w:rPr>
                <w:rFonts w:ascii="Arial" w:eastAsia="Times New Roman" w:hAnsi="Arial"/>
                <w:sz w:val="24"/>
              </w:rPr>
            </w:pPr>
            <w:r>
              <w:rPr>
                <w:rFonts w:ascii="Arial" w:eastAsia="Times New Roman" w:hAnsi="Arial"/>
                <w:sz w:val="24"/>
              </w:rPr>
              <w:t>BAME</w:t>
            </w:r>
          </w:p>
        </w:tc>
        <w:tc>
          <w:tcPr>
            <w:tcW w:w="1803" w:type="dxa"/>
          </w:tcPr>
          <w:p w14:paraId="7FBFB454" w14:textId="77777777" w:rsidR="003469A8" w:rsidRDefault="003A574D" w:rsidP="00B3687F">
            <w:pPr>
              <w:spacing w:line="301" w:lineRule="exact"/>
              <w:rPr>
                <w:rFonts w:ascii="Arial" w:eastAsia="Times New Roman" w:hAnsi="Arial"/>
                <w:sz w:val="24"/>
              </w:rPr>
            </w:pPr>
            <w:r>
              <w:rPr>
                <w:rFonts w:ascii="Arial" w:eastAsia="Times New Roman" w:hAnsi="Arial"/>
                <w:sz w:val="24"/>
              </w:rPr>
              <w:t>756</w:t>
            </w:r>
          </w:p>
        </w:tc>
        <w:tc>
          <w:tcPr>
            <w:tcW w:w="1803" w:type="dxa"/>
          </w:tcPr>
          <w:p w14:paraId="7875FFE3" w14:textId="77777777" w:rsidR="003469A8" w:rsidRDefault="003469A8" w:rsidP="00B3687F">
            <w:pPr>
              <w:spacing w:line="301" w:lineRule="exact"/>
              <w:rPr>
                <w:rFonts w:ascii="Arial" w:eastAsia="Times New Roman" w:hAnsi="Arial"/>
                <w:sz w:val="24"/>
              </w:rPr>
            </w:pPr>
            <w:r>
              <w:rPr>
                <w:rFonts w:ascii="Arial" w:eastAsia="Times New Roman" w:hAnsi="Arial"/>
                <w:sz w:val="24"/>
              </w:rPr>
              <w:t>BAME</w:t>
            </w:r>
          </w:p>
        </w:tc>
        <w:tc>
          <w:tcPr>
            <w:tcW w:w="1803" w:type="dxa"/>
          </w:tcPr>
          <w:p w14:paraId="61E68D97" w14:textId="77777777" w:rsidR="003469A8" w:rsidRDefault="003A574D" w:rsidP="00B3687F">
            <w:pPr>
              <w:spacing w:line="301" w:lineRule="exact"/>
              <w:rPr>
                <w:rFonts w:ascii="Arial" w:eastAsia="Times New Roman" w:hAnsi="Arial"/>
                <w:sz w:val="24"/>
              </w:rPr>
            </w:pPr>
            <w:r>
              <w:rPr>
                <w:rFonts w:ascii="Arial" w:eastAsia="Times New Roman" w:hAnsi="Arial"/>
                <w:sz w:val="24"/>
              </w:rPr>
              <w:t>834</w:t>
            </w:r>
          </w:p>
        </w:tc>
      </w:tr>
      <w:tr w:rsidR="003469A8" w14:paraId="7B9C6519" w14:textId="77777777" w:rsidTr="00B87799">
        <w:trPr>
          <w:jc w:val="center"/>
        </w:trPr>
        <w:tc>
          <w:tcPr>
            <w:tcW w:w="1803" w:type="dxa"/>
          </w:tcPr>
          <w:p w14:paraId="05975F0F" w14:textId="77777777" w:rsidR="003469A8" w:rsidRDefault="003469A8" w:rsidP="00B3687F">
            <w:pPr>
              <w:spacing w:line="301" w:lineRule="exact"/>
              <w:rPr>
                <w:rFonts w:ascii="Arial" w:eastAsia="Times New Roman" w:hAnsi="Arial"/>
                <w:sz w:val="24"/>
              </w:rPr>
            </w:pPr>
            <w:r>
              <w:rPr>
                <w:rFonts w:ascii="Arial" w:eastAsia="Times New Roman" w:hAnsi="Arial"/>
                <w:sz w:val="24"/>
              </w:rPr>
              <w:t>Unknown</w:t>
            </w:r>
          </w:p>
        </w:tc>
        <w:tc>
          <w:tcPr>
            <w:tcW w:w="1803" w:type="dxa"/>
          </w:tcPr>
          <w:p w14:paraId="1B267D45" w14:textId="77777777" w:rsidR="003469A8" w:rsidRDefault="003A574D" w:rsidP="00B3687F">
            <w:pPr>
              <w:spacing w:line="301" w:lineRule="exact"/>
              <w:rPr>
                <w:rFonts w:ascii="Arial" w:eastAsia="Times New Roman" w:hAnsi="Arial"/>
                <w:sz w:val="24"/>
              </w:rPr>
            </w:pPr>
            <w:r>
              <w:rPr>
                <w:rFonts w:ascii="Arial" w:eastAsia="Times New Roman" w:hAnsi="Arial"/>
                <w:sz w:val="24"/>
              </w:rPr>
              <w:t>106</w:t>
            </w:r>
          </w:p>
        </w:tc>
        <w:tc>
          <w:tcPr>
            <w:tcW w:w="1803" w:type="dxa"/>
          </w:tcPr>
          <w:p w14:paraId="2EA08A19" w14:textId="77777777" w:rsidR="003469A8" w:rsidRDefault="003469A8" w:rsidP="00B3687F">
            <w:pPr>
              <w:spacing w:line="301" w:lineRule="exact"/>
              <w:rPr>
                <w:rFonts w:ascii="Arial" w:eastAsia="Times New Roman" w:hAnsi="Arial"/>
                <w:sz w:val="24"/>
              </w:rPr>
            </w:pPr>
            <w:r>
              <w:rPr>
                <w:rFonts w:ascii="Arial" w:eastAsia="Times New Roman" w:hAnsi="Arial"/>
                <w:sz w:val="24"/>
              </w:rPr>
              <w:t>Unknown</w:t>
            </w:r>
          </w:p>
        </w:tc>
        <w:tc>
          <w:tcPr>
            <w:tcW w:w="1803" w:type="dxa"/>
          </w:tcPr>
          <w:p w14:paraId="5FDEA63D" w14:textId="77777777" w:rsidR="003469A8" w:rsidRDefault="003A574D" w:rsidP="00B3687F">
            <w:pPr>
              <w:spacing w:line="301" w:lineRule="exact"/>
              <w:rPr>
                <w:rFonts w:ascii="Arial" w:eastAsia="Times New Roman" w:hAnsi="Arial"/>
                <w:sz w:val="24"/>
              </w:rPr>
            </w:pPr>
            <w:r>
              <w:rPr>
                <w:rFonts w:ascii="Arial" w:eastAsia="Times New Roman" w:hAnsi="Arial"/>
                <w:sz w:val="24"/>
              </w:rPr>
              <w:t>134</w:t>
            </w:r>
          </w:p>
        </w:tc>
      </w:tr>
      <w:tr w:rsidR="003469A8" w14:paraId="7DFC2EDD" w14:textId="77777777" w:rsidTr="00B87799">
        <w:trPr>
          <w:jc w:val="center"/>
        </w:trPr>
        <w:tc>
          <w:tcPr>
            <w:tcW w:w="1803" w:type="dxa"/>
          </w:tcPr>
          <w:p w14:paraId="39DF6259" w14:textId="77777777" w:rsidR="003469A8" w:rsidRDefault="003469A8" w:rsidP="00B3687F">
            <w:pPr>
              <w:spacing w:line="301" w:lineRule="exact"/>
              <w:rPr>
                <w:rFonts w:ascii="Arial" w:eastAsia="Times New Roman" w:hAnsi="Arial"/>
                <w:sz w:val="24"/>
              </w:rPr>
            </w:pPr>
            <w:r>
              <w:rPr>
                <w:rFonts w:ascii="Arial" w:eastAsia="Times New Roman" w:hAnsi="Arial"/>
                <w:sz w:val="24"/>
              </w:rPr>
              <w:t>Total</w:t>
            </w:r>
          </w:p>
        </w:tc>
        <w:tc>
          <w:tcPr>
            <w:tcW w:w="1803" w:type="dxa"/>
          </w:tcPr>
          <w:p w14:paraId="49CCCA52" w14:textId="77777777" w:rsidR="003469A8" w:rsidRDefault="003A574D" w:rsidP="00B3687F">
            <w:pPr>
              <w:spacing w:line="301" w:lineRule="exact"/>
              <w:rPr>
                <w:rFonts w:ascii="Arial" w:eastAsia="Times New Roman" w:hAnsi="Arial"/>
                <w:sz w:val="24"/>
              </w:rPr>
            </w:pPr>
            <w:r>
              <w:rPr>
                <w:rFonts w:ascii="Arial" w:eastAsia="Times New Roman" w:hAnsi="Arial"/>
                <w:sz w:val="24"/>
              </w:rPr>
              <w:t>3919</w:t>
            </w:r>
          </w:p>
        </w:tc>
        <w:tc>
          <w:tcPr>
            <w:tcW w:w="1803" w:type="dxa"/>
          </w:tcPr>
          <w:p w14:paraId="507A8B66" w14:textId="77777777" w:rsidR="003469A8" w:rsidRDefault="003469A8" w:rsidP="00B3687F">
            <w:pPr>
              <w:spacing w:line="301" w:lineRule="exact"/>
              <w:rPr>
                <w:rFonts w:ascii="Arial" w:eastAsia="Times New Roman" w:hAnsi="Arial"/>
                <w:sz w:val="24"/>
              </w:rPr>
            </w:pPr>
            <w:r>
              <w:rPr>
                <w:rFonts w:ascii="Arial" w:eastAsia="Times New Roman" w:hAnsi="Arial"/>
                <w:sz w:val="24"/>
              </w:rPr>
              <w:t>Total</w:t>
            </w:r>
          </w:p>
        </w:tc>
        <w:tc>
          <w:tcPr>
            <w:tcW w:w="1803" w:type="dxa"/>
          </w:tcPr>
          <w:p w14:paraId="08429935" w14:textId="77777777" w:rsidR="003469A8" w:rsidRDefault="003A574D" w:rsidP="00B3687F">
            <w:pPr>
              <w:spacing w:line="301" w:lineRule="exact"/>
              <w:rPr>
                <w:rFonts w:ascii="Arial" w:eastAsia="Times New Roman" w:hAnsi="Arial"/>
                <w:sz w:val="24"/>
              </w:rPr>
            </w:pPr>
            <w:r>
              <w:rPr>
                <w:rFonts w:ascii="Arial" w:eastAsia="Times New Roman" w:hAnsi="Arial"/>
                <w:sz w:val="24"/>
              </w:rPr>
              <w:t>4068</w:t>
            </w:r>
          </w:p>
        </w:tc>
      </w:tr>
    </w:tbl>
    <w:p w14:paraId="4E9EBF5B" w14:textId="77777777" w:rsidR="00B54DF1" w:rsidRDefault="00B54DF1" w:rsidP="002F7308">
      <w:pPr>
        <w:pStyle w:val="NoSpacing"/>
        <w:rPr>
          <w:rFonts w:ascii="Arial" w:hAnsi="Arial"/>
          <w:sz w:val="24"/>
        </w:rPr>
      </w:pPr>
    </w:p>
    <w:p w14:paraId="3B1FF5A1" w14:textId="77777777" w:rsidR="00B87799" w:rsidRDefault="00B87799">
      <w:pPr>
        <w:spacing w:after="160" w:line="259" w:lineRule="auto"/>
        <w:rPr>
          <w:rFonts w:ascii="Arial" w:hAnsi="Arial"/>
          <w:b/>
          <w:sz w:val="24"/>
          <w:szCs w:val="24"/>
        </w:rPr>
      </w:pPr>
      <w:r>
        <w:rPr>
          <w:rFonts w:ascii="Arial" w:hAnsi="Arial"/>
          <w:b/>
          <w:sz w:val="24"/>
          <w:szCs w:val="24"/>
        </w:rPr>
        <w:br w:type="page"/>
      </w:r>
    </w:p>
    <w:p w14:paraId="541EE6B9" w14:textId="77777777" w:rsidR="00444F40" w:rsidRPr="003469A8" w:rsidRDefault="003469A8" w:rsidP="001D3225">
      <w:pPr>
        <w:pStyle w:val="NoSpacing"/>
        <w:jc w:val="both"/>
        <w:rPr>
          <w:rFonts w:ascii="Arial" w:hAnsi="Arial"/>
          <w:sz w:val="24"/>
          <w:szCs w:val="24"/>
        </w:rPr>
      </w:pPr>
      <w:r w:rsidRPr="00644DE6">
        <w:rPr>
          <w:rFonts w:ascii="Arial" w:hAnsi="Arial"/>
          <w:b/>
          <w:sz w:val="24"/>
          <w:szCs w:val="24"/>
        </w:rPr>
        <w:lastRenderedPageBreak/>
        <w:t>Figure</w:t>
      </w:r>
      <w:r w:rsidR="0044567A" w:rsidRPr="00644DE6">
        <w:rPr>
          <w:rFonts w:ascii="Arial" w:hAnsi="Arial"/>
          <w:b/>
          <w:sz w:val="24"/>
          <w:szCs w:val="24"/>
        </w:rPr>
        <w:t xml:space="preserve"> 1</w:t>
      </w:r>
      <w:r w:rsidR="00644DE6">
        <w:rPr>
          <w:rFonts w:ascii="Arial" w:hAnsi="Arial"/>
          <w:sz w:val="24"/>
          <w:szCs w:val="24"/>
        </w:rPr>
        <w:t xml:space="preserve"> </w:t>
      </w:r>
      <w:r w:rsidRPr="00D8776E">
        <w:rPr>
          <w:rFonts w:ascii="Arial" w:hAnsi="Arial"/>
          <w:sz w:val="22"/>
          <w:szCs w:val="24"/>
        </w:rPr>
        <w:t xml:space="preserve">shows the proportion of White and BAME staff in each of the </w:t>
      </w:r>
      <w:r w:rsidR="00D8776E">
        <w:rPr>
          <w:rFonts w:ascii="Arial" w:hAnsi="Arial"/>
          <w:sz w:val="22"/>
          <w:szCs w:val="24"/>
        </w:rPr>
        <w:t>agenda for change</w:t>
      </w:r>
      <w:r w:rsidRPr="00D8776E">
        <w:rPr>
          <w:rFonts w:ascii="Arial" w:hAnsi="Arial"/>
          <w:sz w:val="22"/>
          <w:szCs w:val="24"/>
        </w:rPr>
        <w:t xml:space="preserve"> pay bands within the non-clinical workforce.</w:t>
      </w:r>
      <w:r w:rsidR="003F254A" w:rsidRPr="00D8776E">
        <w:rPr>
          <w:rFonts w:ascii="Arial" w:hAnsi="Arial"/>
          <w:sz w:val="22"/>
          <w:szCs w:val="24"/>
        </w:rPr>
        <w:t xml:space="preserve"> </w:t>
      </w:r>
    </w:p>
    <w:p w14:paraId="40861AC1" w14:textId="77777777" w:rsidR="0082767A" w:rsidRPr="0044567A" w:rsidRDefault="0082767A" w:rsidP="0082767A">
      <w:pPr>
        <w:spacing w:after="160" w:line="259" w:lineRule="auto"/>
        <w:rPr>
          <w:rFonts w:ascii="Arial" w:eastAsia="Times New Roman" w:hAnsi="Arial"/>
          <w:i/>
          <w:sz w:val="24"/>
        </w:rPr>
      </w:pPr>
      <w:r>
        <w:rPr>
          <w:noProof/>
        </w:rPr>
        <w:drawing>
          <wp:anchor distT="0" distB="0" distL="114300" distR="114300" simplePos="0" relativeHeight="251663360" behindDoc="0" locked="0" layoutInCell="1" allowOverlap="1" wp14:anchorId="1294FC2F" wp14:editId="789B4CF2">
            <wp:simplePos x="0" y="0"/>
            <wp:positionH relativeFrom="column">
              <wp:posOffset>-53340</wp:posOffset>
            </wp:positionH>
            <wp:positionV relativeFrom="paragraph">
              <wp:posOffset>153670</wp:posOffset>
            </wp:positionV>
            <wp:extent cx="5731510" cy="2331720"/>
            <wp:effectExtent l="0" t="0" r="21590" b="1143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73BD25E4" w14:textId="77777777" w:rsidR="0082767A" w:rsidRPr="00D8776E" w:rsidRDefault="0082767A" w:rsidP="0082767A">
      <w:pPr>
        <w:pStyle w:val="NoSpacing"/>
        <w:jc w:val="both"/>
        <w:rPr>
          <w:rFonts w:ascii="Arial" w:hAnsi="Arial"/>
          <w:sz w:val="22"/>
        </w:rPr>
      </w:pPr>
      <w:r w:rsidRPr="00644DE6">
        <w:rPr>
          <w:rFonts w:ascii="Arial" w:hAnsi="Arial"/>
          <w:b/>
          <w:sz w:val="24"/>
        </w:rPr>
        <w:t>Table 1</w:t>
      </w:r>
      <w:r>
        <w:rPr>
          <w:rFonts w:ascii="Arial" w:hAnsi="Arial"/>
          <w:sz w:val="24"/>
        </w:rPr>
        <w:t xml:space="preserve"> </w:t>
      </w:r>
      <w:r w:rsidRPr="00D8776E">
        <w:rPr>
          <w:rFonts w:ascii="Arial" w:hAnsi="Arial"/>
          <w:sz w:val="22"/>
        </w:rPr>
        <w:t>shows where the movement has occurred within each band:</w:t>
      </w:r>
    </w:p>
    <w:p w14:paraId="3A639C7B" w14:textId="77777777" w:rsidR="0082767A" w:rsidRDefault="0082767A" w:rsidP="0082767A">
      <w:pPr>
        <w:pStyle w:val="NoSpacing"/>
        <w:jc w:val="both"/>
        <w:rPr>
          <w:rFonts w:ascii="Arial" w:hAnsi="Arial"/>
          <w:sz w:val="24"/>
        </w:rPr>
      </w:pPr>
    </w:p>
    <w:p w14:paraId="1A76EFE1" w14:textId="77777777" w:rsidR="0082767A" w:rsidRDefault="00054FDD" w:rsidP="00D8776E">
      <w:pPr>
        <w:pStyle w:val="NoSpacing"/>
        <w:jc w:val="center"/>
        <w:rPr>
          <w:rFonts w:ascii="Arial" w:hAnsi="Arial"/>
          <w:i/>
          <w:sz w:val="24"/>
        </w:rPr>
      </w:pPr>
      <w:r w:rsidRPr="00054FDD">
        <w:rPr>
          <w:noProof/>
        </w:rPr>
        <w:drawing>
          <wp:inline distT="0" distB="0" distL="0" distR="0" wp14:anchorId="78E3D0C1" wp14:editId="56CC6B3B">
            <wp:extent cx="3657600" cy="29489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0" cy="2948940"/>
                    </a:xfrm>
                    <a:prstGeom prst="rect">
                      <a:avLst/>
                    </a:prstGeom>
                    <a:noFill/>
                    <a:ln>
                      <a:noFill/>
                    </a:ln>
                  </pic:spPr>
                </pic:pic>
              </a:graphicData>
            </a:graphic>
          </wp:inline>
        </w:drawing>
      </w:r>
    </w:p>
    <w:p w14:paraId="5FDD525E" w14:textId="77777777" w:rsidR="0082767A" w:rsidRPr="0082767A" w:rsidRDefault="0082767A" w:rsidP="0082767A">
      <w:pPr>
        <w:pStyle w:val="NoSpacing"/>
        <w:jc w:val="both"/>
        <w:rPr>
          <w:rFonts w:ascii="Arial" w:hAnsi="Arial"/>
          <w:i/>
          <w:sz w:val="24"/>
        </w:rPr>
      </w:pPr>
    </w:p>
    <w:p w14:paraId="48ADD2DD" w14:textId="77777777" w:rsidR="0082767A" w:rsidRDefault="0082767A" w:rsidP="0082767A">
      <w:pPr>
        <w:pStyle w:val="NoSpacing"/>
        <w:jc w:val="both"/>
        <w:rPr>
          <w:rFonts w:ascii="Arial" w:hAnsi="Arial"/>
          <w:sz w:val="24"/>
        </w:rPr>
      </w:pPr>
    </w:p>
    <w:p w14:paraId="4F7F45A5" w14:textId="77777777" w:rsidR="00054FDD" w:rsidRDefault="00054FDD" w:rsidP="0082767A">
      <w:pPr>
        <w:pStyle w:val="NoSpacing"/>
        <w:jc w:val="both"/>
        <w:rPr>
          <w:rFonts w:ascii="Arial" w:hAnsi="Arial"/>
          <w:sz w:val="24"/>
        </w:rPr>
      </w:pPr>
    </w:p>
    <w:p w14:paraId="609FB138" w14:textId="77777777" w:rsidR="0082767A" w:rsidRPr="00D8776E" w:rsidRDefault="00F269C7" w:rsidP="0082767A">
      <w:pPr>
        <w:pStyle w:val="NoSpacing"/>
        <w:jc w:val="both"/>
        <w:rPr>
          <w:rFonts w:ascii="Arial" w:hAnsi="Arial"/>
          <w:sz w:val="22"/>
        </w:rPr>
      </w:pPr>
      <w:r w:rsidRPr="00D8776E">
        <w:rPr>
          <w:rFonts w:ascii="Arial" w:hAnsi="Arial"/>
          <w:sz w:val="22"/>
        </w:rPr>
        <w:t>In s</w:t>
      </w:r>
      <w:r w:rsidR="0082767A" w:rsidRPr="00D8776E">
        <w:rPr>
          <w:rFonts w:ascii="Arial" w:hAnsi="Arial"/>
          <w:sz w:val="22"/>
        </w:rPr>
        <w:t>ummary</w:t>
      </w:r>
      <w:r w:rsidRPr="00D8776E">
        <w:rPr>
          <w:rFonts w:ascii="Arial" w:hAnsi="Arial"/>
          <w:sz w:val="22"/>
        </w:rPr>
        <w:t>,</w:t>
      </w:r>
      <w:r w:rsidR="0082767A" w:rsidRPr="00D8776E">
        <w:rPr>
          <w:rFonts w:ascii="Arial" w:hAnsi="Arial"/>
          <w:sz w:val="22"/>
        </w:rPr>
        <w:t xml:space="preserve"> the data shows:</w:t>
      </w:r>
    </w:p>
    <w:p w14:paraId="695E88DC" w14:textId="77777777" w:rsidR="0082767A" w:rsidRPr="00D8776E" w:rsidRDefault="0082767A" w:rsidP="0082767A">
      <w:pPr>
        <w:pStyle w:val="NoSpacing"/>
        <w:jc w:val="both"/>
        <w:rPr>
          <w:rFonts w:ascii="Arial" w:hAnsi="Arial"/>
          <w:sz w:val="22"/>
        </w:rPr>
      </w:pPr>
    </w:p>
    <w:p w14:paraId="6AB53FC1" w14:textId="77777777" w:rsidR="0082767A" w:rsidRPr="00D8776E" w:rsidRDefault="0082767A" w:rsidP="0082767A">
      <w:pPr>
        <w:pStyle w:val="NoSpacing"/>
        <w:numPr>
          <w:ilvl w:val="0"/>
          <w:numId w:val="3"/>
        </w:numPr>
        <w:jc w:val="both"/>
        <w:rPr>
          <w:rFonts w:ascii="Arial" w:hAnsi="Arial"/>
          <w:sz w:val="22"/>
        </w:rPr>
      </w:pPr>
      <w:r w:rsidRPr="00D8776E">
        <w:rPr>
          <w:rFonts w:ascii="Arial" w:hAnsi="Arial"/>
          <w:sz w:val="22"/>
        </w:rPr>
        <w:t>There has</w:t>
      </w:r>
      <w:r w:rsidR="00E87982" w:rsidRPr="00D8776E">
        <w:rPr>
          <w:rFonts w:ascii="Arial" w:hAnsi="Arial"/>
          <w:sz w:val="22"/>
        </w:rPr>
        <w:t xml:space="preserve"> onl</w:t>
      </w:r>
      <w:r w:rsidR="00F269C7" w:rsidRPr="00D8776E">
        <w:rPr>
          <w:rFonts w:ascii="Arial" w:hAnsi="Arial"/>
          <w:sz w:val="22"/>
        </w:rPr>
        <w:t>y been a percentage</w:t>
      </w:r>
      <w:r w:rsidRPr="00D8776E">
        <w:rPr>
          <w:rFonts w:ascii="Arial" w:hAnsi="Arial"/>
          <w:sz w:val="22"/>
        </w:rPr>
        <w:t xml:space="preserve"> i</w:t>
      </w:r>
      <w:r w:rsidR="00F269C7" w:rsidRPr="00D8776E">
        <w:rPr>
          <w:rFonts w:ascii="Arial" w:hAnsi="Arial"/>
          <w:sz w:val="22"/>
        </w:rPr>
        <w:t>ncrease for</w:t>
      </w:r>
      <w:r w:rsidRPr="00D8776E">
        <w:rPr>
          <w:rFonts w:ascii="Arial" w:hAnsi="Arial"/>
          <w:sz w:val="22"/>
        </w:rPr>
        <w:t xml:space="preserve"> BAME</w:t>
      </w:r>
      <w:r w:rsidR="00E87982" w:rsidRPr="00D8776E">
        <w:rPr>
          <w:rFonts w:ascii="Arial" w:hAnsi="Arial"/>
          <w:sz w:val="22"/>
        </w:rPr>
        <w:t xml:space="preserve"> representation at bands 4, 5 and 8B over the assessed per</w:t>
      </w:r>
      <w:r w:rsidR="00AF3E5A" w:rsidRPr="00D8776E">
        <w:rPr>
          <w:rFonts w:ascii="Arial" w:hAnsi="Arial"/>
          <w:sz w:val="22"/>
        </w:rPr>
        <w:t>iod</w:t>
      </w:r>
    </w:p>
    <w:p w14:paraId="465BB52A" w14:textId="77777777" w:rsidR="00AF3E5A" w:rsidRPr="00D8776E" w:rsidRDefault="00AF3E5A" w:rsidP="0082767A">
      <w:pPr>
        <w:pStyle w:val="NoSpacing"/>
        <w:numPr>
          <w:ilvl w:val="0"/>
          <w:numId w:val="3"/>
        </w:numPr>
        <w:jc w:val="both"/>
        <w:rPr>
          <w:rFonts w:ascii="Arial" w:hAnsi="Arial"/>
          <w:sz w:val="22"/>
        </w:rPr>
      </w:pPr>
      <w:r w:rsidRPr="00D8776E">
        <w:rPr>
          <w:rFonts w:ascii="Arial" w:hAnsi="Arial"/>
          <w:sz w:val="22"/>
        </w:rPr>
        <w:t xml:space="preserve">There is very little to no BAME representation at Band 8A or above, with the only exception being Band 8B (absolute number is static over the </w:t>
      </w:r>
      <w:r w:rsidR="00644DE6" w:rsidRPr="00D8776E">
        <w:rPr>
          <w:rFonts w:ascii="Arial" w:hAnsi="Arial"/>
          <w:sz w:val="22"/>
        </w:rPr>
        <w:t>periods</w:t>
      </w:r>
      <w:r w:rsidRPr="00D8776E">
        <w:rPr>
          <w:rFonts w:ascii="Arial" w:hAnsi="Arial"/>
          <w:sz w:val="22"/>
        </w:rPr>
        <w:t>)</w:t>
      </w:r>
    </w:p>
    <w:p w14:paraId="4741F53B" w14:textId="77777777" w:rsidR="003C41F0" w:rsidRDefault="003C41F0" w:rsidP="00867D0E">
      <w:pPr>
        <w:pStyle w:val="NoSpacing"/>
        <w:rPr>
          <w:rFonts w:ascii="Arial" w:hAnsi="Arial"/>
          <w:sz w:val="24"/>
          <w:szCs w:val="24"/>
        </w:rPr>
      </w:pPr>
    </w:p>
    <w:p w14:paraId="4869C4A1" w14:textId="77777777" w:rsidR="0082767A" w:rsidRDefault="0082767A" w:rsidP="00867D0E">
      <w:pPr>
        <w:pStyle w:val="NoSpacing"/>
        <w:rPr>
          <w:rFonts w:ascii="Arial" w:hAnsi="Arial"/>
          <w:sz w:val="24"/>
          <w:szCs w:val="24"/>
        </w:rPr>
      </w:pPr>
    </w:p>
    <w:p w14:paraId="1CA9396B" w14:textId="77777777" w:rsidR="00D8776E" w:rsidRDefault="00D8776E" w:rsidP="00867D0E">
      <w:pPr>
        <w:pStyle w:val="NoSpacing"/>
        <w:rPr>
          <w:rFonts w:ascii="Arial" w:hAnsi="Arial"/>
          <w:sz w:val="24"/>
          <w:szCs w:val="24"/>
        </w:rPr>
      </w:pPr>
    </w:p>
    <w:p w14:paraId="230C8B0D" w14:textId="77777777" w:rsidR="00D8776E" w:rsidRDefault="00D8776E" w:rsidP="001D3225">
      <w:pPr>
        <w:pStyle w:val="NoSpacing"/>
        <w:jc w:val="both"/>
        <w:rPr>
          <w:rFonts w:ascii="Arial" w:hAnsi="Arial"/>
          <w:b/>
          <w:sz w:val="24"/>
          <w:szCs w:val="24"/>
        </w:rPr>
      </w:pPr>
    </w:p>
    <w:p w14:paraId="333F28A5" w14:textId="77777777" w:rsidR="00D8776E" w:rsidRDefault="00D8776E" w:rsidP="001D3225">
      <w:pPr>
        <w:pStyle w:val="NoSpacing"/>
        <w:jc w:val="both"/>
        <w:rPr>
          <w:rFonts w:ascii="Arial" w:hAnsi="Arial"/>
          <w:b/>
          <w:sz w:val="24"/>
          <w:szCs w:val="24"/>
        </w:rPr>
      </w:pPr>
    </w:p>
    <w:p w14:paraId="19072141" w14:textId="77777777" w:rsidR="00867D0E" w:rsidRPr="003469A8" w:rsidRDefault="00867D0E" w:rsidP="001D3225">
      <w:pPr>
        <w:pStyle w:val="NoSpacing"/>
        <w:jc w:val="both"/>
        <w:rPr>
          <w:rFonts w:ascii="Arial" w:hAnsi="Arial"/>
          <w:sz w:val="24"/>
          <w:szCs w:val="24"/>
        </w:rPr>
      </w:pPr>
      <w:r w:rsidRPr="00F269C7">
        <w:rPr>
          <w:rFonts w:ascii="Arial" w:hAnsi="Arial"/>
          <w:b/>
          <w:sz w:val="24"/>
          <w:szCs w:val="24"/>
        </w:rPr>
        <w:t>Figure</w:t>
      </w:r>
      <w:r w:rsidR="0044567A" w:rsidRPr="00F269C7">
        <w:rPr>
          <w:rFonts w:ascii="Arial" w:hAnsi="Arial"/>
          <w:b/>
          <w:sz w:val="24"/>
          <w:szCs w:val="24"/>
        </w:rPr>
        <w:t xml:space="preserve"> 2</w:t>
      </w:r>
      <w:r w:rsidR="00F269C7">
        <w:rPr>
          <w:rFonts w:ascii="Arial" w:hAnsi="Arial"/>
          <w:sz w:val="24"/>
          <w:szCs w:val="24"/>
        </w:rPr>
        <w:t xml:space="preserve"> </w:t>
      </w:r>
      <w:r w:rsidR="00D8776E" w:rsidRPr="00D8776E">
        <w:rPr>
          <w:rFonts w:ascii="Arial" w:hAnsi="Arial"/>
          <w:sz w:val="22"/>
          <w:szCs w:val="24"/>
        </w:rPr>
        <w:t xml:space="preserve">below </w:t>
      </w:r>
      <w:r w:rsidRPr="00D8776E">
        <w:rPr>
          <w:rFonts w:ascii="Arial" w:hAnsi="Arial"/>
          <w:sz w:val="22"/>
          <w:szCs w:val="24"/>
        </w:rPr>
        <w:t xml:space="preserve">shows the proportion of White and BAME staff in each of the </w:t>
      </w:r>
      <w:r w:rsidR="00D8776E">
        <w:rPr>
          <w:rFonts w:ascii="Arial" w:hAnsi="Arial"/>
          <w:sz w:val="22"/>
          <w:szCs w:val="24"/>
        </w:rPr>
        <w:t>agenda for change</w:t>
      </w:r>
      <w:r w:rsidRPr="00D8776E">
        <w:rPr>
          <w:rFonts w:ascii="Arial" w:hAnsi="Arial"/>
          <w:sz w:val="22"/>
          <w:szCs w:val="24"/>
        </w:rPr>
        <w:t xml:space="preserve"> pay bands within the clinical workforce. </w:t>
      </w:r>
    </w:p>
    <w:p w14:paraId="41936FE3" w14:textId="77777777" w:rsidR="00E82F46" w:rsidRPr="00E82F46" w:rsidRDefault="00E82F46" w:rsidP="00E82F46">
      <w:pPr>
        <w:pStyle w:val="NoSpacing"/>
        <w:rPr>
          <w:rFonts w:ascii="Arial" w:hAnsi="Arial"/>
          <w:sz w:val="24"/>
        </w:rPr>
      </w:pPr>
    </w:p>
    <w:p w14:paraId="503836EC" w14:textId="77777777" w:rsidR="000A7092" w:rsidRPr="003C41F0" w:rsidRDefault="000A7092" w:rsidP="00444F40">
      <w:pPr>
        <w:spacing w:line="360" w:lineRule="exact"/>
        <w:rPr>
          <w:rFonts w:ascii="Arial" w:eastAsia="Times New Roman" w:hAnsi="Arial"/>
          <w:i/>
          <w:sz w:val="24"/>
        </w:rPr>
      </w:pPr>
    </w:p>
    <w:p w14:paraId="179FE550" w14:textId="77777777" w:rsidR="0068012F" w:rsidRDefault="000A7092" w:rsidP="0068012F">
      <w:pPr>
        <w:pStyle w:val="NoSpacing"/>
        <w:jc w:val="both"/>
        <w:rPr>
          <w:rFonts w:ascii="Arial" w:hAnsi="Arial"/>
          <w:sz w:val="24"/>
        </w:rPr>
      </w:pPr>
      <w:r>
        <w:rPr>
          <w:rFonts w:ascii="Arial" w:eastAsia="Times New Roman" w:hAnsi="Arial"/>
          <w:i/>
          <w:noProof/>
          <w:sz w:val="24"/>
        </w:rPr>
        <w:drawing>
          <wp:inline distT="0" distB="0" distL="0" distR="0" wp14:anchorId="7B3A9EA8" wp14:editId="12E58646">
            <wp:extent cx="5728277" cy="2334092"/>
            <wp:effectExtent l="0" t="0" r="635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26169" cy="2333233"/>
                    </a:xfrm>
                    <a:prstGeom prst="rect">
                      <a:avLst/>
                    </a:prstGeom>
                    <a:noFill/>
                  </pic:spPr>
                </pic:pic>
              </a:graphicData>
            </a:graphic>
          </wp:inline>
        </w:drawing>
      </w:r>
    </w:p>
    <w:p w14:paraId="6C2CDEEA" w14:textId="77777777" w:rsidR="000A7092" w:rsidRDefault="000A7092" w:rsidP="0068012F">
      <w:pPr>
        <w:pStyle w:val="NoSpacing"/>
        <w:jc w:val="both"/>
        <w:rPr>
          <w:rFonts w:ascii="Arial" w:hAnsi="Arial"/>
          <w:sz w:val="24"/>
        </w:rPr>
      </w:pPr>
    </w:p>
    <w:p w14:paraId="1070A156" w14:textId="77777777" w:rsidR="000A7092" w:rsidRDefault="000A7092" w:rsidP="000A7092">
      <w:pPr>
        <w:pStyle w:val="NoSpacing"/>
        <w:jc w:val="both"/>
        <w:rPr>
          <w:rFonts w:ascii="Arial" w:hAnsi="Arial"/>
          <w:sz w:val="24"/>
        </w:rPr>
      </w:pPr>
      <w:r w:rsidRPr="000340DA">
        <w:rPr>
          <w:rFonts w:ascii="Arial" w:hAnsi="Arial"/>
          <w:b/>
          <w:sz w:val="24"/>
        </w:rPr>
        <w:t>Table 2</w:t>
      </w:r>
      <w:r>
        <w:rPr>
          <w:rFonts w:ascii="Arial" w:hAnsi="Arial"/>
          <w:sz w:val="24"/>
        </w:rPr>
        <w:t xml:space="preserve"> </w:t>
      </w:r>
      <w:r w:rsidR="00D8776E" w:rsidRPr="00D8776E">
        <w:rPr>
          <w:rFonts w:ascii="Arial" w:hAnsi="Arial"/>
          <w:sz w:val="22"/>
        </w:rPr>
        <w:t xml:space="preserve">below </w:t>
      </w:r>
      <w:r w:rsidRPr="00D8776E">
        <w:rPr>
          <w:rFonts w:ascii="Arial" w:hAnsi="Arial"/>
          <w:sz w:val="22"/>
        </w:rPr>
        <w:t>shows where the movement has occurred within each band:</w:t>
      </w:r>
    </w:p>
    <w:p w14:paraId="4BEA0A20" w14:textId="77777777" w:rsidR="000A7092" w:rsidRDefault="000A7092" w:rsidP="000A7092">
      <w:pPr>
        <w:pStyle w:val="NoSpacing"/>
        <w:jc w:val="both"/>
        <w:rPr>
          <w:rFonts w:ascii="Arial" w:hAnsi="Arial"/>
          <w:sz w:val="24"/>
        </w:rPr>
      </w:pPr>
    </w:p>
    <w:p w14:paraId="6C935C11" w14:textId="77777777" w:rsidR="000A7092" w:rsidRDefault="000A7092" w:rsidP="000A7092">
      <w:pPr>
        <w:pStyle w:val="NoSpacing"/>
        <w:jc w:val="both"/>
        <w:rPr>
          <w:rFonts w:ascii="Arial" w:hAnsi="Arial"/>
          <w:i/>
          <w:sz w:val="24"/>
        </w:rPr>
      </w:pPr>
    </w:p>
    <w:p w14:paraId="6C3FEE56" w14:textId="77777777" w:rsidR="000A7092" w:rsidRDefault="00054FDD" w:rsidP="00D8776E">
      <w:pPr>
        <w:pStyle w:val="NoSpacing"/>
        <w:jc w:val="center"/>
        <w:rPr>
          <w:rFonts w:ascii="Arial" w:hAnsi="Arial"/>
          <w:i/>
          <w:sz w:val="24"/>
        </w:rPr>
      </w:pPr>
      <w:r w:rsidRPr="00054FDD">
        <w:rPr>
          <w:noProof/>
        </w:rPr>
        <w:drawing>
          <wp:inline distT="0" distB="0" distL="0" distR="0" wp14:anchorId="0A5CECFF" wp14:editId="29FCA3A4">
            <wp:extent cx="3657600" cy="29489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57600" cy="2948940"/>
                    </a:xfrm>
                    <a:prstGeom prst="rect">
                      <a:avLst/>
                    </a:prstGeom>
                    <a:noFill/>
                    <a:ln>
                      <a:noFill/>
                    </a:ln>
                  </pic:spPr>
                </pic:pic>
              </a:graphicData>
            </a:graphic>
          </wp:inline>
        </w:drawing>
      </w:r>
    </w:p>
    <w:p w14:paraId="6BA74450" w14:textId="77777777" w:rsidR="00054FDD" w:rsidRDefault="00054FDD" w:rsidP="000A7092">
      <w:pPr>
        <w:pStyle w:val="NoSpacing"/>
        <w:jc w:val="both"/>
        <w:rPr>
          <w:rFonts w:ascii="Arial" w:hAnsi="Arial"/>
          <w:i/>
          <w:sz w:val="24"/>
        </w:rPr>
      </w:pPr>
    </w:p>
    <w:p w14:paraId="0AF4A0A2" w14:textId="77777777" w:rsidR="0068012F" w:rsidRPr="00D8776E" w:rsidRDefault="00E43E70" w:rsidP="0068012F">
      <w:pPr>
        <w:pStyle w:val="NoSpacing"/>
        <w:jc w:val="both"/>
        <w:rPr>
          <w:rFonts w:ascii="Arial" w:hAnsi="Arial"/>
          <w:sz w:val="22"/>
        </w:rPr>
      </w:pPr>
      <w:r w:rsidRPr="00D8776E">
        <w:rPr>
          <w:rFonts w:ascii="Arial" w:hAnsi="Arial"/>
          <w:sz w:val="22"/>
        </w:rPr>
        <w:t>In s</w:t>
      </w:r>
      <w:r w:rsidR="0068012F" w:rsidRPr="00D8776E">
        <w:rPr>
          <w:rFonts w:ascii="Arial" w:hAnsi="Arial"/>
          <w:sz w:val="22"/>
        </w:rPr>
        <w:t>ummary</w:t>
      </w:r>
      <w:r w:rsidRPr="00D8776E">
        <w:rPr>
          <w:rFonts w:ascii="Arial" w:hAnsi="Arial"/>
          <w:sz w:val="22"/>
        </w:rPr>
        <w:t>,</w:t>
      </w:r>
      <w:r w:rsidR="0068012F" w:rsidRPr="00D8776E">
        <w:rPr>
          <w:rFonts w:ascii="Arial" w:hAnsi="Arial"/>
          <w:sz w:val="22"/>
        </w:rPr>
        <w:t xml:space="preserve"> the data shows:</w:t>
      </w:r>
    </w:p>
    <w:p w14:paraId="65C32C29" w14:textId="77777777" w:rsidR="0068012F" w:rsidRPr="00D8776E" w:rsidRDefault="0068012F" w:rsidP="0068012F">
      <w:pPr>
        <w:pStyle w:val="NoSpacing"/>
        <w:jc w:val="both"/>
        <w:rPr>
          <w:rFonts w:ascii="Arial" w:hAnsi="Arial"/>
          <w:sz w:val="22"/>
        </w:rPr>
      </w:pPr>
    </w:p>
    <w:p w14:paraId="0B81FB69" w14:textId="77777777" w:rsidR="0068012F" w:rsidRPr="00D8776E" w:rsidRDefault="000A7092" w:rsidP="0068012F">
      <w:pPr>
        <w:pStyle w:val="NoSpacing"/>
        <w:numPr>
          <w:ilvl w:val="0"/>
          <w:numId w:val="4"/>
        </w:numPr>
        <w:jc w:val="both"/>
        <w:rPr>
          <w:rFonts w:ascii="Arial" w:hAnsi="Arial"/>
          <w:sz w:val="22"/>
        </w:rPr>
      </w:pPr>
      <w:r w:rsidRPr="00D8776E">
        <w:rPr>
          <w:rFonts w:ascii="Arial" w:hAnsi="Arial"/>
          <w:sz w:val="22"/>
        </w:rPr>
        <w:t>There has been little change in BAME representation across all bands</w:t>
      </w:r>
      <w:r w:rsidR="00E43E70" w:rsidRPr="00D8776E">
        <w:rPr>
          <w:rFonts w:ascii="Arial" w:hAnsi="Arial"/>
          <w:sz w:val="22"/>
        </w:rPr>
        <w:t xml:space="preserve">. The </w:t>
      </w:r>
      <w:r w:rsidRPr="00D8776E">
        <w:rPr>
          <w:rFonts w:ascii="Arial" w:hAnsi="Arial"/>
          <w:sz w:val="22"/>
        </w:rPr>
        <w:t>exception</w:t>
      </w:r>
      <w:r w:rsidR="00E43E70" w:rsidRPr="00D8776E">
        <w:rPr>
          <w:rFonts w:ascii="Arial" w:hAnsi="Arial"/>
          <w:sz w:val="22"/>
        </w:rPr>
        <w:t xml:space="preserve"> being</w:t>
      </w:r>
      <w:r w:rsidRPr="00D8776E">
        <w:rPr>
          <w:rFonts w:ascii="Arial" w:hAnsi="Arial"/>
          <w:sz w:val="22"/>
        </w:rPr>
        <w:t xml:space="preserve"> a 5% increase in band 5 and a 9% decrease at VSM level</w:t>
      </w:r>
      <w:r w:rsidR="0068012F" w:rsidRPr="00D8776E">
        <w:rPr>
          <w:rFonts w:ascii="Arial" w:hAnsi="Arial"/>
          <w:sz w:val="22"/>
        </w:rPr>
        <w:t>.</w:t>
      </w:r>
    </w:p>
    <w:p w14:paraId="1496AECF" w14:textId="77777777" w:rsidR="003D262B" w:rsidRDefault="003D262B">
      <w:pPr>
        <w:spacing w:after="160" w:line="259" w:lineRule="auto"/>
        <w:rPr>
          <w:rFonts w:ascii="Arial" w:hAnsi="Arial"/>
          <w:b/>
          <w:sz w:val="24"/>
          <w:szCs w:val="24"/>
        </w:rPr>
      </w:pPr>
    </w:p>
    <w:p w14:paraId="73BCEF7F" w14:textId="77777777" w:rsidR="00D8776E" w:rsidRDefault="00D8776E">
      <w:pPr>
        <w:spacing w:after="160" w:line="259" w:lineRule="auto"/>
        <w:rPr>
          <w:rFonts w:ascii="Arial" w:hAnsi="Arial"/>
          <w:b/>
          <w:sz w:val="24"/>
          <w:szCs w:val="24"/>
        </w:rPr>
      </w:pPr>
      <w:r>
        <w:rPr>
          <w:rFonts w:ascii="Arial" w:hAnsi="Arial"/>
          <w:b/>
          <w:sz w:val="24"/>
          <w:szCs w:val="24"/>
        </w:rPr>
        <w:br w:type="page"/>
      </w:r>
    </w:p>
    <w:p w14:paraId="323CD319" w14:textId="77777777" w:rsidR="003D262B" w:rsidRDefault="003D262B" w:rsidP="003D262B">
      <w:pPr>
        <w:pStyle w:val="NoSpacing"/>
        <w:jc w:val="both"/>
        <w:rPr>
          <w:rFonts w:ascii="Arial" w:hAnsi="Arial"/>
          <w:sz w:val="24"/>
          <w:szCs w:val="24"/>
        </w:rPr>
      </w:pPr>
      <w:r>
        <w:rPr>
          <w:rFonts w:ascii="Arial" w:hAnsi="Arial"/>
          <w:b/>
          <w:sz w:val="24"/>
          <w:szCs w:val="24"/>
        </w:rPr>
        <w:lastRenderedPageBreak/>
        <w:t xml:space="preserve">Figure 3 </w:t>
      </w:r>
      <w:r w:rsidR="00D8776E" w:rsidRPr="00D8776E">
        <w:rPr>
          <w:rFonts w:ascii="Arial" w:hAnsi="Arial"/>
          <w:sz w:val="22"/>
          <w:szCs w:val="24"/>
        </w:rPr>
        <w:t>below</w:t>
      </w:r>
      <w:r w:rsidR="00D8776E" w:rsidRPr="00D8776E">
        <w:rPr>
          <w:rFonts w:ascii="Arial" w:hAnsi="Arial"/>
          <w:b/>
          <w:sz w:val="22"/>
          <w:szCs w:val="24"/>
        </w:rPr>
        <w:t xml:space="preserve"> </w:t>
      </w:r>
      <w:r w:rsidRPr="00D8776E">
        <w:rPr>
          <w:rFonts w:ascii="Arial" w:hAnsi="Arial"/>
          <w:sz w:val="22"/>
          <w:szCs w:val="24"/>
        </w:rPr>
        <w:t xml:space="preserve">shows the proportion of White and BAME staff in each of the career band within the Medical and Dental workforce. </w:t>
      </w:r>
    </w:p>
    <w:p w14:paraId="627B3894" w14:textId="77777777" w:rsidR="00B4262F" w:rsidRDefault="00B4262F" w:rsidP="003D262B">
      <w:pPr>
        <w:pStyle w:val="NoSpacing"/>
        <w:jc w:val="both"/>
        <w:rPr>
          <w:rFonts w:ascii="Arial" w:hAnsi="Arial"/>
          <w:sz w:val="24"/>
          <w:szCs w:val="24"/>
        </w:rPr>
      </w:pPr>
    </w:p>
    <w:p w14:paraId="2C365F15" w14:textId="77777777" w:rsidR="00B4262F" w:rsidRDefault="00B4262F" w:rsidP="003D262B">
      <w:pPr>
        <w:pStyle w:val="NoSpacing"/>
        <w:jc w:val="both"/>
        <w:rPr>
          <w:rFonts w:ascii="Arial" w:hAnsi="Arial"/>
          <w:sz w:val="24"/>
          <w:szCs w:val="24"/>
        </w:rPr>
      </w:pPr>
    </w:p>
    <w:p w14:paraId="3CEA6FE3" w14:textId="77777777" w:rsidR="00B4262F" w:rsidRPr="003469A8" w:rsidRDefault="00B4262F" w:rsidP="003D262B">
      <w:pPr>
        <w:pStyle w:val="NoSpacing"/>
        <w:jc w:val="both"/>
        <w:rPr>
          <w:rFonts w:ascii="Arial" w:hAnsi="Arial"/>
          <w:sz w:val="24"/>
          <w:szCs w:val="24"/>
        </w:rPr>
      </w:pPr>
      <w:r>
        <w:rPr>
          <w:rFonts w:ascii="Arial" w:hAnsi="Arial"/>
          <w:noProof/>
          <w:sz w:val="24"/>
          <w:szCs w:val="24"/>
        </w:rPr>
        <w:drawing>
          <wp:inline distT="0" distB="0" distL="0" distR="0" wp14:anchorId="5C1E9C79" wp14:editId="1D65BC41">
            <wp:extent cx="5288280" cy="2332317"/>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86326" cy="2331455"/>
                    </a:xfrm>
                    <a:prstGeom prst="rect">
                      <a:avLst/>
                    </a:prstGeom>
                    <a:noFill/>
                  </pic:spPr>
                </pic:pic>
              </a:graphicData>
            </a:graphic>
          </wp:inline>
        </w:drawing>
      </w:r>
    </w:p>
    <w:p w14:paraId="08D32758" w14:textId="77777777" w:rsidR="00B4262F" w:rsidRDefault="00B4262F">
      <w:pPr>
        <w:spacing w:after="160" w:line="259" w:lineRule="auto"/>
        <w:rPr>
          <w:rFonts w:ascii="Arial" w:hAnsi="Arial"/>
          <w:b/>
          <w:sz w:val="24"/>
          <w:szCs w:val="24"/>
        </w:rPr>
      </w:pPr>
    </w:p>
    <w:p w14:paraId="27990036" w14:textId="77777777" w:rsidR="00B4262F" w:rsidRPr="00D8776E" w:rsidRDefault="00B4262F" w:rsidP="00B4262F">
      <w:pPr>
        <w:pStyle w:val="NoSpacing"/>
        <w:jc w:val="both"/>
        <w:rPr>
          <w:rFonts w:ascii="Arial" w:hAnsi="Arial"/>
          <w:sz w:val="22"/>
        </w:rPr>
      </w:pPr>
      <w:r w:rsidRPr="00D8776E">
        <w:rPr>
          <w:rFonts w:ascii="Arial" w:hAnsi="Arial"/>
          <w:sz w:val="22"/>
        </w:rPr>
        <w:t>In summary, the data shows:</w:t>
      </w:r>
    </w:p>
    <w:p w14:paraId="33A9D5A9" w14:textId="77777777" w:rsidR="00B4262F" w:rsidRPr="00D8776E" w:rsidRDefault="00B4262F" w:rsidP="00B4262F">
      <w:pPr>
        <w:numPr>
          <w:ilvl w:val="0"/>
          <w:numId w:val="4"/>
        </w:numPr>
        <w:rPr>
          <w:rFonts w:ascii="Arial" w:hAnsi="Arial"/>
          <w:sz w:val="22"/>
        </w:rPr>
      </w:pPr>
      <w:r w:rsidRPr="00D8776E">
        <w:rPr>
          <w:rFonts w:ascii="Arial" w:hAnsi="Arial"/>
          <w:sz w:val="22"/>
        </w:rPr>
        <w:t>There has been a 2.2% and 3.4% respective increase in slight increases in the % of BAME consultants and non-consultants career grades.</w:t>
      </w:r>
    </w:p>
    <w:p w14:paraId="15767729" w14:textId="77777777" w:rsidR="00B4262F" w:rsidRPr="00D8776E" w:rsidRDefault="00B4262F" w:rsidP="00B4262F">
      <w:pPr>
        <w:numPr>
          <w:ilvl w:val="0"/>
          <w:numId w:val="4"/>
        </w:numPr>
        <w:rPr>
          <w:rFonts w:ascii="Arial" w:hAnsi="Arial"/>
          <w:sz w:val="22"/>
        </w:rPr>
      </w:pPr>
      <w:r w:rsidRPr="00D8776E">
        <w:rPr>
          <w:rFonts w:ascii="Arial" w:hAnsi="Arial"/>
          <w:sz w:val="22"/>
        </w:rPr>
        <w:t>There has been a 5.7% decrease in BAME representation at trainee grades.</w:t>
      </w:r>
    </w:p>
    <w:p w14:paraId="7CC60D4C" w14:textId="77777777" w:rsidR="00D8776E" w:rsidRDefault="00D8776E">
      <w:pPr>
        <w:spacing w:after="160" w:line="259" w:lineRule="auto"/>
        <w:rPr>
          <w:rFonts w:ascii="Arial" w:hAnsi="Arial"/>
          <w:b/>
          <w:sz w:val="22"/>
          <w:szCs w:val="24"/>
        </w:rPr>
      </w:pPr>
    </w:p>
    <w:p w14:paraId="54F91FA8" w14:textId="77777777" w:rsidR="00653450" w:rsidRDefault="00F613AB" w:rsidP="001D3225">
      <w:pPr>
        <w:jc w:val="both"/>
        <w:rPr>
          <w:rFonts w:ascii="Arial" w:hAnsi="Arial"/>
          <w:sz w:val="24"/>
          <w:szCs w:val="24"/>
        </w:rPr>
      </w:pPr>
      <w:r w:rsidRPr="00653450">
        <w:rPr>
          <w:rFonts w:ascii="Arial" w:hAnsi="Arial"/>
          <w:b/>
          <w:sz w:val="24"/>
          <w:szCs w:val="24"/>
        </w:rPr>
        <w:t>Indicator 2</w:t>
      </w:r>
      <w:r w:rsidRPr="00653450">
        <w:rPr>
          <w:rFonts w:ascii="Arial" w:hAnsi="Arial"/>
          <w:sz w:val="24"/>
          <w:szCs w:val="24"/>
        </w:rPr>
        <w:t xml:space="preserve"> </w:t>
      </w:r>
    </w:p>
    <w:p w14:paraId="74406464" w14:textId="77777777" w:rsidR="00431FF5" w:rsidRDefault="00431FF5" w:rsidP="001D3225">
      <w:pPr>
        <w:jc w:val="both"/>
        <w:rPr>
          <w:rFonts w:ascii="Arial" w:hAnsi="Arial"/>
          <w:sz w:val="24"/>
          <w:szCs w:val="24"/>
        </w:rPr>
      </w:pPr>
    </w:p>
    <w:tbl>
      <w:tblPr>
        <w:tblStyle w:val="TableGrid"/>
        <w:tblW w:w="9634" w:type="dxa"/>
        <w:tblLook w:val="04A0" w:firstRow="1" w:lastRow="0" w:firstColumn="1" w:lastColumn="0" w:noHBand="0" w:noVBand="1"/>
      </w:tblPr>
      <w:tblGrid>
        <w:gridCol w:w="4077"/>
        <w:gridCol w:w="2268"/>
        <w:gridCol w:w="1985"/>
        <w:gridCol w:w="1304"/>
      </w:tblGrid>
      <w:tr w:rsidR="00F613AB" w:rsidRPr="00D8776E" w14:paraId="251AA156" w14:textId="77777777" w:rsidTr="00D8776E">
        <w:tc>
          <w:tcPr>
            <w:tcW w:w="4077" w:type="dxa"/>
          </w:tcPr>
          <w:p w14:paraId="655853E6" w14:textId="77777777" w:rsidR="00F613AB" w:rsidRPr="00D8776E" w:rsidRDefault="00F613AB">
            <w:pPr>
              <w:rPr>
                <w:rFonts w:ascii="Arial" w:hAnsi="Arial"/>
                <w:sz w:val="22"/>
                <w:szCs w:val="24"/>
              </w:rPr>
            </w:pPr>
          </w:p>
        </w:tc>
        <w:tc>
          <w:tcPr>
            <w:tcW w:w="2268" w:type="dxa"/>
          </w:tcPr>
          <w:p w14:paraId="08979D43" w14:textId="77777777" w:rsidR="00F613AB" w:rsidRPr="00D8776E" w:rsidRDefault="00F613AB">
            <w:pPr>
              <w:rPr>
                <w:rFonts w:ascii="Arial" w:hAnsi="Arial"/>
                <w:sz w:val="22"/>
                <w:szCs w:val="24"/>
              </w:rPr>
            </w:pPr>
            <w:r w:rsidRPr="00D8776E">
              <w:rPr>
                <w:rFonts w:ascii="Arial" w:hAnsi="Arial"/>
                <w:sz w:val="22"/>
                <w:szCs w:val="24"/>
              </w:rPr>
              <w:t>Relative likelihood in 2020</w:t>
            </w:r>
          </w:p>
        </w:tc>
        <w:tc>
          <w:tcPr>
            <w:tcW w:w="1985" w:type="dxa"/>
          </w:tcPr>
          <w:p w14:paraId="3B78CCBC" w14:textId="77777777" w:rsidR="00F613AB" w:rsidRPr="00D8776E" w:rsidRDefault="00F613AB">
            <w:pPr>
              <w:rPr>
                <w:rFonts w:ascii="Arial" w:hAnsi="Arial"/>
                <w:sz w:val="22"/>
                <w:szCs w:val="24"/>
              </w:rPr>
            </w:pPr>
            <w:r w:rsidRPr="00D8776E">
              <w:rPr>
                <w:rFonts w:ascii="Arial" w:hAnsi="Arial"/>
                <w:sz w:val="22"/>
                <w:szCs w:val="24"/>
              </w:rPr>
              <w:t>Relative likelihood in 2021</w:t>
            </w:r>
          </w:p>
        </w:tc>
        <w:tc>
          <w:tcPr>
            <w:tcW w:w="1304" w:type="dxa"/>
          </w:tcPr>
          <w:p w14:paraId="24532762" w14:textId="77777777" w:rsidR="00F613AB" w:rsidRPr="00D8776E" w:rsidRDefault="00F613AB">
            <w:pPr>
              <w:rPr>
                <w:rFonts w:ascii="Arial" w:hAnsi="Arial"/>
                <w:sz w:val="22"/>
                <w:szCs w:val="24"/>
              </w:rPr>
            </w:pPr>
            <w:r w:rsidRPr="00D8776E">
              <w:rPr>
                <w:rFonts w:ascii="Arial" w:hAnsi="Arial"/>
                <w:sz w:val="22"/>
                <w:szCs w:val="24"/>
              </w:rPr>
              <w:t>Difference +/-</w:t>
            </w:r>
          </w:p>
        </w:tc>
      </w:tr>
      <w:tr w:rsidR="00F613AB" w:rsidRPr="00D8776E" w14:paraId="0B89587B" w14:textId="77777777" w:rsidTr="00D8776E">
        <w:tc>
          <w:tcPr>
            <w:tcW w:w="4077" w:type="dxa"/>
          </w:tcPr>
          <w:p w14:paraId="09AC25B4" w14:textId="77777777" w:rsidR="00F613AB" w:rsidRPr="00D8776E" w:rsidRDefault="00F613AB">
            <w:pPr>
              <w:rPr>
                <w:rFonts w:ascii="Arial" w:hAnsi="Arial"/>
                <w:bCs/>
                <w:sz w:val="22"/>
                <w:szCs w:val="24"/>
              </w:rPr>
            </w:pPr>
            <w:r w:rsidRPr="00D8776E">
              <w:rPr>
                <w:rFonts w:ascii="Arial" w:hAnsi="Arial"/>
                <w:bCs/>
                <w:sz w:val="22"/>
                <w:szCs w:val="24"/>
              </w:rPr>
              <w:t>Relative likelihood of White staff being appointed from shortlisting compared to BAME staff</w:t>
            </w:r>
            <w:r w:rsidR="006A5D39" w:rsidRPr="00D8776E">
              <w:rPr>
                <w:rFonts w:ascii="Arial" w:hAnsi="Arial"/>
                <w:bCs/>
                <w:sz w:val="22"/>
                <w:szCs w:val="24"/>
              </w:rPr>
              <w:t>.</w:t>
            </w:r>
          </w:p>
        </w:tc>
        <w:tc>
          <w:tcPr>
            <w:tcW w:w="2268" w:type="dxa"/>
          </w:tcPr>
          <w:p w14:paraId="2C2F2C7B" w14:textId="77777777" w:rsidR="00F613AB" w:rsidRPr="00D8776E" w:rsidRDefault="002A3564">
            <w:pPr>
              <w:rPr>
                <w:rFonts w:ascii="Arial" w:hAnsi="Arial"/>
                <w:sz w:val="22"/>
                <w:szCs w:val="24"/>
              </w:rPr>
            </w:pPr>
            <w:r w:rsidRPr="00D8776E">
              <w:rPr>
                <w:rFonts w:ascii="Arial" w:hAnsi="Arial"/>
                <w:sz w:val="22"/>
                <w:szCs w:val="24"/>
              </w:rPr>
              <w:t>3.42</w:t>
            </w:r>
          </w:p>
        </w:tc>
        <w:tc>
          <w:tcPr>
            <w:tcW w:w="1985" w:type="dxa"/>
          </w:tcPr>
          <w:p w14:paraId="28CA261A" w14:textId="77777777" w:rsidR="00F613AB" w:rsidRPr="00D8776E" w:rsidRDefault="002A3564">
            <w:pPr>
              <w:rPr>
                <w:rFonts w:ascii="Arial" w:hAnsi="Arial"/>
                <w:sz w:val="22"/>
                <w:szCs w:val="24"/>
              </w:rPr>
            </w:pPr>
            <w:r w:rsidRPr="00D8776E">
              <w:rPr>
                <w:rFonts w:ascii="Arial" w:hAnsi="Arial"/>
                <w:sz w:val="22"/>
                <w:szCs w:val="24"/>
              </w:rPr>
              <w:t>2.43</w:t>
            </w:r>
          </w:p>
        </w:tc>
        <w:tc>
          <w:tcPr>
            <w:tcW w:w="1304" w:type="dxa"/>
          </w:tcPr>
          <w:p w14:paraId="6E248EDB" w14:textId="77777777" w:rsidR="00F613AB" w:rsidRPr="00D8776E" w:rsidRDefault="002A3564">
            <w:pPr>
              <w:rPr>
                <w:rFonts w:ascii="Arial" w:hAnsi="Arial"/>
                <w:sz w:val="22"/>
                <w:szCs w:val="24"/>
              </w:rPr>
            </w:pPr>
            <w:r w:rsidRPr="00D8776E">
              <w:rPr>
                <w:rFonts w:ascii="Arial" w:hAnsi="Arial"/>
                <w:sz w:val="22"/>
                <w:szCs w:val="24"/>
              </w:rPr>
              <w:t>-0.99</w:t>
            </w:r>
          </w:p>
        </w:tc>
      </w:tr>
    </w:tbl>
    <w:p w14:paraId="2F140FF8" w14:textId="77777777" w:rsidR="00F613AB" w:rsidRDefault="00F613AB">
      <w:pPr>
        <w:rPr>
          <w:rFonts w:ascii="Arial" w:hAnsi="Arial"/>
          <w:sz w:val="24"/>
          <w:szCs w:val="24"/>
        </w:rPr>
      </w:pPr>
    </w:p>
    <w:p w14:paraId="2FB57A28" w14:textId="77777777" w:rsidR="00F613AB" w:rsidRPr="00D8776E" w:rsidRDefault="00F613AB" w:rsidP="001D3225">
      <w:pPr>
        <w:jc w:val="both"/>
        <w:rPr>
          <w:rFonts w:ascii="Arial" w:hAnsi="Arial"/>
          <w:sz w:val="22"/>
          <w:szCs w:val="24"/>
        </w:rPr>
      </w:pPr>
      <w:r w:rsidRPr="00D8776E">
        <w:rPr>
          <w:rFonts w:ascii="Arial" w:hAnsi="Arial"/>
          <w:sz w:val="22"/>
          <w:szCs w:val="24"/>
        </w:rPr>
        <w:t>Analysis of recruitme</w:t>
      </w:r>
      <w:r w:rsidR="002A3564" w:rsidRPr="00D8776E">
        <w:rPr>
          <w:rFonts w:ascii="Arial" w:hAnsi="Arial"/>
          <w:sz w:val="22"/>
          <w:szCs w:val="24"/>
        </w:rPr>
        <w:t xml:space="preserve">nt data </w:t>
      </w:r>
      <w:r w:rsidR="00431FF5" w:rsidRPr="00D8776E">
        <w:rPr>
          <w:rFonts w:ascii="Arial" w:hAnsi="Arial"/>
          <w:sz w:val="22"/>
          <w:szCs w:val="24"/>
        </w:rPr>
        <w:t xml:space="preserve">shows that there </w:t>
      </w:r>
      <w:r w:rsidR="002A3564" w:rsidRPr="00D8776E">
        <w:rPr>
          <w:rFonts w:ascii="Arial" w:hAnsi="Arial"/>
          <w:sz w:val="22"/>
          <w:szCs w:val="24"/>
        </w:rPr>
        <w:t>has been an improvement</w:t>
      </w:r>
      <w:r w:rsidRPr="00D8776E">
        <w:rPr>
          <w:rFonts w:ascii="Arial" w:hAnsi="Arial"/>
          <w:sz w:val="22"/>
          <w:szCs w:val="24"/>
        </w:rPr>
        <w:t xml:space="preserve"> in the relat</w:t>
      </w:r>
      <w:r w:rsidR="00E13359" w:rsidRPr="00D8776E">
        <w:rPr>
          <w:rFonts w:ascii="Arial" w:hAnsi="Arial"/>
          <w:sz w:val="22"/>
          <w:szCs w:val="24"/>
        </w:rPr>
        <w:t xml:space="preserve">ive likelihood that White staff </w:t>
      </w:r>
      <w:r w:rsidRPr="00D8776E">
        <w:rPr>
          <w:rFonts w:ascii="Arial" w:hAnsi="Arial"/>
          <w:sz w:val="22"/>
          <w:szCs w:val="24"/>
        </w:rPr>
        <w:t>are appointed from shortlisting compared to BAME staff.</w:t>
      </w:r>
      <w:r w:rsidR="006A5D39" w:rsidRPr="00D8776E">
        <w:rPr>
          <w:rFonts w:ascii="Arial" w:hAnsi="Arial"/>
          <w:sz w:val="22"/>
          <w:szCs w:val="24"/>
        </w:rPr>
        <w:t xml:space="preserve"> </w:t>
      </w:r>
      <w:r w:rsidR="002A3564" w:rsidRPr="00D8776E">
        <w:rPr>
          <w:rFonts w:ascii="Arial" w:hAnsi="Arial"/>
          <w:sz w:val="22"/>
          <w:szCs w:val="24"/>
        </w:rPr>
        <w:t>However</w:t>
      </w:r>
      <w:r w:rsidR="00E43E70" w:rsidRPr="00D8776E">
        <w:rPr>
          <w:rFonts w:ascii="Arial" w:hAnsi="Arial"/>
          <w:sz w:val="22"/>
          <w:szCs w:val="24"/>
        </w:rPr>
        <w:t>,</w:t>
      </w:r>
      <w:r w:rsidR="002A3564" w:rsidRPr="00D8776E">
        <w:rPr>
          <w:rFonts w:ascii="Arial" w:hAnsi="Arial"/>
          <w:sz w:val="22"/>
          <w:szCs w:val="24"/>
        </w:rPr>
        <w:t xml:space="preserve"> these figures do not include</w:t>
      </w:r>
      <w:r w:rsidR="00431FF5" w:rsidRPr="00D8776E">
        <w:rPr>
          <w:rFonts w:ascii="Arial" w:hAnsi="Arial"/>
          <w:sz w:val="22"/>
          <w:szCs w:val="24"/>
        </w:rPr>
        <w:t xml:space="preserve"> our</w:t>
      </w:r>
      <w:r w:rsidR="002A3564" w:rsidRPr="00D8776E">
        <w:rPr>
          <w:rFonts w:ascii="Arial" w:hAnsi="Arial"/>
          <w:sz w:val="22"/>
          <w:szCs w:val="24"/>
        </w:rPr>
        <w:t xml:space="preserve"> </w:t>
      </w:r>
      <w:r w:rsidR="00FE570A" w:rsidRPr="00D8776E">
        <w:rPr>
          <w:rFonts w:ascii="Arial" w:hAnsi="Arial"/>
          <w:sz w:val="22"/>
          <w:szCs w:val="24"/>
        </w:rPr>
        <w:t>i</w:t>
      </w:r>
      <w:r w:rsidR="006A5D39" w:rsidRPr="00D8776E">
        <w:rPr>
          <w:rFonts w:ascii="Arial" w:hAnsi="Arial"/>
          <w:sz w:val="22"/>
          <w:szCs w:val="24"/>
        </w:rPr>
        <w:t>nternationally recruited staff as their applications we</w:t>
      </w:r>
      <w:r w:rsidR="002A3564" w:rsidRPr="00D8776E">
        <w:rPr>
          <w:rFonts w:ascii="Arial" w:hAnsi="Arial"/>
          <w:sz w:val="22"/>
          <w:szCs w:val="24"/>
        </w:rPr>
        <w:t>re not processed using the standard</w:t>
      </w:r>
      <w:r w:rsidR="006A5D39" w:rsidRPr="00D8776E">
        <w:rPr>
          <w:rFonts w:ascii="Arial" w:hAnsi="Arial"/>
          <w:sz w:val="22"/>
          <w:szCs w:val="24"/>
        </w:rPr>
        <w:t xml:space="preserve"> Trust recruitment systems and processes.</w:t>
      </w:r>
      <w:r w:rsidR="002A3564" w:rsidRPr="00D8776E">
        <w:rPr>
          <w:rFonts w:ascii="Arial" w:hAnsi="Arial"/>
          <w:sz w:val="22"/>
          <w:szCs w:val="24"/>
        </w:rPr>
        <w:t xml:space="preserve"> This is demonstrated by the retrospective change in 2020 figure but still shows improvement.</w:t>
      </w:r>
    </w:p>
    <w:p w14:paraId="601C1AEF" w14:textId="77777777" w:rsidR="00F613AB" w:rsidRDefault="00F613AB" w:rsidP="001D3225">
      <w:pPr>
        <w:jc w:val="both"/>
        <w:rPr>
          <w:rFonts w:ascii="Arial" w:hAnsi="Arial"/>
          <w:sz w:val="24"/>
          <w:szCs w:val="24"/>
        </w:rPr>
      </w:pPr>
    </w:p>
    <w:p w14:paraId="31422AD3" w14:textId="77777777" w:rsidR="00653450" w:rsidRDefault="00653450" w:rsidP="001D3225">
      <w:pPr>
        <w:jc w:val="both"/>
        <w:rPr>
          <w:rFonts w:ascii="Arial" w:hAnsi="Arial"/>
          <w:b/>
          <w:sz w:val="24"/>
          <w:szCs w:val="24"/>
        </w:rPr>
      </w:pPr>
      <w:r>
        <w:rPr>
          <w:rFonts w:ascii="Arial" w:hAnsi="Arial"/>
          <w:b/>
          <w:sz w:val="24"/>
          <w:szCs w:val="24"/>
        </w:rPr>
        <w:t>Indicator 3</w:t>
      </w:r>
    </w:p>
    <w:p w14:paraId="5271BEFC" w14:textId="77777777" w:rsidR="006A5D39" w:rsidRDefault="006A5D39">
      <w:pPr>
        <w:rPr>
          <w:rFonts w:ascii="Arial" w:hAnsi="Arial"/>
          <w:sz w:val="24"/>
          <w:szCs w:val="24"/>
        </w:rPr>
      </w:pPr>
    </w:p>
    <w:tbl>
      <w:tblPr>
        <w:tblStyle w:val="TableGrid"/>
        <w:tblW w:w="9634" w:type="dxa"/>
        <w:tblLook w:val="04A0" w:firstRow="1" w:lastRow="0" w:firstColumn="1" w:lastColumn="0" w:noHBand="0" w:noVBand="1"/>
      </w:tblPr>
      <w:tblGrid>
        <w:gridCol w:w="4077"/>
        <w:gridCol w:w="2268"/>
        <w:gridCol w:w="1985"/>
        <w:gridCol w:w="1304"/>
      </w:tblGrid>
      <w:tr w:rsidR="006A5D39" w:rsidRPr="00D8776E" w14:paraId="5B7F1BCD" w14:textId="77777777" w:rsidTr="00D8776E">
        <w:tc>
          <w:tcPr>
            <w:tcW w:w="4077" w:type="dxa"/>
          </w:tcPr>
          <w:p w14:paraId="70B8BDAF" w14:textId="77777777" w:rsidR="006A5D39" w:rsidRPr="00D8776E" w:rsidRDefault="006A5D39" w:rsidP="00B3687F">
            <w:pPr>
              <w:rPr>
                <w:rFonts w:ascii="Arial" w:hAnsi="Arial"/>
                <w:sz w:val="22"/>
                <w:szCs w:val="24"/>
              </w:rPr>
            </w:pPr>
          </w:p>
        </w:tc>
        <w:tc>
          <w:tcPr>
            <w:tcW w:w="2268" w:type="dxa"/>
          </w:tcPr>
          <w:p w14:paraId="7A51D13D" w14:textId="77777777" w:rsidR="006A5D39" w:rsidRPr="00D8776E" w:rsidRDefault="006A5D39" w:rsidP="00B3687F">
            <w:pPr>
              <w:rPr>
                <w:rFonts w:ascii="Arial" w:hAnsi="Arial"/>
                <w:sz w:val="22"/>
                <w:szCs w:val="24"/>
              </w:rPr>
            </w:pPr>
            <w:r w:rsidRPr="00D8776E">
              <w:rPr>
                <w:rFonts w:ascii="Arial" w:hAnsi="Arial"/>
                <w:sz w:val="22"/>
                <w:szCs w:val="24"/>
              </w:rPr>
              <w:t>Relative likelihood in 2020</w:t>
            </w:r>
          </w:p>
        </w:tc>
        <w:tc>
          <w:tcPr>
            <w:tcW w:w="1985" w:type="dxa"/>
          </w:tcPr>
          <w:p w14:paraId="2FD51C4E" w14:textId="77777777" w:rsidR="006A5D39" w:rsidRPr="00D8776E" w:rsidRDefault="006A5D39" w:rsidP="00B3687F">
            <w:pPr>
              <w:rPr>
                <w:rFonts w:ascii="Arial" w:hAnsi="Arial"/>
                <w:sz w:val="22"/>
                <w:szCs w:val="24"/>
              </w:rPr>
            </w:pPr>
            <w:r w:rsidRPr="00D8776E">
              <w:rPr>
                <w:rFonts w:ascii="Arial" w:hAnsi="Arial"/>
                <w:sz w:val="22"/>
                <w:szCs w:val="24"/>
              </w:rPr>
              <w:t>Relative likelihood in 2021</w:t>
            </w:r>
          </w:p>
        </w:tc>
        <w:tc>
          <w:tcPr>
            <w:tcW w:w="1304" w:type="dxa"/>
          </w:tcPr>
          <w:p w14:paraId="1DAB9BA7" w14:textId="77777777" w:rsidR="006A5D39" w:rsidRPr="00D8776E" w:rsidRDefault="006A5D39" w:rsidP="00B3687F">
            <w:pPr>
              <w:rPr>
                <w:rFonts w:ascii="Arial" w:hAnsi="Arial"/>
                <w:sz w:val="22"/>
                <w:szCs w:val="24"/>
              </w:rPr>
            </w:pPr>
            <w:r w:rsidRPr="00D8776E">
              <w:rPr>
                <w:rFonts w:ascii="Arial" w:hAnsi="Arial"/>
                <w:sz w:val="22"/>
                <w:szCs w:val="24"/>
              </w:rPr>
              <w:t>Difference +/-</w:t>
            </w:r>
          </w:p>
        </w:tc>
      </w:tr>
      <w:tr w:rsidR="006A5D39" w:rsidRPr="00D8776E" w14:paraId="644BABF6" w14:textId="77777777" w:rsidTr="00D8776E">
        <w:tc>
          <w:tcPr>
            <w:tcW w:w="4077" w:type="dxa"/>
          </w:tcPr>
          <w:p w14:paraId="365A61E9" w14:textId="77777777" w:rsidR="006A5D39" w:rsidRPr="00D8776E" w:rsidRDefault="006A5D39" w:rsidP="00B3687F">
            <w:pPr>
              <w:rPr>
                <w:rFonts w:ascii="Arial" w:hAnsi="Arial"/>
                <w:bCs/>
                <w:sz w:val="22"/>
                <w:szCs w:val="24"/>
              </w:rPr>
            </w:pPr>
            <w:r w:rsidRPr="00D8776E">
              <w:rPr>
                <w:rFonts w:ascii="Arial" w:hAnsi="Arial"/>
                <w:sz w:val="22"/>
                <w:szCs w:val="24"/>
              </w:rPr>
              <w:t>Relative likelihood of BAME staff entering the formal disciplinary process compared to that of White staff.</w:t>
            </w:r>
          </w:p>
        </w:tc>
        <w:tc>
          <w:tcPr>
            <w:tcW w:w="2268" w:type="dxa"/>
          </w:tcPr>
          <w:p w14:paraId="446B0AB3" w14:textId="77777777" w:rsidR="006A5D39" w:rsidRPr="00D8776E" w:rsidRDefault="007453CA" w:rsidP="00B3687F">
            <w:pPr>
              <w:rPr>
                <w:rFonts w:ascii="Arial" w:hAnsi="Arial"/>
                <w:sz w:val="22"/>
                <w:szCs w:val="24"/>
              </w:rPr>
            </w:pPr>
            <w:r w:rsidRPr="00D8776E">
              <w:rPr>
                <w:rFonts w:ascii="Arial" w:hAnsi="Arial"/>
                <w:sz w:val="22"/>
                <w:szCs w:val="24"/>
              </w:rPr>
              <w:t>1.47</w:t>
            </w:r>
          </w:p>
        </w:tc>
        <w:tc>
          <w:tcPr>
            <w:tcW w:w="1985" w:type="dxa"/>
          </w:tcPr>
          <w:p w14:paraId="598653CF" w14:textId="77777777" w:rsidR="006A5D39" w:rsidRPr="00D8776E" w:rsidRDefault="007453CA" w:rsidP="00B3687F">
            <w:pPr>
              <w:rPr>
                <w:rFonts w:ascii="Arial" w:hAnsi="Arial"/>
                <w:sz w:val="22"/>
                <w:szCs w:val="24"/>
              </w:rPr>
            </w:pPr>
            <w:r w:rsidRPr="00D8776E">
              <w:rPr>
                <w:rFonts w:ascii="Arial" w:hAnsi="Arial"/>
                <w:sz w:val="22"/>
                <w:szCs w:val="24"/>
              </w:rPr>
              <w:t>1.14</w:t>
            </w:r>
          </w:p>
        </w:tc>
        <w:tc>
          <w:tcPr>
            <w:tcW w:w="1304" w:type="dxa"/>
          </w:tcPr>
          <w:p w14:paraId="114A23CA" w14:textId="77777777" w:rsidR="006A5D39" w:rsidRPr="00D8776E" w:rsidRDefault="007453CA" w:rsidP="00B3687F">
            <w:pPr>
              <w:rPr>
                <w:rFonts w:ascii="Arial" w:hAnsi="Arial"/>
                <w:sz w:val="22"/>
                <w:szCs w:val="24"/>
              </w:rPr>
            </w:pPr>
            <w:r w:rsidRPr="00D8776E">
              <w:rPr>
                <w:rFonts w:ascii="Arial" w:hAnsi="Arial"/>
                <w:sz w:val="22"/>
                <w:szCs w:val="24"/>
              </w:rPr>
              <w:t>-0.33</w:t>
            </w:r>
          </w:p>
        </w:tc>
      </w:tr>
    </w:tbl>
    <w:p w14:paraId="4610E352" w14:textId="77777777" w:rsidR="00D8776E" w:rsidRDefault="00D8776E" w:rsidP="00D737E1">
      <w:pPr>
        <w:rPr>
          <w:rFonts w:ascii="Arial" w:hAnsi="Arial"/>
          <w:sz w:val="22"/>
          <w:szCs w:val="24"/>
        </w:rPr>
      </w:pPr>
    </w:p>
    <w:p w14:paraId="10ED8A4C" w14:textId="77777777" w:rsidR="00D737E1" w:rsidRPr="00D8776E" w:rsidRDefault="00D737E1" w:rsidP="00D737E1">
      <w:pPr>
        <w:rPr>
          <w:rFonts w:ascii="Arial" w:hAnsi="Arial"/>
          <w:sz w:val="22"/>
          <w:szCs w:val="24"/>
        </w:rPr>
      </w:pPr>
      <w:r w:rsidRPr="00D8776E">
        <w:rPr>
          <w:rFonts w:ascii="Arial" w:hAnsi="Arial"/>
          <w:sz w:val="22"/>
          <w:szCs w:val="24"/>
        </w:rPr>
        <w:t xml:space="preserve">There has been a small reduction in the relative likelihood that BAME staff will be entered into formal disciplinary process compared to that of White staff. </w:t>
      </w:r>
    </w:p>
    <w:p w14:paraId="03DF405B" w14:textId="77777777" w:rsidR="006A5D39" w:rsidRDefault="006A5D39">
      <w:pPr>
        <w:rPr>
          <w:rFonts w:ascii="Arial" w:hAnsi="Arial"/>
          <w:sz w:val="24"/>
          <w:szCs w:val="24"/>
        </w:rPr>
      </w:pPr>
    </w:p>
    <w:p w14:paraId="26B4A61F" w14:textId="77777777" w:rsidR="00D8776E" w:rsidRDefault="00D8776E" w:rsidP="005E6499">
      <w:pPr>
        <w:rPr>
          <w:rFonts w:ascii="Arial" w:hAnsi="Arial"/>
          <w:b/>
          <w:sz w:val="24"/>
          <w:szCs w:val="24"/>
        </w:rPr>
      </w:pPr>
    </w:p>
    <w:p w14:paraId="7B55BC8A" w14:textId="77777777" w:rsidR="006A5D39" w:rsidRDefault="006A5D39" w:rsidP="005E6499">
      <w:pPr>
        <w:rPr>
          <w:rFonts w:ascii="Arial" w:hAnsi="Arial"/>
          <w:sz w:val="24"/>
          <w:szCs w:val="24"/>
        </w:rPr>
      </w:pPr>
      <w:r w:rsidRPr="006A5D39">
        <w:rPr>
          <w:rFonts w:ascii="Arial" w:hAnsi="Arial"/>
          <w:b/>
          <w:sz w:val="24"/>
          <w:szCs w:val="24"/>
        </w:rPr>
        <w:lastRenderedPageBreak/>
        <w:t>Indicator 4</w:t>
      </w:r>
    </w:p>
    <w:tbl>
      <w:tblPr>
        <w:tblStyle w:val="TableGrid"/>
        <w:tblW w:w="9634" w:type="dxa"/>
        <w:tblLook w:val="04A0" w:firstRow="1" w:lastRow="0" w:firstColumn="1" w:lastColumn="0" w:noHBand="0" w:noVBand="1"/>
      </w:tblPr>
      <w:tblGrid>
        <w:gridCol w:w="4077"/>
        <w:gridCol w:w="2268"/>
        <w:gridCol w:w="1985"/>
        <w:gridCol w:w="1304"/>
      </w:tblGrid>
      <w:tr w:rsidR="006A5D39" w:rsidRPr="00D8776E" w14:paraId="131A7BF5" w14:textId="77777777" w:rsidTr="00D8776E">
        <w:tc>
          <w:tcPr>
            <w:tcW w:w="4077" w:type="dxa"/>
          </w:tcPr>
          <w:p w14:paraId="232EECB3" w14:textId="77777777" w:rsidR="006A5D39" w:rsidRPr="00D8776E" w:rsidRDefault="006A5D39" w:rsidP="00B3687F">
            <w:pPr>
              <w:rPr>
                <w:rFonts w:ascii="Arial" w:hAnsi="Arial"/>
                <w:sz w:val="22"/>
                <w:szCs w:val="24"/>
              </w:rPr>
            </w:pPr>
          </w:p>
        </w:tc>
        <w:tc>
          <w:tcPr>
            <w:tcW w:w="2268" w:type="dxa"/>
          </w:tcPr>
          <w:p w14:paraId="5A3B5E86" w14:textId="77777777" w:rsidR="006A5D39" w:rsidRPr="00D8776E" w:rsidRDefault="006A5D39" w:rsidP="00B3687F">
            <w:pPr>
              <w:rPr>
                <w:rFonts w:ascii="Arial" w:hAnsi="Arial"/>
                <w:sz w:val="22"/>
                <w:szCs w:val="24"/>
              </w:rPr>
            </w:pPr>
            <w:r w:rsidRPr="00D8776E">
              <w:rPr>
                <w:rFonts w:ascii="Arial" w:hAnsi="Arial"/>
                <w:sz w:val="22"/>
                <w:szCs w:val="24"/>
              </w:rPr>
              <w:t>Relative likelihood in 2020</w:t>
            </w:r>
          </w:p>
        </w:tc>
        <w:tc>
          <w:tcPr>
            <w:tcW w:w="1985" w:type="dxa"/>
          </w:tcPr>
          <w:p w14:paraId="32A6302B" w14:textId="77777777" w:rsidR="006A5D39" w:rsidRPr="00D8776E" w:rsidRDefault="006A5D39" w:rsidP="00B3687F">
            <w:pPr>
              <w:rPr>
                <w:rFonts w:ascii="Arial" w:hAnsi="Arial"/>
                <w:sz w:val="22"/>
                <w:szCs w:val="24"/>
              </w:rPr>
            </w:pPr>
            <w:r w:rsidRPr="00D8776E">
              <w:rPr>
                <w:rFonts w:ascii="Arial" w:hAnsi="Arial"/>
                <w:sz w:val="22"/>
                <w:szCs w:val="24"/>
              </w:rPr>
              <w:t>Relative likelihood in 2021</w:t>
            </w:r>
          </w:p>
        </w:tc>
        <w:tc>
          <w:tcPr>
            <w:tcW w:w="1304" w:type="dxa"/>
          </w:tcPr>
          <w:p w14:paraId="2C92B445" w14:textId="77777777" w:rsidR="006A5D39" w:rsidRPr="00D8776E" w:rsidRDefault="006A5D39" w:rsidP="00B3687F">
            <w:pPr>
              <w:rPr>
                <w:rFonts w:ascii="Arial" w:hAnsi="Arial"/>
                <w:sz w:val="22"/>
                <w:szCs w:val="24"/>
              </w:rPr>
            </w:pPr>
            <w:r w:rsidRPr="00D8776E">
              <w:rPr>
                <w:rFonts w:ascii="Arial" w:hAnsi="Arial"/>
                <w:sz w:val="22"/>
                <w:szCs w:val="24"/>
              </w:rPr>
              <w:t>Difference +/-</w:t>
            </w:r>
          </w:p>
        </w:tc>
      </w:tr>
      <w:tr w:rsidR="006A5D39" w:rsidRPr="00D8776E" w14:paraId="02FD27F2" w14:textId="77777777" w:rsidTr="00D8776E">
        <w:tc>
          <w:tcPr>
            <w:tcW w:w="4077" w:type="dxa"/>
          </w:tcPr>
          <w:p w14:paraId="7A122504" w14:textId="77777777" w:rsidR="006A5D39" w:rsidRPr="00D8776E" w:rsidRDefault="006A5D39" w:rsidP="002A3564">
            <w:pPr>
              <w:rPr>
                <w:rFonts w:ascii="Arial" w:hAnsi="Arial"/>
                <w:bCs/>
                <w:sz w:val="22"/>
                <w:szCs w:val="24"/>
              </w:rPr>
            </w:pPr>
            <w:r w:rsidRPr="00D8776E">
              <w:rPr>
                <w:rFonts w:ascii="Arial" w:hAnsi="Arial"/>
                <w:sz w:val="22"/>
                <w:szCs w:val="24"/>
              </w:rPr>
              <w:t>Relative likelihood of staff accessing non-mandatory training and continuous professional development (CPD).</w:t>
            </w:r>
          </w:p>
        </w:tc>
        <w:tc>
          <w:tcPr>
            <w:tcW w:w="2268" w:type="dxa"/>
          </w:tcPr>
          <w:p w14:paraId="25230171" w14:textId="77777777" w:rsidR="006A5D39" w:rsidRPr="00D8776E" w:rsidRDefault="005E6499" w:rsidP="002A3564">
            <w:pPr>
              <w:rPr>
                <w:rFonts w:ascii="Arial" w:hAnsi="Arial"/>
                <w:sz w:val="22"/>
                <w:szCs w:val="24"/>
              </w:rPr>
            </w:pPr>
            <w:r w:rsidRPr="00D8776E">
              <w:rPr>
                <w:rFonts w:ascii="Arial" w:hAnsi="Arial"/>
                <w:sz w:val="22"/>
                <w:szCs w:val="24"/>
              </w:rPr>
              <w:t>0.83</w:t>
            </w:r>
          </w:p>
        </w:tc>
        <w:tc>
          <w:tcPr>
            <w:tcW w:w="1985" w:type="dxa"/>
          </w:tcPr>
          <w:p w14:paraId="4AFB109C" w14:textId="77777777" w:rsidR="006A5D39" w:rsidRPr="00D8776E" w:rsidRDefault="005E6499" w:rsidP="002A3564">
            <w:pPr>
              <w:rPr>
                <w:rFonts w:ascii="Arial" w:hAnsi="Arial"/>
                <w:sz w:val="22"/>
                <w:szCs w:val="24"/>
              </w:rPr>
            </w:pPr>
            <w:r w:rsidRPr="00D8776E">
              <w:rPr>
                <w:rFonts w:ascii="Arial" w:hAnsi="Arial"/>
                <w:sz w:val="22"/>
                <w:szCs w:val="24"/>
              </w:rPr>
              <w:t>0.91</w:t>
            </w:r>
          </w:p>
        </w:tc>
        <w:tc>
          <w:tcPr>
            <w:tcW w:w="1304" w:type="dxa"/>
          </w:tcPr>
          <w:p w14:paraId="1CB9123B" w14:textId="77777777" w:rsidR="006A5D39" w:rsidRPr="00D8776E" w:rsidRDefault="005E6499" w:rsidP="002A3564">
            <w:pPr>
              <w:rPr>
                <w:rFonts w:ascii="Arial" w:hAnsi="Arial"/>
                <w:sz w:val="22"/>
                <w:szCs w:val="24"/>
              </w:rPr>
            </w:pPr>
            <w:r w:rsidRPr="00D8776E">
              <w:rPr>
                <w:rFonts w:ascii="Arial" w:hAnsi="Arial"/>
                <w:sz w:val="22"/>
                <w:szCs w:val="24"/>
              </w:rPr>
              <w:t>+0.08</w:t>
            </w:r>
          </w:p>
        </w:tc>
      </w:tr>
    </w:tbl>
    <w:p w14:paraId="44F21F78" w14:textId="77777777" w:rsidR="006A5D39" w:rsidRDefault="006A5D39" w:rsidP="002A3564">
      <w:pPr>
        <w:rPr>
          <w:rFonts w:ascii="Arial" w:hAnsi="Arial"/>
          <w:sz w:val="24"/>
          <w:szCs w:val="24"/>
        </w:rPr>
      </w:pPr>
    </w:p>
    <w:p w14:paraId="17AE0D0C" w14:textId="77777777" w:rsidR="006A5D39" w:rsidRPr="00D8776E" w:rsidRDefault="006A5D39" w:rsidP="002A3564">
      <w:pPr>
        <w:rPr>
          <w:rFonts w:ascii="Arial" w:hAnsi="Arial"/>
          <w:sz w:val="22"/>
          <w:szCs w:val="24"/>
        </w:rPr>
      </w:pPr>
      <w:r w:rsidRPr="00D8776E">
        <w:rPr>
          <w:rFonts w:ascii="Arial" w:hAnsi="Arial"/>
          <w:sz w:val="22"/>
          <w:szCs w:val="24"/>
        </w:rPr>
        <w:t>There has been a</w:t>
      </w:r>
      <w:r w:rsidR="007D453A" w:rsidRPr="00D8776E">
        <w:rPr>
          <w:rFonts w:ascii="Arial" w:hAnsi="Arial"/>
          <w:sz w:val="22"/>
          <w:szCs w:val="24"/>
        </w:rPr>
        <w:t xml:space="preserve"> </w:t>
      </w:r>
      <w:r w:rsidRPr="00D8776E">
        <w:rPr>
          <w:rFonts w:ascii="Arial" w:hAnsi="Arial"/>
          <w:sz w:val="22"/>
          <w:szCs w:val="24"/>
        </w:rPr>
        <w:t xml:space="preserve">small </w:t>
      </w:r>
      <w:r w:rsidR="00AD6691" w:rsidRPr="00D8776E">
        <w:rPr>
          <w:rFonts w:ascii="Arial" w:hAnsi="Arial"/>
          <w:sz w:val="22"/>
          <w:szCs w:val="24"/>
        </w:rPr>
        <w:t>increase</w:t>
      </w:r>
      <w:r w:rsidRPr="00D8776E">
        <w:rPr>
          <w:rFonts w:ascii="Arial" w:hAnsi="Arial"/>
          <w:sz w:val="22"/>
          <w:szCs w:val="24"/>
        </w:rPr>
        <w:t xml:space="preserve"> in the relative likelihood of BAME staff accessing non-mandatory training and continuous professional development </w:t>
      </w:r>
      <w:r w:rsidR="005E6499" w:rsidRPr="00D8776E">
        <w:rPr>
          <w:rFonts w:ascii="Arial" w:hAnsi="Arial"/>
          <w:sz w:val="22"/>
          <w:szCs w:val="24"/>
        </w:rPr>
        <w:t>(CPD), compared to White staff.</w:t>
      </w:r>
    </w:p>
    <w:p w14:paraId="0B3756A9" w14:textId="77777777" w:rsidR="00F900F8" w:rsidRDefault="00F900F8" w:rsidP="002A3564">
      <w:pPr>
        <w:rPr>
          <w:rFonts w:ascii="Arial" w:hAnsi="Arial"/>
          <w:sz w:val="24"/>
          <w:szCs w:val="24"/>
        </w:rPr>
      </w:pPr>
    </w:p>
    <w:p w14:paraId="650447F1" w14:textId="77777777" w:rsidR="00653450" w:rsidRDefault="006A5D39" w:rsidP="002A3564">
      <w:pPr>
        <w:rPr>
          <w:rFonts w:ascii="Arial" w:hAnsi="Arial"/>
          <w:b/>
          <w:sz w:val="24"/>
          <w:szCs w:val="24"/>
        </w:rPr>
      </w:pPr>
      <w:r w:rsidRPr="00F900F8">
        <w:rPr>
          <w:rFonts w:ascii="Arial" w:hAnsi="Arial"/>
          <w:b/>
          <w:sz w:val="24"/>
          <w:szCs w:val="24"/>
        </w:rPr>
        <w:t>Indicators 5-8</w:t>
      </w:r>
    </w:p>
    <w:p w14:paraId="7048CB61" w14:textId="77777777" w:rsidR="00520A5D" w:rsidRPr="00D8776E" w:rsidRDefault="00F900F8" w:rsidP="002A3564">
      <w:pPr>
        <w:rPr>
          <w:rFonts w:ascii="Arial" w:hAnsi="Arial"/>
          <w:sz w:val="22"/>
          <w:szCs w:val="24"/>
        </w:rPr>
      </w:pPr>
      <w:r w:rsidRPr="00D8776E">
        <w:rPr>
          <w:rFonts w:ascii="Arial" w:hAnsi="Arial"/>
          <w:sz w:val="22"/>
          <w:szCs w:val="24"/>
        </w:rPr>
        <w:t>The figure below summarise the staff survey data that is used to inform the WRES submission.</w:t>
      </w:r>
    </w:p>
    <w:p w14:paraId="33AF387B" w14:textId="77777777" w:rsidR="00520A5D" w:rsidRDefault="00520A5D" w:rsidP="002A3564">
      <w:pPr>
        <w:rPr>
          <w:rFonts w:ascii="Arial" w:hAnsi="Arial"/>
          <w:sz w:val="24"/>
          <w:szCs w:val="24"/>
        </w:rPr>
      </w:pPr>
    </w:p>
    <w:tbl>
      <w:tblPr>
        <w:tblStyle w:val="TableGrid"/>
        <w:tblpPr w:leftFromText="180" w:rightFromText="180" w:vertAnchor="text" w:horzAnchor="margin" w:tblpY="-6"/>
        <w:tblW w:w="10206" w:type="dxa"/>
        <w:tblLook w:val="04A0" w:firstRow="1" w:lastRow="0" w:firstColumn="1" w:lastColumn="0" w:noHBand="0" w:noVBand="1"/>
      </w:tblPr>
      <w:tblGrid>
        <w:gridCol w:w="8613"/>
        <w:gridCol w:w="851"/>
        <w:gridCol w:w="742"/>
      </w:tblGrid>
      <w:tr w:rsidR="006C5A8E" w:rsidRPr="00D8776E" w14:paraId="39F958C3" w14:textId="77777777" w:rsidTr="00D8776E">
        <w:tc>
          <w:tcPr>
            <w:tcW w:w="8613" w:type="dxa"/>
          </w:tcPr>
          <w:p w14:paraId="6416A46B" w14:textId="77777777" w:rsidR="006C5A8E" w:rsidRPr="00D8776E" w:rsidRDefault="00D6287A" w:rsidP="002A3564">
            <w:pPr>
              <w:rPr>
                <w:rFonts w:ascii="Arial" w:hAnsi="Arial"/>
                <w:sz w:val="22"/>
                <w:szCs w:val="24"/>
              </w:rPr>
            </w:pPr>
            <w:r w:rsidRPr="00D8776E">
              <w:rPr>
                <w:rFonts w:ascii="Arial" w:hAnsi="Arial"/>
                <w:sz w:val="22"/>
                <w:szCs w:val="24"/>
              </w:rPr>
              <w:t>Metric</w:t>
            </w:r>
          </w:p>
        </w:tc>
        <w:tc>
          <w:tcPr>
            <w:tcW w:w="851" w:type="dxa"/>
          </w:tcPr>
          <w:p w14:paraId="53AE7FA0" w14:textId="77777777" w:rsidR="006C5A8E" w:rsidRPr="00D8776E" w:rsidRDefault="00210112" w:rsidP="002A3564">
            <w:pPr>
              <w:rPr>
                <w:rFonts w:ascii="Arial" w:hAnsi="Arial"/>
                <w:sz w:val="22"/>
                <w:szCs w:val="24"/>
              </w:rPr>
            </w:pPr>
            <w:r w:rsidRPr="00D8776E">
              <w:rPr>
                <w:rFonts w:ascii="Arial" w:hAnsi="Arial"/>
                <w:sz w:val="22"/>
                <w:szCs w:val="24"/>
              </w:rPr>
              <w:t>2020</w:t>
            </w:r>
          </w:p>
        </w:tc>
        <w:tc>
          <w:tcPr>
            <w:tcW w:w="742" w:type="dxa"/>
          </w:tcPr>
          <w:p w14:paraId="68630666" w14:textId="77777777" w:rsidR="006C5A8E" w:rsidRPr="00D8776E" w:rsidRDefault="00210112" w:rsidP="00D8776E">
            <w:pPr>
              <w:rPr>
                <w:rFonts w:ascii="Arial" w:hAnsi="Arial"/>
                <w:sz w:val="22"/>
                <w:szCs w:val="24"/>
              </w:rPr>
            </w:pPr>
            <w:r w:rsidRPr="00D8776E">
              <w:rPr>
                <w:rFonts w:ascii="Arial" w:hAnsi="Arial"/>
                <w:sz w:val="22"/>
                <w:szCs w:val="24"/>
              </w:rPr>
              <w:t>2021</w:t>
            </w:r>
            <w:r w:rsidR="006C5A8E" w:rsidRPr="00D8776E">
              <w:rPr>
                <w:rFonts w:ascii="Arial" w:hAnsi="Arial"/>
                <w:sz w:val="22"/>
                <w:szCs w:val="24"/>
              </w:rPr>
              <w:t xml:space="preserve"> </w:t>
            </w:r>
          </w:p>
        </w:tc>
      </w:tr>
      <w:tr w:rsidR="006C5A8E" w:rsidRPr="00D8776E" w14:paraId="0383D27A" w14:textId="77777777" w:rsidTr="00D8776E">
        <w:tc>
          <w:tcPr>
            <w:tcW w:w="8613" w:type="dxa"/>
          </w:tcPr>
          <w:p w14:paraId="2DCF0549" w14:textId="77777777" w:rsidR="006C5A8E" w:rsidRPr="00D8776E" w:rsidRDefault="006C5A8E" w:rsidP="002A3564">
            <w:pPr>
              <w:pStyle w:val="NoSpacing"/>
              <w:rPr>
                <w:rFonts w:ascii="Arial" w:hAnsi="Arial"/>
                <w:sz w:val="22"/>
                <w:szCs w:val="24"/>
              </w:rPr>
            </w:pPr>
            <w:r w:rsidRPr="00D8776E">
              <w:rPr>
                <w:rFonts w:ascii="Arial" w:hAnsi="Arial"/>
                <w:sz w:val="22"/>
                <w:szCs w:val="24"/>
              </w:rPr>
              <w:t>% of BAME staff reported experiencing harassment, bullying or abuse from patients, relatives or the public in the last 12 months</w:t>
            </w:r>
          </w:p>
        </w:tc>
        <w:tc>
          <w:tcPr>
            <w:tcW w:w="851" w:type="dxa"/>
          </w:tcPr>
          <w:p w14:paraId="7A0A9031" w14:textId="77777777" w:rsidR="006C5A8E" w:rsidRPr="00D8776E" w:rsidRDefault="00210112" w:rsidP="002A3564">
            <w:pPr>
              <w:rPr>
                <w:rFonts w:ascii="Arial" w:hAnsi="Arial"/>
                <w:sz w:val="22"/>
                <w:szCs w:val="24"/>
              </w:rPr>
            </w:pPr>
            <w:r w:rsidRPr="00D8776E">
              <w:rPr>
                <w:rFonts w:ascii="Arial" w:hAnsi="Arial"/>
                <w:sz w:val="22"/>
                <w:szCs w:val="24"/>
              </w:rPr>
              <w:t>28.2</w:t>
            </w:r>
          </w:p>
        </w:tc>
        <w:tc>
          <w:tcPr>
            <w:tcW w:w="742" w:type="dxa"/>
          </w:tcPr>
          <w:p w14:paraId="024A9D5E" w14:textId="77777777" w:rsidR="006C5A8E" w:rsidRPr="00D8776E" w:rsidRDefault="00210112" w:rsidP="002A3564">
            <w:pPr>
              <w:rPr>
                <w:rFonts w:ascii="Arial" w:hAnsi="Arial"/>
                <w:sz w:val="22"/>
                <w:szCs w:val="24"/>
              </w:rPr>
            </w:pPr>
            <w:r w:rsidRPr="00D8776E">
              <w:rPr>
                <w:rFonts w:ascii="Arial" w:hAnsi="Arial"/>
                <w:sz w:val="22"/>
                <w:szCs w:val="24"/>
              </w:rPr>
              <w:t>25.8</w:t>
            </w:r>
          </w:p>
        </w:tc>
      </w:tr>
      <w:tr w:rsidR="006C5A8E" w:rsidRPr="00D8776E" w14:paraId="501CCF92" w14:textId="77777777" w:rsidTr="00D8776E">
        <w:tc>
          <w:tcPr>
            <w:tcW w:w="8613" w:type="dxa"/>
          </w:tcPr>
          <w:p w14:paraId="732E560E" w14:textId="77777777" w:rsidR="006C5A8E" w:rsidRPr="00D8776E" w:rsidRDefault="006C5A8E" w:rsidP="002A3564">
            <w:pPr>
              <w:pStyle w:val="NoSpacing"/>
              <w:rPr>
                <w:rFonts w:ascii="Arial" w:hAnsi="Arial"/>
                <w:sz w:val="22"/>
                <w:szCs w:val="24"/>
              </w:rPr>
            </w:pPr>
            <w:r w:rsidRPr="00D8776E">
              <w:rPr>
                <w:rFonts w:ascii="Arial" w:hAnsi="Arial"/>
                <w:sz w:val="22"/>
                <w:szCs w:val="24"/>
              </w:rPr>
              <w:t>% of BAME staff reported experiencing harassment, bullying or abuse from staff in last 12 months</w:t>
            </w:r>
          </w:p>
        </w:tc>
        <w:tc>
          <w:tcPr>
            <w:tcW w:w="851" w:type="dxa"/>
          </w:tcPr>
          <w:p w14:paraId="53A84FB6" w14:textId="77777777" w:rsidR="006C5A8E" w:rsidRPr="00D8776E" w:rsidRDefault="00210112" w:rsidP="002A3564">
            <w:pPr>
              <w:rPr>
                <w:rFonts w:ascii="Arial" w:hAnsi="Arial"/>
                <w:sz w:val="22"/>
                <w:szCs w:val="24"/>
              </w:rPr>
            </w:pPr>
            <w:r w:rsidRPr="00D8776E">
              <w:rPr>
                <w:rFonts w:ascii="Arial" w:hAnsi="Arial"/>
                <w:sz w:val="22"/>
                <w:szCs w:val="24"/>
              </w:rPr>
              <w:t>29</w:t>
            </w:r>
            <w:r w:rsidR="006C5A8E" w:rsidRPr="00D8776E">
              <w:rPr>
                <w:rFonts w:ascii="Arial" w:hAnsi="Arial"/>
                <w:sz w:val="22"/>
                <w:szCs w:val="24"/>
              </w:rPr>
              <w:t>.1</w:t>
            </w:r>
          </w:p>
        </w:tc>
        <w:tc>
          <w:tcPr>
            <w:tcW w:w="742" w:type="dxa"/>
          </w:tcPr>
          <w:p w14:paraId="7B06D4C0" w14:textId="77777777" w:rsidR="006C5A8E" w:rsidRPr="00D8776E" w:rsidRDefault="00210112" w:rsidP="002A3564">
            <w:pPr>
              <w:rPr>
                <w:rFonts w:ascii="Arial" w:hAnsi="Arial"/>
                <w:sz w:val="22"/>
                <w:szCs w:val="24"/>
              </w:rPr>
            </w:pPr>
            <w:r w:rsidRPr="00D8776E">
              <w:rPr>
                <w:rFonts w:ascii="Arial" w:hAnsi="Arial"/>
                <w:sz w:val="22"/>
                <w:szCs w:val="24"/>
              </w:rPr>
              <w:t>27.6</w:t>
            </w:r>
          </w:p>
        </w:tc>
      </w:tr>
      <w:tr w:rsidR="006C5A8E" w:rsidRPr="00D8776E" w14:paraId="2D53D3B9" w14:textId="77777777" w:rsidTr="00D8776E">
        <w:tc>
          <w:tcPr>
            <w:tcW w:w="8613" w:type="dxa"/>
          </w:tcPr>
          <w:p w14:paraId="7C53FDC2" w14:textId="77777777" w:rsidR="006C5A8E" w:rsidRPr="00D8776E" w:rsidRDefault="006C5A8E" w:rsidP="002A3564">
            <w:pPr>
              <w:pStyle w:val="NoSpacing"/>
              <w:rPr>
                <w:rFonts w:ascii="Arial" w:hAnsi="Arial"/>
                <w:sz w:val="22"/>
                <w:szCs w:val="24"/>
              </w:rPr>
            </w:pPr>
            <w:r w:rsidRPr="00D8776E">
              <w:rPr>
                <w:rFonts w:ascii="Arial" w:hAnsi="Arial"/>
                <w:sz w:val="22"/>
                <w:szCs w:val="24"/>
              </w:rPr>
              <w:t>% of BAME staff said they had experienced discrimination at work from either their manager, team leader or other colleagues</w:t>
            </w:r>
          </w:p>
        </w:tc>
        <w:tc>
          <w:tcPr>
            <w:tcW w:w="851" w:type="dxa"/>
          </w:tcPr>
          <w:p w14:paraId="3D3B06FE" w14:textId="77777777" w:rsidR="006C5A8E" w:rsidRPr="00D8776E" w:rsidRDefault="00210112" w:rsidP="002A3564">
            <w:pPr>
              <w:rPr>
                <w:rFonts w:ascii="Arial" w:hAnsi="Arial"/>
                <w:sz w:val="22"/>
                <w:szCs w:val="24"/>
              </w:rPr>
            </w:pPr>
            <w:r w:rsidRPr="00D8776E">
              <w:rPr>
                <w:rFonts w:ascii="Arial" w:hAnsi="Arial"/>
                <w:sz w:val="22"/>
                <w:szCs w:val="24"/>
              </w:rPr>
              <w:t>71.2</w:t>
            </w:r>
          </w:p>
        </w:tc>
        <w:tc>
          <w:tcPr>
            <w:tcW w:w="742" w:type="dxa"/>
          </w:tcPr>
          <w:p w14:paraId="1C882082" w14:textId="77777777" w:rsidR="006C5A8E" w:rsidRPr="00D8776E" w:rsidRDefault="00210112" w:rsidP="002A3564">
            <w:pPr>
              <w:rPr>
                <w:rFonts w:ascii="Arial" w:hAnsi="Arial"/>
                <w:sz w:val="22"/>
                <w:szCs w:val="24"/>
              </w:rPr>
            </w:pPr>
            <w:r w:rsidRPr="00D8776E">
              <w:rPr>
                <w:rFonts w:ascii="Arial" w:hAnsi="Arial"/>
                <w:sz w:val="22"/>
                <w:szCs w:val="24"/>
              </w:rPr>
              <w:t>73.2</w:t>
            </w:r>
          </w:p>
        </w:tc>
      </w:tr>
      <w:tr w:rsidR="006C5A8E" w:rsidRPr="00D8776E" w14:paraId="2682D960" w14:textId="77777777" w:rsidTr="00D8776E">
        <w:tc>
          <w:tcPr>
            <w:tcW w:w="8613" w:type="dxa"/>
          </w:tcPr>
          <w:p w14:paraId="03EE3867" w14:textId="77777777" w:rsidR="006C5A8E" w:rsidRPr="00D8776E" w:rsidRDefault="006C5A8E" w:rsidP="002A3564">
            <w:pPr>
              <w:pStyle w:val="NoSpacing"/>
              <w:rPr>
                <w:rFonts w:ascii="Arial" w:hAnsi="Arial"/>
                <w:sz w:val="22"/>
                <w:szCs w:val="24"/>
              </w:rPr>
            </w:pPr>
            <w:r w:rsidRPr="00D8776E">
              <w:rPr>
                <w:rFonts w:ascii="Arial" w:hAnsi="Arial"/>
                <w:sz w:val="22"/>
                <w:szCs w:val="24"/>
              </w:rPr>
              <w:t>% of BAME staff believed that the organisation provides equal opportunities for career progression or promotion</w:t>
            </w:r>
          </w:p>
        </w:tc>
        <w:tc>
          <w:tcPr>
            <w:tcW w:w="851" w:type="dxa"/>
          </w:tcPr>
          <w:p w14:paraId="64F672E0" w14:textId="77777777" w:rsidR="006C5A8E" w:rsidRPr="00D8776E" w:rsidRDefault="00210112" w:rsidP="002A3564">
            <w:pPr>
              <w:rPr>
                <w:rFonts w:ascii="Arial" w:hAnsi="Arial"/>
                <w:sz w:val="22"/>
                <w:szCs w:val="24"/>
              </w:rPr>
            </w:pPr>
            <w:r w:rsidRPr="00D8776E">
              <w:rPr>
                <w:rFonts w:ascii="Arial" w:hAnsi="Arial"/>
                <w:sz w:val="22"/>
                <w:szCs w:val="24"/>
              </w:rPr>
              <w:t>14.3</w:t>
            </w:r>
          </w:p>
        </w:tc>
        <w:tc>
          <w:tcPr>
            <w:tcW w:w="742" w:type="dxa"/>
          </w:tcPr>
          <w:p w14:paraId="5DA1E2B3" w14:textId="77777777" w:rsidR="006C5A8E" w:rsidRPr="00D8776E" w:rsidRDefault="00210112" w:rsidP="002A3564">
            <w:pPr>
              <w:rPr>
                <w:rFonts w:ascii="Arial" w:hAnsi="Arial"/>
                <w:sz w:val="22"/>
                <w:szCs w:val="24"/>
              </w:rPr>
            </w:pPr>
            <w:r w:rsidRPr="00D8776E">
              <w:rPr>
                <w:rFonts w:ascii="Arial" w:hAnsi="Arial"/>
                <w:sz w:val="22"/>
                <w:szCs w:val="24"/>
              </w:rPr>
              <w:t>18.1</w:t>
            </w:r>
          </w:p>
        </w:tc>
      </w:tr>
    </w:tbl>
    <w:p w14:paraId="04DA0461" w14:textId="77777777" w:rsidR="002A3564" w:rsidRPr="00D8776E" w:rsidRDefault="002A3564" w:rsidP="00D8776E">
      <w:pPr>
        <w:pStyle w:val="NoSpacing"/>
        <w:jc w:val="both"/>
        <w:rPr>
          <w:rFonts w:ascii="Arial" w:hAnsi="Arial"/>
          <w:sz w:val="22"/>
          <w:szCs w:val="24"/>
        </w:rPr>
      </w:pPr>
      <w:r w:rsidRPr="00D8776E">
        <w:rPr>
          <w:rFonts w:ascii="Arial" w:hAnsi="Arial"/>
          <w:sz w:val="22"/>
          <w:szCs w:val="24"/>
        </w:rPr>
        <w:t>Comparative analysis shows that there has been a small fall in the proportion of BAME staff experiencing harassment, bullying or abuse from patients, relatives or the public and other staff members in the last 12 months</w:t>
      </w:r>
      <w:r w:rsidR="00C0746C" w:rsidRPr="00D8776E">
        <w:rPr>
          <w:rFonts w:ascii="Arial" w:hAnsi="Arial"/>
          <w:sz w:val="22"/>
          <w:szCs w:val="24"/>
        </w:rPr>
        <w:t xml:space="preserve"> and a significant improvement in equality for career progression. H</w:t>
      </w:r>
      <w:r w:rsidRPr="00D8776E">
        <w:rPr>
          <w:rFonts w:ascii="Arial" w:hAnsi="Arial"/>
          <w:sz w:val="22"/>
          <w:szCs w:val="24"/>
        </w:rPr>
        <w:t>owever</w:t>
      </w:r>
      <w:r w:rsidR="00C0746C" w:rsidRPr="00D8776E">
        <w:rPr>
          <w:rFonts w:ascii="Arial" w:hAnsi="Arial"/>
          <w:sz w:val="22"/>
          <w:szCs w:val="24"/>
        </w:rPr>
        <w:t>, we note</w:t>
      </w:r>
      <w:r w:rsidRPr="00D8776E">
        <w:rPr>
          <w:rFonts w:ascii="Arial" w:hAnsi="Arial"/>
          <w:sz w:val="22"/>
          <w:szCs w:val="24"/>
        </w:rPr>
        <w:t xml:space="preserve"> </w:t>
      </w:r>
      <w:r w:rsidR="00C0746C" w:rsidRPr="00D8776E">
        <w:rPr>
          <w:rFonts w:ascii="Arial" w:hAnsi="Arial"/>
          <w:sz w:val="22"/>
          <w:szCs w:val="24"/>
        </w:rPr>
        <w:t>a small deterioration in BAME colleagues experiencing discrimination in the workplace.</w:t>
      </w:r>
    </w:p>
    <w:p w14:paraId="3AE6C22C" w14:textId="77777777" w:rsidR="00520A5D" w:rsidRDefault="00520A5D">
      <w:pPr>
        <w:rPr>
          <w:rFonts w:ascii="Arial" w:hAnsi="Arial"/>
          <w:sz w:val="24"/>
          <w:szCs w:val="24"/>
        </w:rPr>
      </w:pPr>
    </w:p>
    <w:p w14:paraId="41B3F005" w14:textId="77777777" w:rsidR="00CB23CE" w:rsidRPr="008A1C34" w:rsidRDefault="00CB23CE" w:rsidP="001D3225">
      <w:pPr>
        <w:pStyle w:val="NoSpacing"/>
        <w:jc w:val="both"/>
        <w:rPr>
          <w:rFonts w:ascii="Arial" w:hAnsi="Arial"/>
          <w:color w:val="000000" w:themeColor="text1"/>
          <w:sz w:val="24"/>
          <w:szCs w:val="24"/>
        </w:rPr>
      </w:pPr>
      <w:r w:rsidRPr="008A1C34">
        <w:rPr>
          <w:rFonts w:ascii="Arial" w:hAnsi="Arial"/>
          <w:b/>
          <w:color w:val="000000" w:themeColor="text1"/>
          <w:sz w:val="24"/>
          <w:szCs w:val="24"/>
        </w:rPr>
        <w:t>Indicator 9</w:t>
      </w:r>
      <w:r w:rsidR="00C13C00" w:rsidRPr="008A1C34">
        <w:rPr>
          <w:rFonts w:ascii="Arial" w:hAnsi="Arial"/>
          <w:color w:val="000000" w:themeColor="text1"/>
          <w:sz w:val="24"/>
          <w:szCs w:val="24"/>
        </w:rPr>
        <w:t xml:space="preserve"> </w:t>
      </w:r>
    </w:p>
    <w:p w14:paraId="2F0BC815" w14:textId="77777777" w:rsidR="00C13C00" w:rsidRPr="00D8776E" w:rsidRDefault="00C13C00" w:rsidP="001D3225">
      <w:pPr>
        <w:pStyle w:val="NoSpacing"/>
        <w:jc w:val="both"/>
        <w:rPr>
          <w:rFonts w:ascii="Arial" w:hAnsi="Arial"/>
          <w:color w:val="000000" w:themeColor="text1"/>
          <w:sz w:val="22"/>
          <w:szCs w:val="24"/>
        </w:rPr>
      </w:pPr>
      <w:r w:rsidRPr="00D8776E">
        <w:rPr>
          <w:rFonts w:ascii="Arial" w:hAnsi="Arial"/>
          <w:color w:val="000000" w:themeColor="text1"/>
          <w:sz w:val="22"/>
          <w:szCs w:val="24"/>
        </w:rPr>
        <w:t>Percentage difference between the organisation's Board voting membership and its overall workforce disaggregated:</w:t>
      </w:r>
    </w:p>
    <w:p w14:paraId="7207A66B" w14:textId="77777777" w:rsidR="00520A5D" w:rsidRDefault="00520A5D">
      <w:pPr>
        <w:rPr>
          <w:rFonts w:ascii="Arial" w:hAnsi="Arial"/>
          <w:sz w:val="24"/>
          <w:szCs w:val="24"/>
        </w:rPr>
      </w:pPr>
    </w:p>
    <w:tbl>
      <w:tblPr>
        <w:tblStyle w:val="TableGrid"/>
        <w:tblW w:w="0" w:type="auto"/>
        <w:tblLook w:val="04A0" w:firstRow="1" w:lastRow="0" w:firstColumn="1" w:lastColumn="0" w:noHBand="0" w:noVBand="1"/>
      </w:tblPr>
      <w:tblGrid>
        <w:gridCol w:w="4979"/>
        <w:gridCol w:w="1358"/>
        <w:gridCol w:w="1359"/>
        <w:gridCol w:w="1546"/>
      </w:tblGrid>
      <w:tr w:rsidR="006E300D" w:rsidRPr="00D8776E" w14:paraId="63667668" w14:textId="77777777" w:rsidTr="00D8776E">
        <w:tc>
          <w:tcPr>
            <w:tcW w:w="4979" w:type="dxa"/>
          </w:tcPr>
          <w:p w14:paraId="2A883A14" w14:textId="77777777" w:rsidR="006E300D" w:rsidRPr="00D8776E" w:rsidRDefault="006E300D">
            <w:pPr>
              <w:rPr>
                <w:rFonts w:ascii="Arial" w:hAnsi="Arial"/>
                <w:sz w:val="22"/>
                <w:szCs w:val="24"/>
              </w:rPr>
            </w:pPr>
          </w:p>
        </w:tc>
        <w:tc>
          <w:tcPr>
            <w:tcW w:w="1358" w:type="dxa"/>
          </w:tcPr>
          <w:p w14:paraId="4728D7A0" w14:textId="77777777" w:rsidR="006E300D" w:rsidRPr="00D8776E" w:rsidRDefault="00F35E29">
            <w:pPr>
              <w:rPr>
                <w:rFonts w:ascii="Arial" w:hAnsi="Arial"/>
                <w:sz w:val="22"/>
                <w:szCs w:val="24"/>
              </w:rPr>
            </w:pPr>
            <w:r w:rsidRPr="00D8776E">
              <w:rPr>
                <w:rFonts w:ascii="Arial" w:hAnsi="Arial"/>
                <w:sz w:val="22"/>
                <w:szCs w:val="24"/>
              </w:rPr>
              <w:t>White</w:t>
            </w:r>
          </w:p>
        </w:tc>
        <w:tc>
          <w:tcPr>
            <w:tcW w:w="1359" w:type="dxa"/>
          </w:tcPr>
          <w:p w14:paraId="04E4DE1C" w14:textId="77777777" w:rsidR="006E300D" w:rsidRPr="00D8776E" w:rsidRDefault="00F35E29">
            <w:pPr>
              <w:rPr>
                <w:rFonts w:ascii="Arial" w:hAnsi="Arial"/>
                <w:sz w:val="22"/>
                <w:szCs w:val="24"/>
              </w:rPr>
            </w:pPr>
            <w:r w:rsidRPr="00D8776E">
              <w:rPr>
                <w:rFonts w:ascii="Arial" w:hAnsi="Arial"/>
                <w:sz w:val="22"/>
                <w:szCs w:val="24"/>
              </w:rPr>
              <w:t>BAME</w:t>
            </w:r>
          </w:p>
        </w:tc>
        <w:tc>
          <w:tcPr>
            <w:tcW w:w="1546" w:type="dxa"/>
          </w:tcPr>
          <w:p w14:paraId="5B298880" w14:textId="77777777" w:rsidR="006E300D" w:rsidRPr="00D8776E" w:rsidRDefault="00F35E29">
            <w:pPr>
              <w:rPr>
                <w:rFonts w:ascii="Arial" w:hAnsi="Arial"/>
                <w:sz w:val="22"/>
                <w:szCs w:val="24"/>
              </w:rPr>
            </w:pPr>
            <w:r w:rsidRPr="00D8776E">
              <w:rPr>
                <w:rFonts w:ascii="Arial" w:hAnsi="Arial"/>
                <w:sz w:val="22"/>
                <w:szCs w:val="24"/>
              </w:rPr>
              <w:t>Unknown</w:t>
            </w:r>
          </w:p>
        </w:tc>
      </w:tr>
      <w:tr w:rsidR="006E300D" w:rsidRPr="00D8776E" w14:paraId="54BBD8C0" w14:textId="77777777" w:rsidTr="00D8776E">
        <w:tc>
          <w:tcPr>
            <w:tcW w:w="4979" w:type="dxa"/>
          </w:tcPr>
          <w:p w14:paraId="6CD960CD" w14:textId="77777777" w:rsidR="006E300D" w:rsidRPr="00D8776E" w:rsidRDefault="00F35E29">
            <w:pPr>
              <w:rPr>
                <w:rFonts w:ascii="Arial" w:hAnsi="Arial"/>
                <w:sz w:val="22"/>
                <w:szCs w:val="24"/>
              </w:rPr>
            </w:pPr>
            <w:r w:rsidRPr="00D8776E">
              <w:rPr>
                <w:rFonts w:ascii="Arial" w:hAnsi="Arial"/>
                <w:sz w:val="22"/>
                <w:szCs w:val="24"/>
              </w:rPr>
              <w:t>Board Membership</w:t>
            </w:r>
            <w:r w:rsidR="00D8776E" w:rsidRPr="00D8776E">
              <w:rPr>
                <w:rFonts w:ascii="Arial" w:hAnsi="Arial"/>
                <w:sz w:val="22"/>
                <w:szCs w:val="24"/>
              </w:rPr>
              <w:t xml:space="preserve"> </w:t>
            </w:r>
            <w:r w:rsidR="00D8776E">
              <w:rPr>
                <w:rFonts w:ascii="Arial" w:hAnsi="Arial"/>
                <w:sz w:val="22"/>
                <w:szCs w:val="24"/>
              </w:rPr>
              <w:t>o</w:t>
            </w:r>
            <w:r w:rsidR="00D8776E" w:rsidRPr="00D8776E">
              <w:rPr>
                <w:rFonts w:ascii="Arial" w:hAnsi="Arial"/>
                <w:sz w:val="22"/>
                <w:szCs w:val="24"/>
              </w:rPr>
              <w:t xml:space="preserve">f which; </w:t>
            </w:r>
          </w:p>
        </w:tc>
        <w:tc>
          <w:tcPr>
            <w:tcW w:w="1358" w:type="dxa"/>
          </w:tcPr>
          <w:p w14:paraId="6A637D53" w14:textId="77777777" w:rsidR="006E300D" w:rsidRPr="00D8776E" w:rsidRDefault="002C7543" w:rsidP="00163BF4">
            <w:pPr>
              <w:rPr>
                <w:rFonts w:ascii="Arial" w:hAnsi="Arial"/>
                <w:sz w:val="22"/>
                <w:szCs w:val="24"/>
              </w:rPr>
            </w:pPr>
            <w:r w:rsidRPr="00D8776E">
              <w:rPr>
                <w:rFonts w:ascii="Arial" w:hAnsi="Arial"/>
                <w:sz w:val="22"/>
                <w:szCs w:val="24"/>
              </w:rPr>
              <w:t>15</w:t>
            </w:r>
          </w:p>
        </w:tc>
        <w:tc>
          <w:tcPr>
            <w:tcW w:w="1359" w:type="dxa"/>
          </w:tcPr>
          <w:p w14:paraId="05CBC5E1" w14:textId="77777777" w:rsidR="006E300D" w:rsidRPr="00D8776E" w:rsidRDefault="002C7543">
            <w:pPr>
              <w:rPr>
                <w:rFonts w:ascii="Arial" w:hAnsi="Arial"/>
                <w:sz w:val="22"/>
                <w:szCs w:val="24"/>
              </w:rPr>
            </w:pPr>
            <w:r w:rsidRPr="00D8776E">
              <w:rPr>
                <w:rFonts w:ascii="Arial" w:hAnsi="Arial"/>
                <w:sz w:val="22"/>
                <w:szCs w:val="24"/>
              </w:rPr>
              <w:t>2</w:t>
            </w:r>
          </w:p>
        </w:tc>
        <w:tc>
          <w:tcPr>
            <w:tcW w:w="1546" w:type="dxa"/>
          </w:tcPr>
          <w:p w14:paraId="7572EB5A" w14:textId="77777777" w:rsidR="006E300D" w:rsidRPr="00D8776E" w:rsidRDefault="002C7543">
            <w:pPr>
              <w:rPr>
                <w:rFonts w:ascii="Arial" w:hAnsi="Arial"/>
                <w:sz w:val="22"/>
                <w:szCs w:val="24"/>
              </w:rPr>
            </w:pPr>
            <w:r w:rsidRPr="00D8776E">
              <w:rPr>
                <w:rFonts w:ascii="Arial" w:hAnsi="Arial"/>
                <w:sz w:val="22"/>
                <w:szCs w:val="24"/>
              </w:rPr>
              <w:t>0</w:t>
            </w:r>
          </w:p>
        </w:tc>
      </w:tr>
      <w:tr w:rsidR="00F35E29" w:rsidRPr="00D8776E" w14:paraId="46F14E3C" w14:textId="77777777" w:rsidTr="00D8776E">
        <w:tc>
          <w:tcPr>
            <w:tcW w:w="4979" w:type="dxa"/>
          </w:tcPr>
          <w:p w14:paraId="45771DBC" w14:textId="77777777" w:rsidR="00F35E29" w:rsidRPr="00D8776E" w:rsidRDefault="00F35E29" w:rsidP="00F35E29">
            <w:pPr>
              <w:jc w:val="right"/>
              <w:rPr>
                <w:rFonts w:ascii="Arial" w:hAnsi="Arial"/>
                <w:sz w:val="22"/>
                <w:szCs w:val="24"/>
              </w:rPr>
            </w:pPr>
            <w:r w:rsidRPr="00D8776E">
              <w:rPr>
                <w:rFonts w:ascii="Arial" w:hAnsi="Arial"/>
                <w:sz w:val="22"/>
                <w:szCs w:val="24"/>
              </w:rPr>
              <w:t>Exec Board Members</w:t>
            </w:r>
          </w:p>
        </w:tc>
        <w:tc>
          <w:tcPr>
            <w:tcW w:w="1358" w:type="dxa"/>
          </w:tcPr>
          <w:p w14:paraId="05BC82ED" w14:textId="77777777" w:rsidR="00F35E29" w:rsidRPr="00D8776E" w:rsidRDefault="002C7543" w:rsidP="00F35E29">
            <w:pPr>
              <w:rPr>
                <w:rFonts w:ascii="Arial" w:hAnsi="Arial"/>
                <w:sz w:val="22"/>
                <w:szCs w:val="24"/>
              </w:rPr>
            </w:pPr>
            <w:r w:rsidRPr="00D8776E">
              <w:rPr>
                <w:rFonts w:ascii="Arial" w:hAnsi="Arial"/>
                <w:sz w:val="22"/>
                <w:szCs w:val="24"/>
              </w:rPr>
              <w:t>6</w:t>
            </w:r>
          </w:p>
        </w:tc>
        <w:tc>
          <w:tcPr>
            <w:tcW w:w="1359" w:type="dxa"/>
          </w:tcPr>
          <w:p w14:paraId="2BF77878" w14:textId="77777777" w:rsidR="00F35E29" w:rsidRPr="00D8776E" w:rsidRDefault="002C7543" w:rsidP="00F35E29">
            <w:pPr>
              <w:rPr>
                <w:rFonts w:ascii="Arial" w:hAnsi="Arial"/>
                <w:sz w:val="22"/>
                <w:szCs w:val="24"/>
              </w:rPr>
            </w:pPr>
            <w:r w:rsidRPr="00D8776E">
              <w:rPr>
                <w:rFonts w:ascii="Arial" w:hAnsi="Arial"/>
                <w:sz w:val="22"/>
                <w:szCs w:val="24"/>
              </w:rPr>
              <w:t>0</w:t>
            </w:r>
          </w:p>
        </w:tc>
        <w:tc>
          <w:tcPr>
            <w:tcW w:w="1546" w:type="dxa"/>
          </w:tcPr>
          <w:p w14:paraId="4FD55A2D" w14:textId="77777777" w:rsidR="00F35E29" w:rsidRPr="00D8776E" w:rsidRDefault="002C7543" w:rsidP="00F35E29">
            <w:pPr>
              <w:rPr>
                <w:rFonts w:ascii="Arial" w:hAnsi="Arial"/>
                <w:sz w:val="22"/>
                <w:szCs w:val="24"/>
              </w:rPr>
            </w:pPr>
            <w:r w:rsidRPr="00D8776E">
              <w:rPr>
                <w:rFonts w:ascii="Arial" w:hAnsi="Arial"/>
                <w:sz w:val="22"/>
                <w:szCs w:val="24"/>
              </w:rPr>
              <w:t>0</w:t>
            </w:r>
          </w:p>
        </w:tc>
      </w:tr>
      <w:tr w:rsidR="00F35E29" w:rsidRPr="00D8776E" w14:paraId="1F6B0064" w14:textId="77777777" w:rsidTr="00D8776E">
        <w:tc>
          <w:tcPr>
            <w:tcW w:w="4979" w:type="dxa"/>
          </w:tcPr>
          <w:p w14:paraId="32531E20" w14:textId="77777777" w:rsidR="00F35E29" w:rsidRPr="00D8776E" w:rsidRDefault="00F35E29" w:rsidP="00F35E29">
            <w:pPr>
              <w:jc w:val="right"/>
              <w:rPr>
                <w:rFonts w:ascii="Arial" w:hAnsi="Arial"/>
                <w:sz w:val="22"/>
                <w:szCs w:val="24"/>
              </w:rPr>
            </w:pPr>
            <w:r w:rsidRPr="00D8776E">
              <w:rPr>
                <w:rFonts w:ascii="Arial" w:hAnsi="Arial"/>
                <w:sz w:val="22"/>
                <w:szCs w:val="24"/>
              </w:rPr>
              <w:t>Non-Exec Board Members</w:t>
            </w:r>
          </w:p>
        </w:tc>
        <w:tc>
          <w:tcPr>
            <w:tcW w:w="1358" w:type="dxa"/>
          </w:tcPr>
          <w:p w14:paraId="39B792A8" w14:textId="77777777" w:rsidR="00F35E29" w:rsidRPr="00D8776E" w:rsidRDefault="002C7543" w:rsidP="00F35E29">
            <w:pPr>
              <w:rPr>
                <w:rFonts w:ascii="Arial" w:hAnsi="Arial"/>
                <w:sz w:val="22"/>
                <w:szCs w:val="24"/>
              </w:rPr>
            </w:pPr>
            <w:r w:rsidRPr="00D8776E">
              <w:rPr>
                <w:rFonts w:ascii="Arial" w:hAnsi="Arial"/>
                <w:sz w:val="22"/>
                <w:szCs w:val="24"/>
              </w:rPr>
              <w:t>9</w:t>
            </w:r>
          </w:p>
        </w:tc>
        <w:tc>
          <w:tcPr>
            <w:tcW w:w="1359" w:type="dxa"/>
          </w:tcPr>
          <w:p w14:paraId="5282197C" w14:textId="77777777" w:rsidR="00F35E29" w:rsidRPr="00D8776E" w:rsidRDefault="002C7543" w:rsidP="00F35E29">
            <w:pPr>
              <w:rPr>
                <w:rFonts w:ascii="Arial" w:hAnsi="Arial"/>
                <w:sz w:val="22"/>
                <w:szCs w:val="24"/>
              </w:rPr>
            </w:pPr>
            <w:r w:rsidRPr="00D8776E">
              <w:rPr>
                <w:rFonts w:ascii="Arial" w:hAnsi="Arial"/>
                <w:sz w:val="22"/>
                <w:szCs w:val="24"/>
              </w:rPr>
              <w:t>2</w:t>
            </w:r>
          </w:p>
        </w:tc>
        <w:tc>
          <w:tcPr>
            <w:tcW w:w="1546" w:type="dxa"/>
          </w:tcPr>
          <w:p w14:paraId="64189DCF" w14:textId="77777777" w:rsidR="00F35E29" w:rsidRPr="00D8776E" w:rsidRDefault="002C7543" w:rsidP="00F35E29">
            <w:pPr>
              <w:rPr>
                <w:rFonts w:ascii="Arial" w:hAnsi="Arial"/>
                <w:sz w:val="22"/>
                <w:szCs w:val="24"/>
              </w:rPr>
            </w:pPr>
            <w:r w:rsidRPr="00D8776E">
              <w:rPr>
                <w:rFonts w:ascii="Arial" w:hAnsi="Arial"/>
                <w:sz w:val="22"/>
                <w:szCs w:val="24"/>
              </w:rPr>
              <w:t>0</w:t>
            </w:r>
          </w:p>
        </w:tc>
      </w:tr>
      <w:tr w:rsidR="00F35E29" w:rsidRPr="00D8776E" w14:paraId="205B0EDC" w14:textId="77777777" w:rsidTr="00D8776E">
        <w:tc>
          <w:tcPr>
            <w:tcW w:w="4979" w:type="dxa"/>
            <w:shd w:val="clear" w:color="auto" w:fill="BFBFBF" w:themeFill="background1" w:themeFillShade="BF"/>
          </w:tcPr>
          <w:p w14:paraId="66FACF46" w14:textId="77777777" w:rsidR="00F35E29" w:rsidRPr="00D8776E" w:rsidRDefault="00F35E29" w:rsidP="00F35E29">
            <w:pPr>
              <w:rPr>
                <w:rFonts w:ascii="Arial" w:hAnsi="Arial"/>
                <w:color w:val="A6A6A6" w:themeColor="background1" w:themeShade="A6"/>
                <w:sz w:val="22"/>
                <w:szCs w:val="24"/>
              </w:rPr>
            </w:pPr>
          </w:p>
        </w:tc>
        <w:tc>
          <w:tcPr>
            <w:tcW w:w="1358" w:type="dxa"/>
            <w:shd w:val="clear" w:color="auto" w:fill="BFBFBF" w:themeFill="background1" w:themeFillShade="BF"/>
          </w:tcPr>
          <w:p w14:paraId="3EEE8D31" w14:textId="77777777" w:rsidR="00F35E29" w:rsidRPr="00D8776E" w:rsidRDefault="00F35E29" w:rsidP="00F35E29">
            <w:pPr>
              <w:rPr>
                <w:rFonts w:ascii="Arial" w:hAnsi="Arial"/>
                <w:color w:val="A6A6A6" w:themeColor="background1" w:themeShade="A6"/>
                <w:sz w:val="22"/>
                <w:szCs w:val="24"/>
              </w:rPr>
            </w:pPr>
          </w:p>
        </w:tc>
        <w:tc>
          <w:tcPr>
            <w:tcW w:w="1359" w:type="dxa"/>
            <w:shd w:val="clear" w:color="auto" w:fill="BFBFBF" w:themeFill="background1" w:themeFillShade="BF"/>
          </w:tcPr>
          <w:p w14:paraId="60AB65B1" w14:textId="77777777" w:rsidR="00F35E29" w:rsidRPr="00D8776E" w:rsidRDefault="00F35E29" w:rsidP="00F35E29">
            <w:pPr>
              <w:rPr>
                <w:rFonts w:ascii="Arial" w:hAnsi="Arial"/>
                <w:color w:val="A6A6A6" w:themeColor="background1" w:themeShade="A6"/>
                <w:sz w:val="22"/>
                <w:szCs w:val="24"/>
              </w:rPr>
            </w:pPr>
          </w:p>
        </w:tc>
        <w:tc>
          <w:tcPr>
            <w:tcW w:w="1546" w:type="dxa"/>
            <w:shd w:val="clear" w:color="auto" w:fill="BFBFBF" w:themeFill="background1" w:themeFillShade="BF"/>
          </w:tcPr>
          <w:p w14:paraId="2A692FCA" w14:textId="77777777" w:rsidR="00F35E29" w:rsidRPr="00D8776E" w:rsidRDefault="00F35E29" w:rsidP="00F35E29">
            <w:pPr>
              <w:rPr>
                <w:rFonts w:ascii="Arial" w:hAnsi="Arial"/>
                <w:color w:val="A6A6A6" w:themeColor="background1" w:themeShade="A6"/>
                <w:sz w:val="22"/>
                <w:szCs w:val="24"/>
              </w:rPr>
            </w:pPr>
          </w:p>
        </w:tc>
      </w:tr>
      <w:tr w:rsidR="00F35E29" w:rsidRPr="00D8776E" w14:paraId="69DDF3EF" w14:textId="77777777" w:rsidTr="00D8776E">
        <w:tc>
          <w:tcPr>
            <w:tcW w:w="4979" w:type="dxa"/>
          </w:tcPr>
          <w:p w14:paraId="6055C36B" w14:textId="77777777" w:rsidR="00F35E29" w:rsidRPr="00D8776E" w:rsidRDefault="0026534A" w:rsidP="00F35E29">
            <w:pPr>
              <w:rPr>
                <w:rFonts w:ascii="Arial" w:hAnsi="Arial"/>
                <w:sz w:val="22"/>
                <w:szCs w:val="24"/>
              </w:rPr>
            </w:pPr>
            <w:r w:rsidRPr="00D8776E">
              <w:rPr>
                <w:rFonts w:ascii="Arial" w:hAnsi="Arial"/>
                <w:sz w:val="22"/>
                <w:szCs w:val="24"/>
              </w:rPr>
              <w:t>Number of staff in overall workforce</w:t>
            </w:r>
          </w:p>
        </w:tc>
        <w:tc>
          <w:tcPr>
            <w:tcW w:w="1358" w:type="dxa"/>
          </w:tcPr>
          <w:p w14:paraId="5536D43C" w14:textId="77777777" w:rsidR="00F35E29" w:rsidRPr="00D8776E" w:rsidRDefault="002C7543" w:rsidP="00F35E29">
            <w:pPr>
              <w:rPr>
                <w:rFonts w:ascii="Arial" w:hAnsi="Arial"/>
                <w:sz w:val="22"/>
                <w:szCs w:val="24"/>
              </w:rPr>
            </w:pPr>
            <w:r w:rsidRPr="00D8776E">
              <w:rPr>
                <w:rFonts w:ascii="Arial" w:hAnsi="Arial"/>
                <w:sz w:val="22"/>
                <w:szCs w:val="24"/>
              </w:rPr>
              <w:t>4488</w:t>
            </w:r>
          </w:p>
        </w:tc>
        <w:tc>
          <w:tcPr>
            <w:tcW w:w="1359" w:type="dxa"/>
          </w:tcPr>
          <w:p w14:paraId="3378DF02" w14:textId="77777777" w:rsidR="00F35E29" w:rsidRPr="00D8776E" w:rsidRDefault="002C7543" w:rsidP="00F35E29">
            <w:pPr>
              <w:rPr>
                <w:rFonts w:ascii="Arial" w:hAnsi="Arial"/>
                <w:sz w:val="22"/>
                <w:szCs w:val="24"/>
              </w:rPr>
            </w:pPr>
            <w:r w:rsidRPr="00D8776E">
              <w:rPr>
                <w:rFonts w:ascii="Arial" w:hAnsi="Arial"/>
                <w:sz w:val="22"/>
                <w:szCs w:val="24"/>
              </w:rPr>
              <w:t>983</w:t>
            </w:r>
          </w:p>
        </w:tc>
        <w:tc>
          <w:tcPr>
            <w:tcW w:w="1546" w:type="dxa"/>
          </w:tcPr>
          <w:p w14:paraId="3F102811" w14:textId="77777777" w:rsidR="00F35E29" w:rsidRPr="00D8776E" w:rsidRDefault="002C7543" w:rsidP="00F35E29">
            <w:pPr>
              <w:rPr>
                <w:rFonts w:ascii="Arial" w:hAnsi="Arial"/>
                <w:sz w:val="22"/>
                <w:szCs w:val="24"/>
              </w:rPr>
            </w:pPr>
            <w:r w:rsidRPr="00D8776E">
              <w:rPr>
                <w:rFonts w:ascii="Arial" w:hAnsi="Arial"/>
                <w:sz w:val="22"/>
                <w:szCs w:val="24"/>
              </w:rPr>
              <w:t>162</w:t>
            </w:r>
          </w:p>
        </w:tc>
      </w:tr>
      <w:tr w:rsidR="00BC1DE2" w:rsidRPr="00D8776E" w14:paraId="00555C9E" w14:textId="77777777" w:rsidTr="00D8776E">
        <w:tc>
          <w:tcPr>
            <w:tcW w:w="4979" w:type="dxa"/>
          </w:tcPr>
          <w:p w14:paraId="02E3F6EA" w14:textId="77777777" w:rsidR="00BC1DE2" w:rsidRPr="00D8776E" w:rsidRDefault="00BC1DE2" w:rsidP="00F35E29">
            <w:pPr>
              <w:rPr>
                <w:rFonts w:ascii="Arial" w:hAnsi="Arial"/>
                <w:sz w:val="22"/>
                <w:szCs w:val="24"/>
              </w:rPr>
            </w:pPr>
            <w:r w:rsidRPr="00D8776E">
              <w:rPr>
                <w:rFonts w:ascii="Arial" w:hAnsi="Arial"/>
                <w:sz w:val="22"/>
                <w:szCs w:val="24"/>
              </w:rPr>
              <w:t>Overall Workforce % by ethnicity</w:t>
            </w:r>
          </w:p>
        </w:tc>
        <w:tc>
          <w:tcPr>
            <w:tcW w:w="1358" w:type="dxa"/>
          </w:tcPr>
          <w:p w14:paraId="7E840F60" w14:textId="77777777" w:rsidR="00BC1DE2" w:rsidRPr="00D8776E" w:rsidRDefault="00886AE3" w:rsidP="00F35E29">
            <w:pPr>
              <w:rPr>
                <w:rFonts w:ascii="Arial" w:hAnsi="Arial"/>
                <w:sz w:val="22"/>
                <w:szCs w:val="24"/>
              </w:rPr>
            </w:pPr>
            <w:r w:rsidRPr="00D8776E">
              <w:rPr>
                <w:rFonts w:ascii="Arial" w:hAnsi="Arial"/>
                <w:sz w:val="22"/>
                <w:szCs w:val="24"/>
              </w:rPr>
              <w:t>79.7</w:t>
            </w:r>
            <w:r w:rsidR="002C7543" w:rsidRPr="00D8776E">
              <w:rPr>
                <w:rFonts w:ascii="Arial" w:hAnsi="Arial"/>
                <w:sz w:val="22"/>
                <w:szCs w:val="24"/>
              </w:rPr>
              <w:t>%</w:t>
            </w:r>
          </w:p>
        </w:tc>
        <w:tc>
          <w:tcPr>
            <w:tcW w:w="1359" w:type="dxa"/>
          </w:tcPr>
          <w:p w14:paraId="2B4EC1B3" w14:textId="77777777" w:rsidR="00BC1DE2" w:rsidRPr="00D8776E" w:rsidRDefault="00BC1DE2" w:rsidP="00886AE3">
            <w:pPr>
              <w:rPr>
                <w:rFonts w:ascii="Arial" w:hAnsi="Arial"/>
                <w:sz w:val="22"/>
                <w:szCs w:val="24"/>
              </w:rPr>
            </w:pPr>
            <w:r w:rsidRPr="00D8776E">
              <w:rPr>
                <w:rFonts w:ascii="Arial" w:hAnsi="Arial"/>
                <w:sz w:val="22"/>
                <w:szCs w:val="24"/>
              </w:rPr>
              <w:t>17.</w:t>
            </w:r>
            <w:r w:rsidR="00886AE3" w:rsidRPr="00D8776E">
              <w:rPr>
                <w:rFonts w:ascii="Arial" w:hAnsi="Arial"/>
                <w:sz w:val="22"/>
                <w:szCs w:val="24"/>
              </w:rPr>
              <w:t>5</w:t>
            </w:r>
            <w:r w:rsidRPr="00D8776E">
              <w:rPr>
                <w:rFonts w:ascii="Arial" w:hAnsi="Arial"/>
                <w:sz w:val="22"/>
                <w:szCs w:val="24"/>
              </w:rPr>
              <w:t>%</w:t>
            </w:r>
          </w:p>
        </w:tc>
        <w:tc>
          <w:tcPr>
            <w:tcW w:w="1546" w:type="dxa"/>
          </w:tcPr>
          <w:p w14:paraId="0769C91F" w14:textId="77777777" w:rsidR="00BC1DE2" w:rsidRPr="00D8776E" w:rsidRDefault="00886AE3" w:rsidP="00F35E29">
            <w:pPr>
              <w:rPr>
                <w:rFonts w:ascii="Arial" w:hAnsi="Arial"/>
                <w:sz w:val="22"/>
                <w:szCs w:val="24"/>
              </w:rPr>
            </w:pPr>
            <w:r w:rsidRPr="00D8776E">
              <w:rPr>
                <w:rFonts w:ascii="Arial" w:hAnsi="Arial"/>
                <w:sz w:val="22"/>
                <w:szCs w:val="24"/>
              </w:rPr>
              <w:t>2.9</w:t>
            </w:r>
            <w:r w:rsidR="00BC1DE2" w:rsidRPr="00D8776E">
              <w:rPr>
                <w:rFonts w:ascii="Arial" w:hAnsi="Arial"/>
                <w:sz w:val="22"/>
                <w:szCs w:val="24"/>
              </w:rPr>
              <w:t>%</w:t>
            </w:r>
          </w:p>
        </w:tc>
      </w:tr>
      <w:tr w:rsidR="00BC1DE2" w:rsidRPr="00D8776E" w14:paraId="07820864" w14:textId="77777777" w:rsidTr="00D8776E">
        <w:tc>
          <w:tcPr>
            <w:tcW w:w="4979" w:type="dxa"/>
            <w:shd w:val="clear" w:color="auto" w:fill="BFBFBF" w:themeFill="background1" w:themeFillShade="BF"/>
          </w:tcPr>
          <w:p w14:paraId="65CECF45" w14:textId="77777777" w:rsidR="00BC1DE2" w:rsidRPr="00D8776E" w:rsidRDefault="00BC1DE2" w:rsidP="00F35E29">
            <w:pPr>
              <w:rPr>
                <w:rFonts w:ascii="Arial" w:hAnsi="Arial"/>
                <w:sz w:val="22"/>
                <w:szCs w:val="24"/>
              </w:rPr>
            </w:pPr>
          </w:p>
        </w:tc>
        <w:tc>
          <w:tcPr>
            <w:tcW w:w="1358" w:type="dxa"/>
            <w:shd w:val="clear" w:color="auto" w:fill="BFBFBF" w:themeFill="background1" w:themeFillShade="BF"/>
          </w:tcPr>
          <w:p w14:paraId="49F27AE9" w14:textId="77777777" w:rsidR="00BC1DE2" w:rsidRPr="00D8776E" w:rsidRDefault="00BC1DE2" w:rsidP="00F35E29">
            <w:pPr>
              <w:rPr>
                <w:rFonts w:ascii="Arial" w:hAnsi="Arial"/>
                <w:sz w:val="22"/>
                <w:szCs w:val="24"/>
              </w:rPr>
            </w:pPr>
          </w:p>
        </w:tc>
        <w:tc>
          <w:tcPr>
            <w:tcW w:w="1359" w:type="dxa"/>
            <w:shd w:val="clear" w:color="auto" w:fill="BFBFBF" w:themeFill="background1" w:themeFillShade="BF"/>
          </w:tcPr>
          <w:p w14:paraId="766213A2" w14:textId="77777777" w:rsidR="00BC1DE2" w:rsidRPr="00D8776E" w:rsidRDefault="00BC1DE2" w:rsidP="00F35E29">
            <w:pPr>
              <w:rPr>
                <w:rFonts w:ascii="Arial" w:hAnsi="Arial"/>
                <w:sz w:val="22"/>
                <w:szCs w:val="24"/>
              </w:rPr>
            </w:pPr>
          </w:p>
        </w:tc>
        <w:tc>
          <w:tcPr>
            <w:tcW w:w="1546" w:type="dxa"/>
            <w:shd w:val="clear" w:color="auto" w:fill="BFBFBF" w:themeFill="background1" w:themeFillShade="BF"/>
          </w:tcPr>
          <w:p w14:paraId="2B9829A2" w14:textId="77777777" w:rsidR="00BC1DE2" w:rsidRPr="00D8776E" w:rsidRDefault="00BC1DE2" w:rsidP="00F35E29">
            <w:pPr>
              <w:rPr>
                <w:rFonts w:ascii="Arial" w:hAnsi="Arial"/>
                <w:sz w:val="22"/>
                <w:szCs w:val="24"/>
              </w:rPr>
            </w:pPr>
          </w:p>
        </w:tc>
      </w:tr>
      <w:tr w:rsidR="00F35E29" w:rsidRPr="00D8776E" w14:paraId="4A989E80" w14:textId="77777777" w:rsidTr="00D8776E">
        <w:tc>
          <w:tcPr>
            <w:tcW w:w="4979" w:type="dxa"/>
          </w:tcPr>
          <w:p w14:paraId="2288A452" w14:textId="77777777" w:rsidR="00F35E29" w:rsidRPr="00D8776E" w:rsidRDefault="00BC1DE2" w:rsidP="00F35E29">
            <w:pPr>
              <w:rPr>
                <w:rFonts w:ascii="Arial" w:hAnsi="Arial"/>
                <w:sz w:val="22"/>
                <w:szCs w:val="24"/>
              </w:rPr>
            </w:pPr>
            <w:r w:rsidRPr="00D8776E">
              <w:rPr>
                <w:rFonts w:ascii="Arial" w:hAnsi="Arial"/>
                <w:sz w:val="22"/>
                <w:szCs w:val="24"/>
              </w:rPr>
              <w:t>Total Board members by ethnicity (%)</w:t>
            </w:r>
          </w:p>
        </w:tc>
        <w:tc>
          <w:tcPr>
            <w:tcW w:w="1358" w:type="dxa"/>
          </w:tcPr>
          <w:p w14:paraId="6F1495E8" w14:textId="77777777" w:rsidR="00F35E29" w:rsidRPr="00D8776E" w:rsidRDefault="00BC1DE2" w:rsidP="009A5439">
            <w:pPr>
              <w:rPr>
                <w:rFonts w:ascii="Arial" w:hAnsi="Arial"/>
                <w:sz w:val="22"/>
                <w:szCs w:val="24"/>
              </w:rPr>
            </w:pPr>
            <w:r w:rsidRPr="00D8776E">
              <w:rPr>
                <w:rFonts w:ascii="Arial" w:hAnsi="Arial"/>
                <w:sz w:val="22"/>
                <w:szCs w:val="24"/>
              </w:rPr>
              <w:t>8</w:t>
            </w:r>
            <w:r w:rsidR="00886AE3" w:rsidRPr="00D8776E">
              <w:rPr>
                <w:rFonts w:ascii="Arial" w:hAnsi="Arial"/>
                <w:sz w:val="22"/>
                <w:szCs w:val="24"/>
              </w:rPr>
              <w:t>8.2</w:t>
            </w:r>
            <w:r w:rsidRPr="00D8776E">
              <w:rPr>
                <w:rFonts w:ascii="Arial" w:hAnsi="Arial"/>
                <w:sz w:val="22"/>
                <w:szCs w:val="24"/>
              </w:rPr>
              <w:t>%</w:t>
            </w:r>
          </w:p>
        </w:tc>
        <w:tc>
          <w:tcPr>
            <w:tcW w:w="1359" w:type="dxa"/>
          </w:tcPr>
          <w:p w14:paraId="03C7E75C" w14:textId="77777777" w:rsidR="00F35E29" w:rsidRPr="00D8776E" w:rsidRDefault="00886AE3" w:rsidP="00F35E29">
            <w:pPr>
              <w:rPr>
                <w:rFonts w:ascii="Arial" w:hAnsi="Arial"/>
                <w:sz w:val="22"/>
                <w:szCs w:val="24"/>
              </w:rPr>
            </w:pPr>
            <w:r w:rsidRPr="00D8776E">
              <w:rPr>
                <w:rFonts w:ascii="Arial" w:hAnsi="Arial"/>
                <w:sz w:val="22"/>
                <w:szCs w:val="24"/>
              </w:rPr>
              <w:t>11.8</w:t>
            </w:r>
            <w:r w:rsidR="00163BF4" w:rsidRPr="00D8776E">
              <w:rPr>
                <w:rFonts w:ascii="Arial" w:hAnsi="Arial"/>
                <w:sz w:val="22"/>
                <w:szCs w:val="24"/>
              </w:rPr>
              <w:t>%</w:t>
            </w:r>
          </w:p>
        </w:tc>
        <w:tc>
          <w:tcPr>
            <w:tcW w:w="1546" w:type="dxa"/>
          </w:tcPr>
          <w:p w14:paraId="2703747D" w14:textId="77777777" w:rsidR="00F35E29" w:rsidRPr="00D8776E" w:rsidRDefault="00886AE3" w:rsidP="00F35E29">
            <w:pPr>
              <w:rPr>
                <w:rFonts w:ascii="Arial" w:hAnsi="Arial"/>
                <w:sz w:val="22"/>
                <w:szCs w:val="24"/>
              </w:rPr>
            </w:pPr>
            <w:r w:rsidRPr="00D8776E">
              <w:rPr>
                <w:rFonts w:ascii="Arial" w:hAnsi="Arial"/>
                <w:sz w:val="22"/>
                <w:szCs w:val="24"/>
              </w:rPr>
              <w:t>0</w:t>
            </w:r>
            <w:r w:rsidR="005D6705" w:rsidRPr="00D8776E">
              <w:rPr>
                <w:rFonts w:ascii="Arial" w:hAnsi="Arial"/>
                <w:sz w:val="22"/>
                <w:szCs w:val="24"/>
              </w:rPr>
              <w:t>%</w:t>
            </w:r>
          </w:p>
        </w:tc>
      </w:tr>
      <w:tr w:rsidR="00BC1DE2" w:rsidRPr="00D8776E" w14:paraId="47AF27A8" w14:textId="77777777" w:rsidTr="00D8776E">
        <w:tc>
          <w:tcPr>
            <w:tcW w:w="4979" w:type="dxa"/>
            <w:shd w:val="clear" w:color="auto" w:fill="BFBFBF" w:themeFill="background1" w:themeFillShade="BF"/>
          </w:tcPr>
          <w:p w14:paraId="5C056C17" w14:textId="77777777" w:rsidR="00BC1DE2" w:rsidRPr="00D8776E" w:rsidRDefault="00BC1DE2" w:rsidP="00F35E29">
            <w:pPr>
              <w:rPr>
                <w:rFonts w:ascii="Arial" w:hAnsi="Arial"/>
                <w:sz w:val="22"/>
                <w:szCs w:val="24"/>
              </w:rPr>
            </w:pPr>
          </w:p>
        </w:tc>
        <w:tc>
          <w:tcPr>
            <w:tcW w:w="1358" w:type="dxa"/>
            <w:shd w:val="clear" w:color="auto" w:fill="BFBFBF" w:themeFill="background1" w:themeFillShade="BF"/>
          </w:tcPr>
          <w:p w14:paraId="57109528" w14:textId="77777777" w:rsidR="00BC1DE2" w:rsidRPr="00D8776E" w:rsidRDefault="00BC1DE2" w:rsidP="00F35E29">
            <w:pPr>
              <w:rPr>
                <w:rFonts w:ascii="Arial" w:hAnsi="Arial"/>
                <w:sz w:val="22"/>
                <w:szCs w:val="24"/>
              </w:rPr>
            </w:pPr>
          </w:p>
        </w:tc>
        <w:tc>
          <w:tcPr>
            <w:tcW w:w="1359" w:type="dxa"/>
            <w:shd w:val="clear" w:color="auto" w:fill="BFBFBF" w:themeFill="background1" w:themeFillShade="BF"/>
          </w:tcPr>
          <w:p w14:paraId="32370177" w14:textId="77777777" w:rsidR="00BC1DE2" w:rsidRPr="00D8776E" w:rsidRDefault="00BC1DE2" w:rsidP="00F35E29">
            <w:pPr>
              <w:rPr>
                <w:rFonts w:ascii="Arial" w:hAnsi="Arial"/>
                <w:sz w:val="22"/>
                <w:szCs w:val="24"/>
              </w:rPr>
            </w:pPr>
          </w:p>
        </w:tc>
        <w:tc>
          <w:tcPr>
            <w:tcW w:w="1546" w:type="dxa"/>
            <w:shd w:val="clear" w:color="auto" w:fill="BFBFBF" w:themeFill="background1" w:themeFillShade="BF"/>
          </w:tcPr>
          <w:p w14:paraId="033FF538" w14:textId="77777777" w:rsidR="00BC1DE2" w:rsidRPr="00D8776E" w:rsidRDefault="00BC1DE2" w:rsidP="00F35E29">
            <w:pPr>
              <w:rPr>
                <w:rFonts w:ascii="Arial" w:hAnsi="Arial"/>
                <w:sz w:val="22"/>
                <w:szCs w:val="24"/>
              </w:rPr>
            </w:pPr>
          </w:p>
        </w:tc>
      </w:tr>
      <w:tr w:rsidR="00BC1DE2" w:rsidRPr="00D8776E" w14:paraId="75081524" w14:textId="77777777" w:rsidTr="00D8776E">
        <w:tc>
          <w:tcPr>
            <w:tcW w:w="4979" w:type="dxa"/>
          </w:tcPr>
          <w:p w14:paraId="2591285C" w14:textId="77777777" w:rsidR="00BC1DE2" w:rsidRPr="00D8776E" w:rsidRDefault="00BC1DE2" w:rsidP="00F35E29">
            <w:pPr>
              <w:rPr>
                <w:rFonts w:ascii="Arial" w:hAnsi="Arial"/>
                <w:sz w:val="22"/>
                <w:szCs w:val="24"/>
              </w:rPr>
            </w:pPr>
            <w:r w:rsidRPr="00D8776E">
              <w:rPr>
                <w:rFonts w:ascii="Arial" w:hAnsi="Arial"/>
                <w:sz w:val="22"/>
                <w:szCs w:val="24"/>
              </w:rPr>
              <w:t>Difference Board membership to overall workforce</w:t>
            </w:r>
          </w:p>
        </w:tc>
        <w:tc>
          <w:tcPr>
            <w:tcW w:w="1358" w:type="dxa"/>
          </w:tcPr>
          <w:p w14:paraId="4CC6111C" w14:textId="77777777" w:rsidR="00BC1DE2" w:rsidRPr="00D8776E" w:rsidRDefault="00886AE3" w:rsidP="00F35E29">
            <w:pPr>
              <w:rPr>
                <w:rFonts w:ascii="Arial" w:hAnsi="Arial"/>
                <w:sz w:val="22"/>
                <w:szCs w:val="24"/>
              </w:rPr>
            </w:pPr>
            <w:r w:rsidRPr="00D8776E">
              <w:rPr>
                <w:rFonts w:ascii="Arial" w:hAnsi="Arial"/>
                <w:sz w:val="22"/>
                <w:szCs w:val="24"/>
              </w:rPr>
              <w:t>8.6</w:t>
            </w:r>
            <w:r w:rsidR="00BC1DE2" w:rsidRPr="00D8776E">
              <w:rPr>
                <w:rFonts w:ascii="Arial" w:hAnsi="Arial"/>
                <w:sz w:val="22"/>
                <w:szCs w:val="24"/>
              </w:rPr>
              <w:t>%</w:t>
            </w:r>
          </w:p>
        </w:tc>
        <w:tc>
          <w:tcPr>
            <w:tcW w:w="1359" w:type="dxa"/>
          </w:tcPr>
          <w:p w14:paraId="658B4825" w14:textId="77777777" w:rsidR="00BC1DE2" w:rsidRPr="00D8776E" w:rsidRDefault="00BC1DE2" w:rsidP="007655B9">
            <w:pPr>
              <w:rPr>
                <w:rFonts w:ascii="Arial" w:hAnsi="Arial"/>
                <w:sz w:val="22"/>
                <w:szCs w:val="24"/>
              </w:rPr>
            </w:pPr>
            <w:r w:rsidRPr="00D8776E">
              <w:rPr>
                <w:rFonts w:ascii="Arial" w:hAnsi="Arial"/>
                <w:sz w:val="22"/>
                <w:szCs w:val="24"/>
              </w:rPr>
              <w:t>-</w:t>
            </w:r>
            <w:r w:rsidR="00886AE3" w:rsidRPr="00D8776E">
              <w:rPr>
                <w:rFonts w:ascii="Arial" w:hAnsi="Arial"/>
                <w:sz w:val="22"/>
                <w:szCs w:val="24"/>
              </w:rPr>
              <w:t>5.7</w:t>
            </w:r>
            <w:r w:rsidRPr="00D8776E">
              <w:rPr>
                <w:rFonts w:ascii="Arial" w:hAnsi="Arial"/>
                <w:sz w:val="22"/>
                <w:szCs w:val="24"/>
              </w:rPr>
              <w:t>%</w:t>
            </w:r>
          </w:p>
        </w:tc>
        <w:tc>
          <w:tcPr>
            <w:tcW w:w="1546" w:type="dxa"/>
          </w:tcPr>
          <w:p w14:paraId="2B5B9FA4" w14:textId="77777777" w:rsidR="00BC1DE2" w:rsidRPr="00D8776E" w:rsidRDefault="00886AE3" w:rsidP="00163BF4">
            <w:pPr>
              <w:rPr>
                <w:rFonts w:ascii="Arial" w:hAnsi="Arial"/>
                <w:sz w:val="22"/>
                <w:szCs w:val="24"/>
              </w:rPr>
            </w:pPr>
            <w:r w:rsidRPr="00D8776E">
              <w:rPr>
                <w:rFonts w:ascii="Arial" w:hAnsi="Arial"/>
                <w:sz w:val="22"/>
                <w:szCs w:val="24"/>
              </w:rPr>
              <w:t>-2.9</w:t>
            </w:r>
            <w:r w:rsidR="005D6705" w:rsidRPr="00D8776E">
              <w:rPr>
                <w:rFonts w:ascii="Arial" w:hAnsi="Arial"/>
                <w:sz w:val="22"/>
                <w:szCs w:val="24"/>
              </w:rPr>
              <w:t>%</w:t>
            </w:r>
          </w:p>
        </w:tc>
      </w:tr>
    </w:tbl>
    <w:p w14:paraId="521FF99E" w14:textId="77777777" w:rsidR="006A5D39" w:rsidRPr="006044A8" w:rsidRDefault="006A5D39">
      <w:pPr>
        <w:rPr>
          <w:rFonts w:ascii="Arial" w:hAnsi="Arial"/>
          <w:color w:val="FF0000"/>
          <w:sz w:val="24"/>
          <w:szCs w:val="24"/>
        </w:rPr>
      </w:pPr>
    </w:p>
    <w:p w14:paraId="2FB7FFD6" w14:textId="77777777" w:rsidR="00E13359" w:rsidRPr="00D8776E" w:rsidRDefault="00B8297A" w:rsidP="001D3225">
      <w:pPr>
        <w:jc w:val="both"/>
        <w:rPr>
          <w:rFonts w:ascii="Arial" w:hAnsi="Arial"/>
          <w:b/>
          <w:sz w:val="22"/>
          <w:szCs w:val="24"/>
        </w:rPr>
      </w:pPr>
      <w:r w:rsidRPr="00D8776E">
        <w:rPr>
          <w:rFonts w:ascii="Arial" w:hAnsi="Arial"/>
          <w:sz w:val="22"/>
          <w:szCs w:val="24"/>
        </w:rPr>
        <w:t>There has been an additional BAME Non-Executive Director appointed to the Board.</w:t>
      </w:r>
    </w:p>
    <w:p w14:paraId="40DE7BA0" w14:textId="77777777" w:rsidR="00D8776E" w:rsidRDefault="00D8776E">
      <w:pPr>
        <w:spacing w:after="160" w:line="259" w:lineRule="auto"/>
        <w:rPr>
          <w:rFonts w:ascii="Arial" w:hAnsi="Arial"/>
          <w:b/>
          <w:sz w:val="22"/>
          <w:szCs w:val="24"/>
        </w:rPr>
      </w:pPr>
    </w:p>
    <w:p w14:paraId="32397C85" w14:textId="77777777" w:rsidR="00D8776E" w:rsidRDefault="00D8776E" w:rsidP="001D3225">
      <w:pPr>
        <w:jc w:val="both"/>
        <w:rPr>
          <w:rFonts w:ascii="Arial" w:hAnsi="Arial"/>
          <w:b/>
          <w:sz w:val="24"/>
          <w:szCs w:val="24"/>
        </w:rPr>
      </w:pPr>
    </w:p>
    <w:p w14:paraId="626ADA86" w14:textId="77777777" w:rsidR="00884463" w:rsidRPr="005A4350" w:rsidRDefault="006A55F0" w:rsidP="001D3225">
      <w:pPr>
        <w:jc w:val="both"/>
        <w:rPr>
          <w:rFonts w:ascii="Arial" w:hAnsi="Arial"/>
          <w:b/>
          <w:sz w:val="24"/>
          <w:szCs w:val="24"/>
        </w:rPr>
      </w:pPr>
      <w:r>
        <w:rPr>
          <w:rFonts w:ascii="Arial" w:hAnsi="Arial"/>
          <w:b/>
          <w:sz w:val="24"/>
          <w:szCs w:val="24"/>
        </w:rPr>
        <w:lastRenderedPageBreak/>
        <w:t>Workforce Disparity R</w:t>
      </w:r>
      <w:r w:rsidR="00DA0736">
        <w:rPr>
          <w:rFonts w:ascii="Arial" w:hAnsi="Arial"/>
          <w:b/>
          <w:sz w:val="24"/>
          <w:szCs w:val="24"/>
        </w:rPr>
        <w:t>atios</w:t>
      </w:r>
    </w:p>
    <w:p w14:paraId="384E2936" w14:textId="77777777" w:rsidR="004D50A0" w:rsidRPr="00D8776E" w:rsidRDefault="00A61451" w:rsidP="004D50A0">
      <w:pPr>
        <w:jc w:val="both"/>
        <w:rPr>
          <w:rFonts w:ascii="Arial" w:hAnsi="Arial"/>
          <w:sz w:val="22"/>
          <w:szCs w:val="24"/>
        </w:rPr>
      </w:pPr>
      <w:r w:rsidRPr="00D8776E">
        <w:rPr>
          <w:rFonts w:ascii="Arial" w:hAnsi="Arial"/>
          <w:sz w:val="22"/>
          <w:szCs w:val="24"/>
        </w:rPr>
        <w:t>The ‘disparity ratio’ has been developed as a metric by the national WRES team to aid organisations in working towards the Model Employer target to reflect representa</w:t>
      </w:r>
      <w:r w:rsidR="006A55F0" w:rsidRPr="00D8776E">
        <w:rPr>
          <w:rFonts w:ascii="Arial" w:hAnsi="Arial"/>
          <w:sz w:val="22"/>
          <w:szCs w:val="24"/>
        </w:rPr>
        <w:t>tion of ethnic minority staff for</w:t>
      </w:r>
      <w:r w:rsidRPr="00D8776E">
        <w:rPr>
          <w:rFonts w:ascii="Arial" w:hAnsi="Arial"/>
          <w:sz w:val="22"/>
          <w:szCs w:val="24"/>
        </w:rPr>
        <w:t xml:space="preserve"> equal proportions in all AfC pay scales by 2025.</w:t>
      </w:r>
    </w:p>
    <w:p w14:paraId="298FD0FD" w14:textId="77777777" w:rsidR="004D50A0" w:rsidRPr="00D8776E" w:rsidRDefault="004D50A0" w:rsidP="004D50A0">
      <w:pPr>
        <w:jc w:val="both"/>
        <w:rPr>
          <w:rFonts w:ascii="Arial" w:hAnsi="Arial"/>
          <w:sz w:val="22"/>
          <w:szCs w:val="24"/>
        </w:rPr>
      </w:pPr>
    </w:p>
    <w:p w14:paraId="0D51419F" w14:textId="77777777" w:rsidR="006A55F0" w:rsidRPr="00D8776E" w:rsidRDefault="004D50A0" w:rsidP="004D50A0">
      <w:pPr>
        <w:jc w:val="both"/>
        <w:rPr>
          <w:rFonts w:ascii="Arial" w:hAnsi="Arial"/>
          <w:sz w:val="22"/>
          <w:szCs w:val="24"/>
        </w:rPr>
      </w:pPr>
      <w:r w:rsidRPr="00D8776E">
        <w:rPr>
          <w:rFonts w:ascii="Arial" w:hAnsi="Arial"/>
          <w:sz w:val="22"/>
          <w:szCs w:val="24"/>
          <w:lang w:eastAsia="en-US"/>
        </w:rPr>
        <w:t>One of the national priorities was</w:t>
      </w:r>
      <w:r w:rsidR="006A55F0" w:rsidRPr="00D8776E">
        <w:rPr>
          <w:rFonts w:ascii="Arial" w:hAnsi="Arial"/>
          <w:sz w:val="22"/>
          <w:szCs w:val="24"/>
          <w:lang w:eastAsia="en-US"/>
        </w:rPr>
        <w:t xml:space="preserve"> for </w:t>
      </w:r>
      <w:r w:rsidRPr="00D8776E">
        <w:rPr>
          <w:rFonts w:ascii="Arial" w:hAnsi="Arial"/>
          <w:sz w:val="22"/>
          <w:szCs w:val="24"/>
          <w:lang w:eastAsia="en-US"/>
        </w:rPr>
        <w:t>organisations to provide</w:t>
      </w:r>
      <w:r w:rsidR="006A55F0" w:rsidRPr="00D8776E">
        <w:rPr>
          <w:rFonts w:ascii="Arial" w:hAnsi="Arial"/>
          <w:sz w:val="22"/>
          <w:szCs w:val="24"/>
          <w:lang w:eastAsia="en-US"/>
        </w:rPr>
        <w:t xml:space="preserve"> </w:t>
      </w:r>
      <w:r w:rsidRPr="00D8776E">
        <w:rPr>
          <w:rFonts w:ascii="Arial" w:hAnsi="Arial"/>
          <w:color w:val="000000"/>
          <w:sz w:val="22"/>
          <w:szCs w:val="24"/>
          <w:lang w:eastAsia="en-US"/>
        </w:rPr>
        <w:t xml:space="preserve">a dedicated action plan on the steps identified to </w:t>
      </w:r>
      <w:r w:rsidR="006A55F0" w:rsidRPr="00D8776E">
        <w:rPr>
          <w:rFonts w:ascii="Arial" w:hAnsi="Arial"/>
          <w:color w:val="000000"/>
          <w:sz w:val="22"/>
          <w:szCs w:val="24"/>
          <w:lang w:eastAsia="en-US"/>
        </w:rPr>
        <w:t xml:space="preserve">reduce the disparity ratio in BAME staff from </w:t>
      </w:r>
      <w:r w:rsidR="006A55F0" w:rsidRPr="00D8776E">
        <w:rPr>
          <w:rFonts w:ascii="Arial" w:hAnsi="Arial"/>
          <w:b/>
          <w:bCs/>
          <w:color w:val="000000"/>
          <w:sz w:val="22"/>
          <w:szCs w:val="24"/>
          <w:lang w:eastAsia="en-US"/>
        </w:rPr>
        <w:t>Band 6 and above</w:t>
      </w:r>
      <w:r w:rsidR="006A55F0" w:rsidRPr="00D8776E">
        <w:rPr>
          <w:rFonts w:ascii="Arial" w:hAnsi="Arial"/>
          <w:color w:val="000000"/>
          <w:sz w:val="22"/>
          <w:szCs w:val="24"/>
          <w:lang w:eastAsia="en-US"/>
        </w:rPr>
        <w:t xml:space="preserve"> to </w:t>
      </w:r>
      <w:r w:rsidR="006A55F0" w:rsidRPr="00D8776E">
        <w:rPr>
          <w:rFonts w:ascii="Arial" w:hAnsi="Arial"/>
          <w:b/>
          <w:bCs/>
          <w:color w:val="000000"/>
          <w:sz w:val="22"/>
          <w:szCs w:val="24"/>
          <w:lang w:eastAsia="en-US"/>
        </w:rPr>
        <w:t>1.5</w:t>
      </w:r>
      <w:r w:rsidRPr="00D8776E">
        <w:rPr>
          <w:rFonts w:ascii="Arial" w:hAnsi="Arial"/>
          <w:b/>
          <w:bCs/>
          <w:color w:val="000000"/>
          <w:sz w:val="22"/>
          <w:szCs w:val="24"/>
          <w:lang w:eastAsia="en-US"/>
        </w:rPr>
        <w:t>.</w:t>
      </w:r>
      <w:r w:rsidR="006A55F0" w:rsidRPr="00D8776E">
        <w:rPr>
          <w:rFonts w:ascii="Arial" w:hAnsi="Arial"/>
          <w:color w:val="000000"/>
          <w:sz w:val="22"/>
          <w:szCs w:val="24"/>
          <w:lang w:eastAsia="en-US"/>
        </w:rPr>
        <w:t xml:space="preserve"> </w:t>
      </w:r>
    </w:p>
    <w:p w14:paraId="014F1DB9" w14:textId="77777777" w:rsidR="004D50A0" w:rsidRPr="00D8776E" w:rsidRDefault="004D50A0" w:rsidP="006A55F0">
      <w:pPr>
        <w:rPr>
          <w:rFonts w:cs="Calibri"/>
          <w:sz w:val="22"/>
          <w:szCs w:val="22"/>
          <w:lang w:eastAsia="en-US"/>
        </w:rPr>
      </w:pPr>
    </w:p>
    <w:p w14:paraId="5333F515" w14:textId="77777777" w:rsidR="00D8776E" w:rsidRDefault="004D50A0" w:rsidP="006A55F0">
      <w:pPr>
        <w:rPr>
          <w:rFonts w:ascii="Arial" w:hAnsi="Arial"/>
          <w:sz w:val="22"/>
          <w:szCs w:val="22"/>
          <w:lang w:eastAsia="en-US"/>
        </w:rPr>
      </w:pPr>
      <w:r w:rsidRPr="00D8776E">
        <w:rPr>
          <w:rFonts w:ascii="Arial" w:hAnsi="Arial"/>
          <w:sz w:val="22"/>
          <w:szCs w:val="22"/>
          <w:lang w:eastAsia="en-US"/>
        </w:rPr>
        <w:t xml:space="preserve">Figure 3, shows our </w:t>
      </w:r>
      <w:r w:rsidR="006A55F0" w:rsidRPr="00D8776E">
        <w:rPr>
          <w:rFonts w:ascii="Arial" w:hAnsi="Arial"/>
          <w:sz w:val="22"/>
          <w:szCs w:val="22"/>
          <w:lang w:eastAsia="en-US"/>
        </w:rPr>
        <w:t xml:space="preserve">WRES disparity ratios. Please note the disparity ratio is the comparison between the progression ratios for white and BME staff. Progression ratios are the probability of white staff versus BME staff being promoted through the lower (band 5 and below), middle (band 6 &amp; &amp;7) and higher bands (8a and above). </w:t>
      </w:r>
    </w:p>
    <w:p w14:paraId="0B4E0D49" w14:textId="77777777" w:rsidR="006A55F0" w:rsidRPr="006A55F0" w:rsidRDefault="006A55F0" w:rsidP="006A55F0">
      <w:pPr>
        <w:rPr>
          <w:rFonts w:cs="Calibri"/>
          <w:sz w:val="22"/>
          <w:szCs w:val="22"/>
          <w:lang w:eastAsia="en-US"/>
        </w:rPr>
      </w:pPr>
    </w:p>
    <w:tbl>
      <w:tblPr>
        <w:tblW w:w="9280" w:type="dxa"/>
        <w:tblInd w:w="-1" w:type="dxa"/>
        <w:tblCellMar>
          <w:left w:w="0" w:type="dxa"/>
          <w:right w:w="0" w:type="dxa"/>
        </w:tblCellMar>
        <w:tblLook w:val="04A0" w:firstRow="1" w:lastRow="0" w:firstColumn="1" w:lastColumn="0" w:noHBand="0" w:noVBand="1"/>
      </w:tblPr>
      <w:tblGrid>
        <w:gridCol w:w="6400"/>
        <w:gridCol w:w="960"/>
        <w:gridCol w:w="960"/>
        <w:gridCol w:w="960"/>
      </w:tblGrid>
      <w:tr w:rsidR="006A55F0" w:rsidRPr="006A55F0" w14:paraId="38E9EC8F" w14:textId="77777777" w:rsidTr="00304320">
        <w:trPr>
          <w:trHeight w:val="576"/>
        </w:trPr>
        <w:tc>
          <w:tcPr>
            <w:tcW w:w="6400" w:type="dxa"/>
            <w:tcBorders>
              <w:top w:val="single" w:sz="8" w:space="0" w:color="auto"/>
              <w:left w:val="single" w:sz="8" w:space="0" w:color="auto"/>
              <w:bottom w:val="single" w:sz="8" w:space="0" w:color="auto"/>
              <w:right w:val="nil"/>
            </w:tcBorders>
            <w:shd w:val="clear" w:color="auto" w:fill="00B0F0"/>
            <w:tcMar>
              <w:top w:w="0" w:type="dxa"/>
              <w:left w:w="108" w:type="dxa"/>
              <w:bottom w:w="0" w:type="dxa"/>
              <w:right w:w="108" w:type="dxa"/>
            </w:tcMar>
            <w:vAlign w:val="center"/>
            <w:hideMark/>
          </w:tcPr>
          <w:p w14:paraId="4C60629D" w14:textId="77777777" w:rsidR="006A55F0" w:rsidRPr="006A55F0" w:rsidRDefault="006A55F0" w:rsidP="006A55F0">
            <w:pPr>
              <w:jc w:val="center"/>
              <w:rPr>
                <w:rFonts w:cs="Calibri"/>
                <w:b/>
                <w:bCs/>
                <w:color w:val="000000"/>
                <w:sz w:val="22"/>
                <w:szCs w:val="22"/>
              </w:rPr>
            </w:pPr>
            <w:r w:rsidRPr="006A55F0">
              <w:rPr>
                <w:rFonts w:cs="Calibri"/>
                <w:b/>
                <w:bCs/>
                <w:color w:val="000000"/>
                <w:sz w:val="22"/>
                <w:szCs w:val="22"/>
              </w:rPr>
              <w:t>Trust Name</w:t>
            </w:r>
          </w:p>
        </w:tc>
        <w:tc>
          <w:tcPr>
            <w:tcW w:w="960"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28B40A9C" w14:textId="77777777" w:rsidR="006A55F0" w:rsidRPr="006A55F0" w:rsidRDefault="006A55F0" w:rsidP="006A55F0">
            <w:pPr>
              <w:jc w:val="center"/>
              <w:rPr>
                <w:rFonts w:cs="Calibri"/>
                <w:b/>
                <w:bCs/>
                <w:color w:val="000000"/>
                <w:sz w:val="22"/>
                <w:szCs w:val="22"/>
              </w:rPr>
            </w:pPr>
            <w:r w:rsidRPr="006A55F0">
              <w:rPr>
                <w:rFonts w:cs="Calibri"/>
                <w:b/>
                <w:bCs/>
                <w:color w:val="000000"/>
                <w:sz w:val="22"/>
                <w:szCs w:val="22"/>
              </w:rPr>
              <w:t>Lower to Middle</w:t>
            </w:r>
          </w:p>
        </w:tc>
        <w:tc>
          <w:tcPr>
            <w:tcW w:w="96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E07D9E4" w14:textId="77777777" w:rsidR="006A55F0" w:rsidRPr="006A55F0" w:rsidRDefault="006A55F0" w:rsidP="006A55F0">
            <w:pPr>
              <w:jc w:val="center"/>
              <w:rPr>
                <w:rFonts w:cs="Calibri"/>
                <w:b/>
                <w:bCs/>
                <w:color w:val="000000"/>
                <w:sz w:val="22"/>
                <w:szCs w:val="22"/>
              </w:rPr>
            </w:pPr>
            <w:r w:rsidRPr="006A55F0">
              <w:rPr>
                <w:rFonts w:cs="Calibri"/>
                <w:b/>
                <w:bCs/>
                <w:color w:val="000000"/>
                <w:sz w:val="22"/>
                <w:szCs w:val="22"/>
              </w:rPr>
              <w:t>Middle to Upper</w:t>
            </w:r>
          </w:p>
        </w:tc>
        <w:tc>
          <w:tcPr>
            <w:tcW w:w="96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E3EC3CA" w14:textId="77777777" w:rsidR="006A55F0" w:rsidRPr="006A55F0" w:rsidRDefault="006A55F0" w:rsidP="006A55F0">
            <w:pPr>
              <w:jc w:val="center"/>
              <w:rPr>
                <w:rFonts w:cs="Calibri"/>
                <w:b/>
                <w:bCs/>
                <w:color w:val="000000"/>
                <w:sz w:val="22"/>
                <w:szCs w:val="22"/>
              </w:rPr>
            </w:pPr>
            <w:r w:rsidRPr="006A55F0">
              <w:rPr>
                <w:rFonts w:cs="Calibri"/>
                <w:b/>
                <w:bCs/>
                <w:color w:val="000000"/>
                <w:sz w:val="22"/>
                <w:szCs w:val="22"/>
              </w:rPr>
              <w:t>Lower to Upper</w:t>
            </w:r>
          </w:p>
        </w:tc>
      </w:tr>
      <w:tr w:rsidR="006A55F0" w:rsidRPr="006A55F0" w14:paraId="38B634E0" w14:textId="77777777" w:rsidTr="00304320">
        <w:trPr>
          <w:trHeight w:val="288"/>
        </w:trPr>
        <w:tc>
          <w:tcPr>
            <w:tcW w:w="64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24EB11" w14:textId="77777777" w:rsidR="006A55F0" w:rsidRPr="006A55F0" w:rsidRDefault="006A55F0" w:rsidP="006A55F0">
            <w:pPr>
              <w:jc w:val="center"/>
              <w:rPr>
                <w:rFonts w:cs="Calibri"/>
                <w:color w:val="000000"/>
                <w:sz w:val="22"/>
                <w:szCs w:val="22"/>
              </w:rPr>
            </w:pPr>
            <w:r w:rsidRPr="006A55F0">
              <w:rPr>
                <w:rFonts w:cs="Calibri"/>
                <w:color w:val="000000"/>
                <w:sz w:val="22"/>
                <w:szCs w:val="22"/>
              </w:rPr>
              <w:t>STOCKPORT NHS FOUNDATION TRUST</w:t>
            </w:r>
          </w:p>
        </w:tc>
        <w:tc>
          <w:tcPr>
            <w:tcW w:w="960" w:type="dxa"/>
            <w:tcBorders>
              <w:top w:val="nil"/>
              <w:left w:val="nil"/>
              <w:bottom w:val="single" w:sz="8" w:space="0" w:color="auto"/>
              <w:right w:val="single" w:sz="8" w:space="0" w:color="auto"/>
            </w:tcBorders>
            <w:shd w:val="clear" w:color="auto" w:fill="FFC000"/>
            <w:noWrap/>
            <w:tcMar>
              <w:top w:w="0" w:type="dxa"/>
              <w:left w:w="108" w:type="dxa"/>
              <w:bottom w:w="0" w:type="dxa"/>
              <w:right w:w="108" w:type="dxa"/>
            </w:tcMar>
            <w:vAlign w:val="bottom"/>
            <w:hideMark/>
          </w:tcPr>
          <w:p w14:paraId="005A98BD" w14:textId="77777777" w:rsidR="006A55F0" w:rsidRPr="006A55F0" w:rsidRDefault="006A55F0" w:rsidP="006A55F0">
            <w:pPr>
              <w:jc w:val="center"/>
              <w:rPr>
                <w:rFonts w:cs="Calibri"/>
                <w:color w:val="000000"/>
                <w:sz w:val="22"/>
                <w:szCs w:val="22"/>
              </w:rPr>
            </w:pPr>
            <w:r w:rsidRPr="006A55F0">
              <w:rPr>
                <w:rFonts w:cs="Calibri"/>
                <w:color w:val="000000"/>
                <w:sz w:val="22"/>
                <w:szCs w:val="22"/>
              </w:rPr>
              <w:t>2.10</w:t>
            </w:r>
          </w:p>
        </w:tc>
        <w:tc>
          <w:tcPr>
            <w:tcW w:w="960" w:type="dxa"/>
            <w:tcBorders>
              <w:top w:val="nil"/>
              <w:left w:val="nil"/>
              <w:bottom w:val="single" w:sz="8" w:space="0" w:color="auto"/>
              <w:right w:val="single" w:sz="8" w:space="0" w:color="auto"/>
            </w:tcBorders>
            <w:shd w:val="clear" w:color="auto" w:fill="FFC000"/>
            <w:noWrap/>
            <w:tcMar>
              <w:top w:w="0" w:type="dxa"/>
              <w:left w:w="108" w:type="dxa"/>
              <w:bottom w:w="0" w:type="dxa"/>
              <w:right w:w="108" w:type="dxa"/>
            </w:tcMar>
            <w:vAlign w:val="bottom"/>
            <w:hideMark/>
          </w:tcPr>
          <w:p w14:paraId="2EA2288F" w14:textId="77777777" w:rsidR="006A55F0" w:rsidRPr="006A55F0" w:rsidRDefault="006A55F0" w:rsidP="006A55F0">
            <w:pPr>
              <w:jc w:val="center"/>
              <w:rPr>
                <w:rFonts w:cs="Calibri"/>
                <w:color w:val="000000"/>
                <w:sz w:val="22"/>
                <w:szCs w:val="22"/>
              </w:rPr>
            </w:pPr>
            <w:r w:rsidRPr="006A55F0">
              <w:rPr>
                <w:rFonts w:cs="Calibri"/>
                <w:color w:val="000000"/>
                <w:sz w:val="22"/>
                <w:szCs w:val="22"/>
              </w:rPr>
              <w:t>2.03</w:t>
            </w:r>
          </w:p>
        </w:tc>
        <w:tc>
          <w:tcPr>
            <w:tcW w:w="960"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1DFAC722" w14:textId="77777777" w:rsidR="006A55F0" w:rsidRPr="006A55F0" w:rsidRDefault="006A55F0" w:rsidP="006A55F0">
            <w:pPr>
              <w:jc w:val="center"/>
              <w:rPr>
                <w:rFonts w:cs="Calibri"/>
                <w:color w:val="000000"/>
                <w:sz w:val="22"/>
                <w:szCs w:val="22"/>
              </w:rPr>
            </w:pPr>
            <w:r w:rsidRPr="006A55F0">
              <w:rPr>
                <w:rFonts w:cs="Calibri"/>
                <w:color w:val="000000"/>
                <w:sz w:val="22"/>
                <w:szCs w:val="22"/>
              </w:rPr>
              <w:t>4.26</w:t>
            </w:r>
          </w:p>
        </w:tc>
      </w:tr>
    </w:tbl>
    <w:p w14:paraId="411740D4" w14:textId="77777777" w:rsidR="006A55F0" w:rsidRPr="006A55F0" w:rsidRDefault="006A55F0" w:rsidP="006A55F0">
      <w:pPr>
        <w:rPr>
          <w:rFonts w:cs="Calibri"/>
          <w:sz w:val="22"/>
          <w:szCs w:val="22"/>
          <w:lang w:eastAsia="en-US"/>
        </w:rPr>
      </w:pPr>
    </w:p>
    <w:p w14:paraId="341EDB7C" w14:textId="77777777" w:rsidR="006A55F0" w:rsidRPr="00D8776E" w:rsidRDefault="006A55F0" w:rsidP="006A55F0">
      <w:pPr>
        <w:rPr>
          <w:rFonts w:ascii="Arial" w:hAnsi="Arial"/>
          <w:sz w:val="22"/>
          <w:szCs w:val="24"/>
          <w:lang w:eastAsia="en-US"/>
        </w:rPr>
      </w:pPr>
      <w:r w:rsidRPr="00D8776E">
        <w:rPr>
          <w:rFonts w:ascii="Arial" w:hAnsi="Arial"/>
          <w:sz w:val="22"/>
          <w:szCs w:val="24"/>
          <w:lang w:eastAsia="en-US"/>
        </w:rPr>
        <w:t>The data above shows that white staff at grades 6 &amp; 7 (middle) are 2.03 times more likely to progress to 8a and above through the organis</w:t>
      </w:r>
      <w:r w:rsidR="004D50A0" w:rsidRPr="00D8776E">
        <w:rPr>
          <w:rFonts w:ascii="Arial" w:hAnsi="Arial"/>
          <w:sz w:val="22"/>
          <w:szCs w:val="24"/>
          <w:lang w:eastAsia="en-US"/>
        </w:rPr>
        <w:t>ation compared to BME staff;</w:t>
      </w:r>
      <w:r w:rsidRPr="00D8776E">
        <w:rPr>
          <w:rFonts w:ascii="Arial" w:hAnsi="Arial"/>
          <w:sz w:val="22"/>
          <w:szCs w:val="24"/>
          <w:lang w:eastAsia="en-US"/>
        </w:rPr>
        <w:t xml:space="preserve"> white staff are 4.26 times more likely to progress through the organisation</w:t>
      </w:r>
      <w:r w:rsidR="004D50A0" w:rsidRPr="00D8776E">
        <w:rPr>
          <w:rFonts w:ascii="Arial" w:hAnsi="Arial"/>
          <w:sz w:val="22"/>
          <w:szCs w:val="24"/>
          <w:lang w:eastAsia="en-US"/>
        </w:rPr>
        <w:t xml:space="preserve"> in</w:t>
      </w:r>
      <w:r w:rsidRPr="00D8776E">
        <w:rPr>
          <w:rFonts w:ascii="Arial" w:hAnsi="Arial"/>
          <w:sz w:val="22"/>
          <w:szCs w:val="24"/>
          <w:lang w:eastAsia="en-US"/>
        </w:rPr>
        <w:t xml:space="preserve"> </w:t>
      </w:r>
      <w:r w:rsidR="004D50A0" w:rsidRPr="00D8776E">
        <w:rPr>
          <w:rFonts w:ascii="Arial" w:hAnsi="Arial"/>
          <w:sz w:val="22"/>
          <w:szCs w:val="24"/>
          <w:lang w:eastAsia="en-US"/>
        </w:rPr>
        <w:t>relative comparison</w:t>
      </w:r>
      <w:r w:rsidRPr="00D8776E">
        <w:rPr>
          <w:rFonts w:ascii="Arial" w:hAnsi="Arial"/>
          <w:sz w:val="22"/>
          <w:szCs w:val="24"/>
          <w:lang w:eastAsia="en-US"/>
        </w:rPr>
        <w:t xml:space="preserve"> to BME staff. </w:t>
      </w:r>
    </w:p>
    <w:p w14:paraId="1ED6EF0D" w14:textId="77777777" w:rsidR="006A55F0" w:rsidRPr="00D8776E" w:rsidRDefault="006A55F0" w:rsidP="001D3225">
      <w:pPr>
        <w:jc w:val="both"/>
        <w:rPr>
          <w:rFonts w:ascii="Arial" w:hAnsi="Arial"/>
          <w:sz w:val="22"/>
          <w:szCs w:val="24"/>
          <w:lang w:eastAsia="en-US"/>
        </w:rPr>
      </w:pPr>
    </w:p>
    <w:p w14:paraId="369D98BE" w14:textId="77777777" w:rsidR="00277A65" w:rsidRPr="00D8776E" w:rsidRDefault="00431FF5" w:rsidP="001D3225">
      <w:pPr>
        <w:jc w:val="both"/>
        <w:rPr>
          <w:rFonts w:ascii="Arial" w:hAnsi="Arial"/>
          <w:sz w:val="22"/>
          <w:szCs w:val="24"/>
        </w:rPr>
      </w:pPr>
      <w:r w:rsidRPr="00D8776E">
        <w:rPr>
          <w:rFonts w:ascii="Arial" w:hAnsi="Arial"/>
          <w:sz w:val="22"/>
          <w:szCs w:val="24"/>
        </w:rPr>
        <w:t>Our approach to</w:t>
      </w:r>
      <w:r w:rsidR="00277A65" w:rsidRPr="00D8776E">
        <w:rPr>
          <w:rFonts w:ascii="Arial" w:hAnsi="Arial"/>
          <w:sz w:val="22"/>
          <w:szCs w:val="24"/>
        </w:rPr>
        <w:t xml:space="preserve"> E</w:t>
      </w:r>
      <w:r w:rsidRPr="00D8776E">
        <w:rPr>
          <w:rFonts w:ascii="Arial" w:hAnsi="Arial"/>
          <w:sz w:val="22"/>
          <w:szCs w:val="24"/>
        </w:rPr>
        <w:t xml:space="preserve">quality, </w:t>
      </w:r>
      <w:r w:rsidR="00277A65" w:rsidRPr="00D8776E">
        <w:rPr>
          <w:rFonts w:ascii="Arial" w:hAnsi="Arial"/>
          <w:sz w:val="22"/>
          <w:szCs w:val="24"/>
        </w:rPr>
        <w:t>D</w:t>
      </w:r>
      <w:r w:rsidRPr="00D8776E">
        <w:rPr>
          <w:rFonts w:ascii="Arial" w:hAnsi="Arial"/>
          <w:sz w:val="22"/>
          <w:szCs w:val="24"/>
        </w:rPr>
        <w:t>iversity &amp; Inclusion</w:t>
      </w:r>
      <w:r w:rsidR="00277A65" w:rsidRPr="00D8776E">
        <w:rPr>
          <w:rFonts w:ascii="Arial" w:hAnsi="Arial"/>
          <w:sz w:val="22"/>
          <w:szCs w:val="24"/>
        </w:rPr>
        <w:t xml:space="preserve"> </w:t>
      </w:r>
      <w:r w:rsidRPr="00D8776E">
        <w:rPr>
          <w:rFonts w:ascii="Arial" w:hAnsi="Arial"/>
          <w:sz w:val="22"/>
          <w:szCs w:val="24"/>
        </w:rPr>
        <w:t xml:space="preserve">supports the development of our staff networks; of which a BAME </w:t>
      </w:r>
      <w:r w:rsidR="006044A8" w:rsidRPr="00D8776E">
        <w:rPr>
          <w:rFonts w:ascii="Arial" w:hAnsi="Arial"/>
          <w:sz w:val="22"/>
          <w:szCs w:val="24"/>
        </w:rPr>
        <w:t xml:space="preserve">staff network </w:t>
      </w:r>
      <w:r w:rsidRPr="00D8776E">
        <w:rPr>
          <w:rFonts w:ascii="Arial" w:hAnsi="Arial"/>
          <w:sz w:val="22"/>
          <w:szCs w:val="24"/>
        </w:rPr>
        <w:t>continues to meet &amp; will continue to consider the WRES findings and appropriate actions.</w:t>
      </w:r>
      <w:r w:rsidR="006044A8" w:rsidRPr="00D8776E">
        <w:rPr>
          <w:rFonts w:ascii="Arial" w:hAnsi="Arial"/>
          <w:sz w:val="22"/>
          <w:szCs w:val="24"/>
        </w:rPr>
        <w:t xml:space="preserve">. </w:t>
      </w:r>
      <w:r w:rsidR="00277A65" w:rsidRPr="00D8776E">
        <w:rPr>
          <w:rFonts w:ascii="Arial" w:hAnsi="Arial"/>
          <w:sz w:val="22"/>
          <w:szCs w:val="24"/>
        </w:rPr>
        <w:t xml:space="preserve">We </w:t>
      </w:r>
      <w:r w:rsidR="00131196" w:rsidRPr="00D8776E">
        <w:rPr>
          <w:rFonts w:ascii="Arial" w:hAnsi="Arial"/>
          <w:sz w:val="22"/>
          <w:szCs w:val="24"/>
        </w:rPr>
        <w:t>are</w:t>
      </w:r>
      <w:r w:rsidR="00277A65" w:rsidRPr="00D8776E">
        <w:rPr>
          <w:rFonts w:ascii="Arial" w:hAnsi="Arial"/>
          <w:sz w:val="22"/>
          <w:szCs w:val="24"/>
        </w:rPr>
        <w:t xml:space="preserve"> work</w:t>
      </w:r>
      <w:r w:rsidR="00131196" w:rsidRPr="00D8776E">
        <w:rPr>
          <w:rFonts w:ascii="Arial" w:hAnsi="Arial"/>
          <w:sz w:val="22"/>
          <w:szCs w:val="24"/>
        </w:rPr>
        <w:t>ing</w:t>
      </w:r>
      <w:r w:rsidR="00277A65" w:rsidRPr="00D8776E">
        <w:rPr>
          <w:rFonts w:ascii="Arial" w:hAnsi="Arial"/>
          <w:sz w:val="22"/>
          <w:szCs w:val="24"/>
        </w:rPr>
        <w:t xml:space="preserve"> closely with the network leadership to build membership and engage with members to better understand the issues faced by our BAME workforce. </w:t>
      </w:r>
    </w:p>
    <w:p w14:paraId="56F994C0" w14:textId="77777777" w:rsidR="00431FF5" w:rsidRDefault="00431FF5" w:rsidP="00884463">
      <w:pPr>
        <w:rPr>
          <w:rFonts w:ascii="Arial" w:hAnsi="Arial"/>
          <w:sz w:val="24"/>
          <w:szCs w:val="24"/>
        </w:rPr>
      </w:pPr>
    </w:p>
    <w:p w14:paraId="3FCC80E3" w14:textId="77777777" w:rsidR="00884463" w:rsidRDefault="00884463" w:rsidP="00884463">
      <w:pPr>
        <w:rPr>
          <w:rFonts w:ascii="Arial" w:hAnsi="Arial"/>
          <w:b/>
          <w:sz w:val="24"/>
          <w:szCs w:val="24"/>
        </w:rPr>
      </w:pPr>
      <w:r w:rsidRPr="00C74D21">
        <w:rPr>
          <w:rFonts w:ascii="Arial" w:hAnsi="Arial"/>
          <w:b/>
          <w:sz w:val="24"/>
          <w:szCs w:val="24"/>
        </w:rPr>
        <w:t>Action Planning</w:t>
      </w:r>
    </w:p>
    <w:p w14:paraId="237956F7" w14:textId="77777777" w:rsidR="00884463" w:rsidRDefault="00884463" w:rsidP="001D3225">
      <w:pPr>
        <w:jc w:val="both"/>
        <w:rPr>
          <w:rFonts w:ascii="Arial" w:hAnsi="Arial"/>
          <w:sz w:val="24"/>
          <w:szCs w:val="24"/>
        </w:rPr>
      </w:pPr>
      <w:r w:rsidRPr="00D8776E">
        <w:rPr>
          <w:rFonts w:ascii="Arial" w:hAnsi="Arial"/>
          <w:sz w:val="22"/>
          <w:szCs w:val="24"/>
        </w:rPr>
        <w:t xml:space="preserve">The following outlines proposed plans to address some of the issues identified through this analysis. These actions will be consolidated into the EDI work plan and reported through </w:t>
      </w:r>
      <w:r w:rsidR="00431FF5" w:rsidRPr="00D8776E">
        <w:rPr>
          <w:rFonts w:ascii="Arial" w:hAnsi="Arial"/>
          <w:sz w:val="22"/>
          <w:szCs w:val="24"/>
        </w:rPr>
        <w:t>our</w:t>
      </w:r>
      <w:r w:rsidRPr="00D8776E">
        <w:rPr>
          <w:rFonts w:ascii="Arial" w:hAnsi="Arial"/>
          <w:sz w:val="22"/>
          <w:szCs w:val="24"/>
        </w:rPr>
        <w:t xml:space="preserve"> EDI </w:t>
      </w:r>
      <w:r w:rsidR="001D3225" w:rsidRPr="00D8776E">
        <w:rPr>
          <w:rFonts w:ascii="Arial" w:hAnsi="Arial"/>
          <w:sz w:val="22"/>
          <w:szCs w:val="24"/>
        </w:rPr>
        <w:t>Steering G</w:t>
      </w:r>
      <w:r w:rsidRPr="00D8776E">
        <w:rPr>
          <w:rFonts w:ascii="Arial" w:hAnsi="Arial"/>
          <w:sz w:val="22"/>
          <w:szCs w:val="24"/>
        </w:rPr>
        <w:t xml:space="preserve">roup and </w:t>
      </w:r>
      <w:r w:rsidR="00431FF5" w:rsidRPr="00D8776E">
        <w:rPr>
          <w:rFonts w:ascii="Arial" w:hAnsi="Arial"/>
          <w:sz w:val="22"/>
          <w:szCs w:val="24"/>
        </w:rPr>
        <w:t xml:space="preserve">people, </w:t>
      </w:r>
      <w:r w:rsidR="00D8776E" w:rsidRPr="00D8776E">
        <w:rPr>
          <w:rFonts w:ascii="Arial" w:hAnsi="Arial"/>
          <w:sz w:val="22"/>
          <w:szCs w:val="24"/>
        </w:rPr>
        <w:t>engagement &amp;</w:t>
      </w:r>
      <w:r w:rsidR="00431FF5" w:rsidRPr="00D8776E">
        <w:rPr>
          <w:rFonts w:ascii="Arial" w:hAnsi="Arial"/>
          <w:sz w:val="22"/>
          <w:szCs w:val="24"/>
        </w:rPr>
        <w:t xml:space="preserve"> leadership group and our people performance</w:t>
      </w:r>
      <w:r w:rsidRPr="00D8776E">
        <w:rPr>
          <w:rFonts w:ascii="Arial" w:hAnsi="Arial"/>
          <w:sz w:val="22"/>
          <w:szCs w:val="24"/>
        </w:rPr>
        <w:t xml:space="preserve"> committee</w:t>
      </w:r>
      <w:r>
        <w:rPr>
          <w:rFonts w:ascii="Arial" w:hAnsi="Arial"/>
          <w:sz w:val="24"/>
          <w:szCs w:val="24"/>
        </w:rPr>
        <w:t>.</w:t>
      </w:r>
    </w:p>
    <w:p w14:paraId="0109F4B0" w14:textId="77777777" w:rsidR="00131196" w:rsidRDefault="00131196">
      <w:pPr>
        <w:rPr>
          <w:rFonts w:ascii="Arial" w:hAnsi="Arial"/>
          <w:sz w:val="24"/>
          <w:szCs w:val="24"/>
        </w:rPr>
      </w:pPr>
    </w:p>
    <w:tbl>
      <w:tblPr>
        <w:tblpPr w:leftFromText="180" w:rightFromText="180" w:vertAnchor="text" w:horzAnchor="margin" w:tblpY="106"/>
        <w:tblW w:w="9351" w:type="dxa"/>
        <w:tblLook w:val="04A0" w:firstRow="1" w:lastRow="0" w:firstColumn="1" w:lastColumn="0" w:noHBand="0" w:noVBand="1"/>
      </w:tblPr>
      <w:tblGrid>
        <w:gridCol w:w="6020"/>
        <w:gridCol w:w="1910"/>
        <w:gridCol w:w="1421"/>
      </w:tblGrid>
      <w:tr w:rsidR="00131196" w:rsidRPr="00D8776E" w14:paraId="07929A8C" w14:textId="77777777" w:rsidTr="00B73E9B">
        <w:trPr>
          <w:trHeight w:val="315"/>
        </w:trPr>
        <w:tc>
          <w:tcPr>
            <w:tcW w:w="6020" w:type="dxa"/>
            <w:tcBorders>
              <w:top w:val="single" w:sz="4" w:space="0" w:color="auto"/>
              <w:left w:val="single" w:sz="4" w:space="0" w:color="auto"/>
              <w:bottom w:val="single" w:sz="4" w:space="0" w:color="auto"/>
              <w:right w:val="single" w:sz="4" w:space="0" w:color="auto"/>
            </w:tcBorders>
            <w:shd w:val="clear" w:color="auto" w:fill="auto"/>
            <w:hideMark/>
          </w:tcPr>
          <w:p w14:paraId="75FCA4D4" w14:textId="77777777" w:rsidR="00131196" w:rsidRPr="00D8776E" w:rsidRDefault="00131196" w:rsidP="00B73E9B">
            <w:pPr>
              <w:rPr>
                <w:rFonts w:ascii="Arial" w:eastAsia="Times New Roman" w:hAnsi="Arial"/>
                <w:b/>
                <w:bCs/>
                <w:color w:val="000000"/>
                <w:sz w:val="22"/>
                <w:szCs w:val="24"/>
              </w:rPr>
            </w:pPr>
            <w:r w:rsidRPr="00D8776E">
              <w:rPr>
                <w:rFonts w:ascii="Arial" w:eastAsia="Times New Roman" w:hAnsi="Arial"/>
                <w:b/>
                <w:bCs/>
                <w:color w:val="000000"/>
                <w:sz w:val="22"/>
                <w:szCs w:val="24"/>
              </w:rPr>
              <w:t>Task</w:t>
            </w:r>
          </w:p>
        </w:tc>
        <w:tc>
          <w:tcPr>
            <w:tcW w:w="1910" w:type="dxa"/>
            <w:tcBorders>
              <w:top w:val="single" w:sz="4" w:space="0" w:color="auto"/>
              <w:left w:val="nil"/>
              <w:bottom w:val="single" w:sz="4" w:space="0" w:color="auto"/>
              <w:right w:val="single" w:sz="4" w:space="0" w:color="auto"/>
            </w:tcBorders>
            <w:shd w:val="clear" w:color="auto" w:fill="auto"/>
            <w:noWrap/>
            <w:hideMark/>
          </w:tcPr>
          <w:p w14:paraId="784C4F40" w14:textId="77777777" w:rsidR="00131196" w:rsidRPr="00D8776E" w:rsidRDefault="00131196" w:rsidP="00B73E9B">
            <w:pPr>
              <w:rPr>
                <w:rFonts w:ascii="Arial" w:eastAsia="Times New Roman" w:hAnsi="Arial"/>
                <w:b/>
                <w:bCs/>
                <w:color w:val="000000"/>
                <w:sz w:val="22"/>
                <w:szCs w:val="24"/>
              </w:rPr>
            </w:pPr>
            <w:r w:rsidRPr="00D8776E">
              <w:rPr>
                <w:rFonts w:ascii="Arial" w:eastAsia="Times New Roman" w:hAnsi="Arial"/>
                <w:b/>
                <w:bCs/>
                <w:color w:val="000000"/>
                <w:sz w:val="22"/>
                <w:szCs w:val="24"/>
              </w:rPr>
              <w:t>Who</w:t>
            </w:r>
          </w:p>
        </w:tc>
        <w:tc>
          <w:tcPr>
            <w:tcW w:w="1421" w:type="dxa"/>
            <w:tcBorders>
              <w:top w:val="single" w:sz="4" w:space="0" w:color="auto"/>
              <w:left w:val="nil"/>
              <w:bottom w:val="single" w:sz="4" w:space="0" w:color="auto"/>
              <w:right w:val="single" w:sz="4" w:space="0" w:color="auto"/>
            </w:tcBorders>
            <w:shd w:val="clear" w:color="auto" w:fill="auto"/>
            <w:noWrap/>
            <w:hideMark/>
          </w:tcPr>
          <w:p w14:paraId="228947C2" w14:textId="77777777" w:rsidR="00131196" w:rsidRPr="00D8776E" w:rsidRDefault="00131196" w:rsidP="00B73E9B">
            <w:pPr>
              <w:rPr>
                <w:rFonts w:ascii="Arial" w:eastAsia="Times New Roman" w:hAnsi="Arial"/>
                <w:b/>
                <w:bCs/>
                <w:color w:val="000000"/>
                <w:sz w:val="22"/>
                <w:szCs w:val="24"/>
              </w:rPr>
            </w:pPr>
            <w:r w:rsidRPr="00D8776E">
              <w:rPr>
                <w:rFonts w:ascii="Arial" w:eastAsia="Times New Roman" w:hAnsi="Arial"/>
                <w:b/>
                <w:bCs/>
                <w:color w:val="000000"/>
                <w:sz w:val="22"/>
                <w:szCs w:val="24"/>
              </w:rPr>
              <w:t>Timescale</w:t>
            </w:r>
          </w:p>
        </w:tc>
      </w:tr>
      <w:tr w:rsidR="00131196" w:rsidRPr="00D8776E" w14:paraId="103A8123" w14:textId="77777777" w:rsidTr="00B73E9B">
        <w:trPr>
          <w:trHeight w:val="360"/>
        </w:trPr>
        <w:tc>
          <w:tcPr>
            <w:tcW w:w="6020" w:type="dxa"/>
            <w:tcBorders>
              <w:top w:val="nil"/>
              <w:left w:val="single" w:sz="4" w:space="0" w:color="auto"/>
              <w:bottom w:val="single" w:sz="4" w:space="0" w:color="auto"/>
              <w:right w:val="single" w:sz="4" w:space="0" w:color="auto"/>
            </w:tcBorders>
            <w:shd w:val="clear" w:color="auto" w:fill="auto"/>
            <w:hideMark/>
          </w:tcPr>
          <w:p w14:paraId="1E3FA1C3" w14:textId="77777777" w:rsidR="00131196" w:rsidRPr="00D8776E" w:rsidRDefault="00977EBD" w:rsidP="00B73E9B">
            <w:pPr>
              <w:rPr>
                <w:rFonts w:ascii="Arial" w:eastAsia="Times New Roman" w:hAnsi="Arial"/>
                <w:color w:val="000000"/>
                <w:sz w:val="22"/>
                <w:szCs w:val="24"/>
              </w:rPr>
            </w:pPr>
            <w:r w:rsidRPr="00D8776E">
              <w:rPr>
                <w:rFonts w:ascii="Arial" w:eastAsia="Times New Roman" w:hAnsi="Arial"/>
                <w:color w:val="000000"/>
                <w:sz w:val="22"/>
                <w:szCs w:val="24"/>
              </w:rPr>
              <w:t>Develop recruitment processes to embed diverse interview panels with training on good practice. Clear guidance for hiring managers to ensure fair and inclusive practices.</w:t>
            </w:r>
            <w:r w:rsidRPr="00D8776E">
              <w:rPr>
                <w:rFonts w:ascii="Arial" w:eastAsia="Times New Roman" w:hAnsi="Arial"/>
                <w:color w:val="000000"/>
                <w:sz w:val="22"/>
                <w:szCs w:val="24"/>
              </w:rPr>
              <w:tab/>
            </w:r>
            <w:r w:rsidRPr="00D8776E">
              <w:rPr>
                <w:rFonts w:ascii="Arial" w:eastAsia="Times New Roman" w:hAnsi="Arial"/>
                <w:color w:val="000000"/>
                <w:sz w:val="22"/>
                <w:szCs w:val="24"/>
              </w:rPr>
              <w:tab/>
            </w:r>
          </w:p>
        </w:tc>
        <w:tc>
          <w:tcPr>
            <w:tcW w:w="1910" w:type="dxa"/>
            <w:tcBorders>
              <w:top w:val="nil"/>
              <w:left w:val="nil"/>
              <w:bottom w:val="single" w:sz="4" w:space="0" w:color="auto"/>
              <w:right w:val="single" w:sz="4" w:space="0" w:color="auto"/>
            </w:tcBorders>
            <w:shd w:val="clear" w:color="auto" w:fill="auto"/>
            <w:hideMark/>
          </w:tcPr>
          <w:p w14:paraId="0A2D7276" w14:textId="77777777" w:rsidR="00131196" w:rsidRPr="00D8776E" w:rsidRDefault="00431FF5" w:rsidP="00B73E9B">
            <w:pPr>
              <w:rPr>
                <w:rFonts w:ascii="Arial" w:eastAsia="Times New Roman" w:hAnsi="Arial"/>
                <w:color w:val="000000"/>
                <w:sz w:val="22"/>
                <w:szCs w:val="24"/>
              </w:rPr>
            </w:pPr>
            <w:r w:rsidRPr="00D8776E">
              <w:rPr>
                <w:rFonts w:ascii="Arial" w:eastAsia="Times New Roman" w:hAnsi="Arial"/>
                <w:color w:val="000000"/>
                <w:sz w:val="22"/>
                <w:szCs w:val="24"/>
              </w:rPr>
              <w:t>Recruitment Manager</w:t>
            </w:r>
          </w:p>
        </w:tc>
        <w:tc>
          <w:tcPr>
            <w:tcW w:w="1421" w:type="dxa"/>
            <w:tcBorders>
              <w:top w:val="nil"/>
              <w:left w:val="nil"/>
              <w:bottom w:val="single" w:sz="4" w:space="0" w:color="auto"/>
              <w:right w:val="single" w:sz="4" w:space="0" w:color="auto"/>
            </w:tcBorders>
            <w:shd w:val="clear" w:color="auto" w:fill="auto"/>
            <w:hideMark/>
          </w:tcPr>
          <w:p w14:paraId="0C8CCA53" w14:textId="77777777" w:rsidR="00131196" w:rsidRPr="00D8776E" w:rsidRDefault="00977EBD" w:rsidP="00B73E9B">
            <w:pPr>
              <w:rPr>
                <w:rFonts w:ascii="Arial" w:eastAsia="Times New Roman" w:hAnsi="Arial"/>
                <w:color w:val="000000"/>
                <w:sz w:val="22"/>
                <w:szCs w:val="24"/>
              </w:rPr>
            </w:pPr>
            <w:r w:rsidRPr="00D8776E">
              <w:rPr>
                <w:rFonts w:ascii="Arial" w:eastAsia="Times New Roman" w:hAnsi="Arial"/>
                <w:color w:val="000000"/>
                <w:sz w:val="22"/>
                <w:szCs w:val="24"/>
              </w:rPr>
              <w:t>30/09/2022</w:t>
            </w:r>
          </w:p>
        </w:tc>
      </w:tr>
      <w:tr w:rsidR="00131196" w:rsidRPr="00D8776E" w14:paraId="7ACCB3FF" w14:textId="77777777" w:rsidTr="00B73E9B">
        <w:trPr>
          <w:trHeight w:val="720"/>
        </w:trPr>
        <w:tc>
          <w:tcPr>
            <w:tcW w:w="6020" w:type="dxa"/>
            <w:tcBorders>
              <w:top w:val="nil"/>
              <w:left w:val="single" w:sz="4" w:space="0" w:color="auto"/>
              <w:bottom w:val="single" w:sz="4" w:space="0" w:color="auto"/>
              <w:right w:val="single" w:sz="4" w:space="0" w:color="auto"/>
            </w:tcBorders>
            <w:shd w:val="clear" w:color="auto" w:fill="auto"/>
            <w:hideMark/>
          </w:tcPr>
          <w:p w14:paraId="2F78CAEC" w14:textId="77777777" w:rsidR="00131196" w:rsidRPr="00D8776E" w:rsidRDefault="00131196" w:rsidP="00B73E9B">
            <w:pPr>
              <w:rPr>
                <w:rFonts w:ascii="Arial" w:eastAsia="Times New Roman" w:hAnsi="Arial"/>
                <w:color w:val="000000"/>
                <w:sz w:val="22"/>
                <w:szCs w:val="24"/>
              </w:rPr>
            </w:pPr>
            <w:r w:rsidRPr="00D8776E">
              <w:rPr>
                <w:rFonts w:ascii="Arial" w:eastAsia="Times New Roman" w:hAnsi="Arial"/>
                <w:color w:val="000000"/>
                <w:sz w:val="22"/>
                <w:szCs w:val="24"/>
              </w:rPr>
              <w:t>Support BAME staff to undertake NHS NWLA courses including Stepping Up and Ready Now</w:t>
            </w:r>
          </w:p>
        </w:tc>
        <w:tc>
          <w:tcPr>
            <w:tcW w:w="1910" w:type="dxa"/>
            <w:tcBorders>
              <w:top w:val="nil"/>
              <w:left w:val="nil"/>
              <w:bottom w:val="single" w:sz="4" w:space="0" w:color="auto"/>
              <w:right w:val="single" w:sz="4" w:space="0" w:color="auto"/>
            </w:tcBorders>
            <w:shd w:val="clear" w:color="auto" w:fill="auto"/>
            <w:hideMark/>
          </w:tcPr>
          <w:p w14:paraId="480D83D8" w14:textId="77777777" w:rsidR="00131196" w:rsidRPr="00D8776E" w:rsidRDefault="00977EBD" w:rsidP="00B73E9B">
            <w:pPr>
              <w:rPr>
                <w:rFonts w:ascii="Arial" w:eastAsia="Times New Roman" w:hAnsi="Arial"/>
                <w:color w:val="000000"/>
                <w:sz w:val="22"/>
                <w:szCs w:val="24"/>
              </w:rPr>
            </w:pPr>
            <w:r w:rsidRPr="00D8776E">
              <w:rPr>
                <w:rFonts w:ascii="Arial" w:eastAsia="Times New Roman" w:hAnsi="Arial"/>
                <w:color w:val="000000"/>
                <w:sz w:val="22"/>
                <w:szCs w:val="24"/>
              </w:rPr>
              <w:t xml:space="preserve">EDI </w:t>
            </w:r>
            <w:r w:rsidR="00431FF5" w:rsidRPr="00D8776E">
              <w:rPr>
                <w:rFonts w:ascii="Arial" w:eastAsia="Times New Roman" w:hAnsi="Arial"/>
                <w:color w:val="000000"/>
                <w:sz w:val="22"/>
                <w:szCs w:val="24"/>
              </w:rPr>
              <w:t>Manager</w:t>
            </w:r>
          </w:p>
        </w:tc>
        <w:tc>
          <w:tcPr>
            <w:tcW w:w="1421" w:type="dxa"/>
            <w:tcBorders>
              <w:top w:val="nil"/>
              <w:left w:val="nil"/>
              <w:bottom w:val="single" w:sz="4" w:space="0" w:color="auto"/>
              <w:right w:val="single" w:sz="4" w:space="0" w:color="auto"/>
            </w:tcBorders>
            <w:shd w:val="clear" w:color="auto" w:fill="auto"/>
            <w:hideMark/>
          </w:tcPr>
          <w:p w14:paraId="4987D394" w14:textId="77777777" w:rsidR="00131196" w:rsidRPr="00D8776E" w:rsidRDefault="00977EBD" w:rsidP="00B73E9B">
            <w:pPr>
              <w:rPr>
                <w:rFonts w:ascii="Arial" w:eastAsia="Times New Roman" w:hAnsi="Arial"/>
                <w:color w:val="000000"/>
                <w:sz w:val="22"/>
                <w:szCs w:val="24"/>
              </w:rPr>
            </w:pPr>
            <w:r w:rsidRPr="00D8776E">
              <w:rPr>
                <w:rFonts w:ascii="Arial" w:eastAsia="Times New Roman" w:hAnsi="Arial"/>
                <w:color w:val="000000"/>
                <w:sz w:val="22"/>
                <w:szCs w:val="24"/>
              </w:rPr>
              <w:t>31/12/2022</w:t>
            </w:r>
          </w:p>
        </w:tc>
      </w:tr>
      <w:tr w:rsidR="00131196" w:rsidRPr="00D8776E" w14:paraId="1E589E98" w14:textId="77777777" w:rsidTr="00B73E9B">
        <w:trPr>
          <w:trHeight w:val="720"/>
        </w:trPr>
        <w:tc>
          <w:tcPr>
            <w:tcW w:w="6020" w:type="dxa"/>
            <w:tcBorders>
              <w:top w:val="nil"/>
              <w:left w:val="single" w:sz="4" w:space="0" w:color="auto"/>
              <w:bottom w:val="single" w:sz="4" w:space="0" w:color="auto"/>
              <w:right w:val="single" w:sz="4" w:space="0" w:color="auto"/>
            </w:tcBorders>
            <w:shd w:val="clear" w:color="auto" w:fill="auto"/>
            <w:hideMark/>
          </w:tcPr>
          <w:p w14:paraId="1A2238AC" w14:textId="77777777" w:rsidR="00131196" w:rsidRPr="00D8776E" w:rsidRDefault="003150F0" w:rsidP="00B73E9B">
            <w:pPr>
              <w:rPr>
                <w:rFonts w:ascii="Arial" w:eastAsia="Times New Roman" w:hAnsi="Arial"/>
                <w:color w:val="000000"/>
                <w:sz w:val="22"/>
                <w:szCs w:val="24"/>
              </w:rPr>
            </w:pPr>
            <w:r w:rsidRPr="00D8776E">
              <w:rPr>
                <w:rFonts w:ascii="Arial" w:eastAsia="Times New Roman" w:hAnsi="Arial"/>
                <w:color w:val="000000"/>
                <w:sz w:val="22"/>
                <w:szCs w:val="24"/>
              </w:rPr>
              <w:t>Create a formal talent management framework for diversity and develop a pool of people talent that are eligible for developmental opportunities and promotion through a variety of training methods and acting up roles</w:t>
            </w:r>
            <w:r w:rsidRPr="00D8776E">
              <w:rPr>
                <w:rFonts w:ascii="Arial" w:eastAsia="Times New Roman" w:hAnsi="Arial"/>
                <w:color w:val="000000"/>
                <w:sz w:val="22"/>
                <w:szCs w:val="24"/>
              </w:rPr>
              <w:tab/>
            </w:r>
            <w:r w:rsidRPr="00D8776E">
              <w:rPr>
                <w:rFonts w:ascii="Arial" w:eastAsia="Times New Roman" w:hAnsi="Arial"/>
                <w:color w:val="000000"/>
                <w:sz w:val="22"/>
                <w:szCs w:val="24"/>
              </w:rPr>
              <w:tab/>
            </w:r>
          </w:p>
        </w:tc>
        <w:tc>
          <w:tcPr>
            <w:tcW w:w="1910" w:type="dxa"/>
            <w:tcBorders>
              <w:top w:val="nil"/>
              <w:left w:val="nil"/>
              <w:bottom w:val="single" w:sz="4" w:space="0" w:color="auto"/>
              <w:right w:val="single" w:sz="4" w:space="0" w:color="auto"/>
            </w:tcBorders>
            <w:shd w:val="clear" w:color="auto" w:fill="auto"/>
            <w:hideMark/>
          </w:tcPr>
          <w:p w14:paraId="2DE4DBDA" w14:textId="77777777" w:rsidR="00131196" w:rsidRPr="00D8776E" w:rsidRDefault="00431FF5" w:rsidP="00B73E9B">
            <w:pPr>
              <w:rPr>
                <w:rFonts w:ascii="Arial" w:eastAsia="Times New Roman" w:hAnsi="Arial"/>
                <w:color w:val="000000"/>
                <w:sz w:val="22"/>
                <w:szCs w:val="24"/>
              </w:rPr>
            </w:pPr>
            <w:r w:rsidRPr="00D8776E">
              <w:rPr>
                <w:rFonts w:ascii="Arial" w:eastAsia="Times New Roman" w:hAnsi="Arial"/>
                <w:color w:val="000000"/>
                <w:sz w:val="22"/>
                <w:szCs w:val="24"/>
              </w:rPr>
              <w:t>Head of OD &amp; Learning</w:t>
            </w:r>
          </w:p>
        </w:tc>
        <w:tc>
          <w:tcPr>
            <w:tcW w:w="1421" w:type="dxa"/>
            <w:tcBorders>
              <w:top w:val="nil"/>
              <w:left w:val="nil"/>
              <w:bottom w:val="single" w:sz="4" w:space="0" w:color="auto"/>
              <w:right w:val="single" w:sz="4" w:space="0" w:color="auto"/>
            </w:tcBorders>
            <w:shd w:val="clear" w:color="auto" w:fill="auto"/>
            <w:hideMark/>
          </w:tcPr>
          <w:p w14:paraId="3FD30AF8" w14:textId="77777777" w:rsidR="00131196" w:rsidRPr="00D8776E" w:rsidRDefault="003150F0" w:rsidP="00B73E9B">
            <w:pPr>
              <w:rPr>
                <w:rFonts w:ascii="Arial" w:eastAsia="Times New Roman" w:hAnsi="Arial"/>
                <w:color w:val="000000"/>
                <w:sz w:val="22"/>
                <w:szCs w:val="24"/>
              </w:rPr>
            </w:pPr>
            <w:r w:rsidRPr="00D8776E">
              <w:rPr>
                <w:rFonts w:ascii="Arial" w:eastAsia="Times New Roman" w:hAnsi="Arial"/>
                <w:color w:val="000000"/>
                <w:sz w:val="22"/>
                <w:szCs w:val="24"/>
              </w:rPr>
              <w:t>30/09/2022</w:t>
            </w:r>
          </w:p>
        </w:tc>
      </w:tr>
      <w:tr w:rsidR="00131196" w:rsidRPr="00D8776E" w14:paraId="25447DA9" w14:textId="77777777" w:rsidTr="00B73E9B">
        <w:trPr>
          <w:trHeight w:val="360"/>
        </w:trPr>
        <w:tc>
          <w:tcPr>
            <w:tcW w:w="6020" w:type="dxa"/>
            <w:tcBorders>
              <w:top w:val="nil"/>
              <w:left w:val="single" w:sz="4" w:space="0" w:color="auto"/>
              <w:bottom w:val="single" w:sz="4" w:space="0" w:color="auto"/>
              <w:right w:val="single" w:sz="4" w:space="0" w:color="auto"/>
            </w:tcBorders>
            <w:shd w:val="clear" w:color="auto" w:fill="auto"/>
            <w:hideMark/>
          </w:tcPr>
          <w:p w14:paraId="48C8E02B" w14:textId="77777777" w:rsidR="00131196" w:rsidRPr="00D8776E" w:rsidRDefault="003150F0" w:rsidP="00B73E9B">
            <w:pPr>
              <w:rPr>
                <w:rFonts w:ascii="Arial" w:eastAsia="Times New Roman" w:hAnsi="Arial"/>
                <w:color w:val="000000"/>
                <w:sz w:val="22"/>
                <w:szCs w:val="24"/>
              </w:rPr>
            </w:pPr>
            <w:r w:rsidRPr="00D8776E">
              <w:rPr>
                <w:rFonts w:ascii="Arial" w:eastAsia="Times New Roman" w:hAnsi="Arial"/>
                <w:color w:val="000000"/>
                <w:sz w:val="22"/>
                <w:szCs w:val="24"/>
              </w:rPr>
              <w:t>Review the reverse mentoring program and develop provision</w:t>
            </w:r>
            <w:r w:rsidR="00BE617C" w:rsidRPr="00D8776E">
              <w:rPr>
                <w:rFonts w:ascii="Arial" w:eastAsia="Times New Roman" w:hAnsi="Arial"/>
                <w:color w:val="000000"/>
                <w:sz w:val="22"/>
                <w:szCs w:val="24"/>
              </w:rPr>
              <w:t xml:space="preserve"> to assist senior leadership understand the lived experiences of staff groups </w:t>
            </w:r>
            <w:r w:rsidRPr="00D8776E">
              <w:rPr>
                <w:rFonts w:ascii="Arial" w:eastAsia="Times New Roman" w:hAnsi="Arial"/>
                <w:color w:val="000000"/>
                <w:sz w:val="22"/>
                <w:szCs w:val="24"/>
              </w:rPr>
              <w:t xml:space="preserve"> </w:t>
            </w:r>
            <w:r w:rsidRPr="00D8776E">
              <w:rPr>
                <w:rFonts w:ascii="Arial" w:eastAsia="Times New Roman" w:hAnsi="Arial"/>
                <w:color w:val="000000"/>
                <w:sz w:val="22"/>
                <w:szCs w:val="24"/>
              </w:rPr>
              <w:tab/>
            </w:r>
            <w:r w:rsidRPr="00D8776E">
              <w:rPr>
                <w:rFonts w:ascii="Arial" w:eastAsia="Times New Roman" w:hAnsi="Arial"/>
                <w:color w:val="000000"/>
                <w:sz w:val="22"/>
                <w:szCs w:val="24"/>
              </w:rPr>
              <w:tab/>
            </w:r>
          </w:p>
        </w:tc>
        <w:tc>
          <w:tcPr>
            <w:tcW w:w="1910" w:type="dxa"/>
            <w:tcBorders>
              <w:top w:val="nil"/>
              <w:left w:val="nil"/>
              <w:bottom w:val="single" w:sz="4" w:space="0" w:color="auto"/>
              <w:right w:val="single" w:sz="4" w:space="0" w:color="auto"/>
            </w:tcBorders>
            <w:shd w:val="clear" w:color="auto" w:fill="auto"/>
            <w:hideMark/>
          </w:tcPr>
          <w:p w14:paraId="5D4CBF3D" w14:textId="77777777" w:rsidR="00131196" w:rsidRPr="00D8776E" w:rsidRDefault="003150F0" w:rsidP="00B73E9B">
            <w:pPr>
              <w:rPr>
                <w:rFonts w:ascii="Arial" w:eastAsia="Times New Roman" w:hAnsi="Arial"/>
                <w:color w:val="000000"/>
                <w:sz w:val="22"/>
                <w:szCs w:val="24"/>
              </w:rPr>
            </w:pPr>
            <w:r w:rsidRPr="00D8776E">
              <w:rPr>
                <w:rFonts w:ascii="Arial" w:eastAsia="Times New Roman" w:hAnsi="Arial"/>
                <w:color w:val="000000"/>
                <w:sz w:val="22"/>
                <w:szCs w:val="24"/>
              </w:rPr>
              <w:t>EDI/ L&amp;OD</w:t>
            </w:r>
          </w:p>
        </w:tc>
        <w:tc>
          <w:tcPr>
            <w:tcW w:w="1421" w:type="dxa"/>
            <w:tcBorders>
              <w:top w:val="nil"/>
              <w:left w:val="nil"/>
              <w:bottom w:val="single" w:sz="4" w:space="0" w:color="auto"/>
              <w:right w:val="single" w:sz="4" w:space="0" w:color="auto"/>
            </w:tcBorders>
            <w:shd w:val="clear" w:color="auto" w:fill="auto"/>
            <w:hideMark/>
          </w:tcPr>
          <w:p w14:paraId="64517D65" w14:textId="77777777" w:rsidR="00131196" w:rsidRPr="00D8776E" w:rsidRDefault="003150F0" w:rsidP="00B73E9B">
            <w:pPr>
              <w:rPr>
                <w:rFonts w:ascii="Arial" w:eastAsia="Times New Roman" w:hAnsi="Arial"/>
                <w:color w:val="000000"/>
                <w:sz w:val="22"/>
                <w:szCs w:val="24"/>
              </w:rPr>
            </w:pPr>
            <w:r w:rsidRPr="00D8776E">
              <w:rPr>
                <w:rFonts w:ascii="Arial" w:eastAsia="Times New Roman" w:hAnsi="Arial"/>
                <w:color w:val="000000"/>
                <w:sz w:val="22"/>
                <w:szCs w:val="24"/>
              </w:rPr>
              <w:t>30/03/2022</w:t>
            </w:r>
          </w:p>
        </w:tc>
      </w:tr>
      <w:tr w:rsidR="00131196" w:rsidRPr="00D8776E" w14:paraId="1D53CF8C" w14:textId="77777777" w:rsidTr="00B73E9B">
        <w:trPr>
          <w:trHeight w:val="720"/>
        </w:trPr>
        <w:tc>
          <w:tcPr>
            <w:tcW w:w="6020" w:type="dxa"/>
            <w:tcBorders>
              <w:top w:val="nil"/>
              <w:left w:val="single" w:sz="4" w:space="0" w:color="auto"/>
              <w:bottom w:val="single" w:sz="4" w:space="0" w:color="auto"/>
              <w:right w:val="single" w:sz="4" w:space="0" w:color="auto"/>
            </w:tcBorders>
            <w:shd w:val="clear" w:color="auto" w:fill="auto"/>
            <w:hideMark/>
          </w:tcPr>
          <w:p w14:paraId="4F957A6F" w14:textId="77777777" w:rsidR="00131196" w:rsidRPr="00D8776E" w:rsidRDefault="00E6451F" w:rsidP="00B73E9B">
            <w:pPr>
              <w:rPr>
                <w:rFonts w:ascii="Arial" w:eastAsia="Times New Roman" w:hAnsi="Arial"/>
                <w:color w:val="000000"/>
                <w:sz w:val="22"/>
                <w:szCs w:val="24"/>
              </w:rPr>
            </w:pPr>
            <w:r w:rsidRPr="00D8776E">
              <w:rPr>
                <w:rFonts w:ascii="Arial" w:eastAsia="Times New Roman" w:hAnsi="Arial"/>
                <w:color w:val="000000"/>
                <w:sz w:val="22"/>
                <w:szCs w:val="24"/>
              </w:rPr>
              <w:lastRenderedPageBreak/>
              <w:t>Develop and implement a suite of Equality, Diversity and Inclusion masterclasses to build staff and manager competence around EDI and EDI trust wide processes</w:t>
            </w:r>
            <w:r w:rsidR="003E151C" w:rsidRPr="00D8776E">
              <w:rPr>
                <w:rFonts w:ascii="Arial" w:eastAsia="Times New Roman" w:hAnsi="Arial"/>
                <w:color w:val="000000"/>
                <w:sz w:val="22"/>
                <w:szCs w:val="24"/>
              </w:rPr>
              <w:t xml:space="preserve"> at all levels </w:t>
            </w:r>
          </w:p>
        </w:tc>
        <w:tc>
          <w:tcPr>
            <w:tcW w:w="1910" w:type="dxa"/>
            <w:tcBorders>
              <w:top w:val="nil"/>
              <w:left w:val="nil"/>
              <w:bottom w:val="single" w:sz="4" w:space="0" w:color="auto"/>
              <w:right w:val="single" w:sz="4" w:space="0" w:color="auto"/>
            </w:tcBorders>
            <w:shd w:val="clear" w:color="auto" w:fill="auto"/>
          </w:tcPr>
          <w:p w14:paraId="3486DD73" w14:textId="77777777" w:rsidR="00131196" w:rsidRPr="00D8776E" w:rsidRDefault="00E6451F" w:rsidP="00B73E9B">
            <w:pPr>
              <w:rPr>
                <w:rFonts w:ascii="Arial" w:eastAsia="Times New Roman" w:hAnsi="Arial"/>
                <w:color w:val="000000"/>
                <w:sz w:val="22"/>
                <w:szCs w:val="24"/>
              </w:rPr>
            </w:pPr>
            <w:r w:rsidRPr="00D8776E">
              <w:rPr>
                <w:rFonts w:ascii="Arial" w:eastAsia="Times New Roman" w:hAnsi="Arial"/>
                <w:color w:val="000000"/>
                <w:sz w:val="22"/>
                <w:szCs w:val="24"/>
              </w:rPr>
              <w:t>EDI/LD</w:t>
            </w:r>
          </w:p>
        </w:tc>
        <w:tc>
          <w:tcPr>
            <w:tcW w:w="1421" w:type="dxa"/>
            <w:tcBorders>
              <w:top w:val="nil"/>
              <w:left w:val="nil"/>
              <w:bottom w:val="single" w:sz="4" w:space="0" w:color="auto"/>
              <w:right w:val="single" w:sz="4" w:space="0" w:color="auto"/>
            </w:tcBorders>
            <w:shd w:val="clear" w:color="auto" w:fill="auto"/>
          </w:tcPr>
          <w:p w14:paraId="34EA588C" w14:textId="77777777" w:rsidR="00131196" w:rsidRPr="00D8776E" w:rsidRDefault="00E6451F" w:rsidP="00B73E9B">
            <w:pPr>
              <w:rPr>
                <w:rFonts w:ascii="Arial" w:eastAsia="Times New Roman" w:hAnsi="Arial"/>
                <w:color w:val="000000"/>
                <w:sz w:val="22"/>
                <w:szCs w:val="24"/>
              </w:rPr>
            </w:pPr>
            <w:r w:rsidRPr="00D8776E">
              <w:rPr>
                <w:rFonts w:ascii="Arial" w:eastAsia="Times New Roman" w:hAnsi="Arial"/>
                <w:color w:val="000000"/>
                <w:sz w:val="22"/>
                <w:szCs w:val="24"/>
              </w:rPr>
              <w:t>31/07/2022</w:t>
            </w:r>
          </w:p>
        </w:tc>
      </w:tr>
      <w:tr w:rsidR="00131196" w:rsidRPr="00D8776E" w14:paraId="7CDA69DA" w14:textId="77777777" w:rsidTr="00B73E9B">
        <w:trPr>
          <w:trHeight w:val="720"/>
        </w:trPr>
        <w:tc>
          <w:tcPr>
            <w:tcW w:w="6020" w:type="dxa"/>
            <w:tcBorders>
              <w:top w:val="nil"/>
              <w:left w:val="single" w:sz="4" w:space="0" w:color="auto"/>
              <w:bottom w:val="single" w:sz="4" w:space="0" w:color="auto"/>
              <w:right w:val="single" w:sz="4" w:space="0" w:color="auto"/>
            </w:tcBorders>
            <w:shd w:val="clear" w:color="auto" w:fill="auto"/>
            <w:hideMark/>
          </w:tcPr>
          <w:p w14:paraId="334DFBC9" w14:textId="77777777" w:rsidR="00131196" w:rsidRPr="00D8776E" w:rsidRDefault="00131196" w:rsidP="00B73E9B">
            <w:pPr>
              <w:rPr>
                <w:rFonts w:ascii="Arial" w:eastAsia="Times New Roman" w:hAnsi="Arial"/>
                <w:color w:val="000000"/>
                <w:sz w:val="22"/>
                <w:szCs w:val="24"/>
              </w:rPr>
            </w:pPr>
            <w:r w:rsidRPr="00D8776E">
              <w:rPr>
                <w:rFonts w:ascii="Arial" w:eastAsia="Times New Roman" w:hAnsi="Arial"/>
                <w:color w:val="000000"/>
                <w:sz w:val="22"/>
                <w:szCs w:val="24"/>
              </w:rPr>
              <w:t>Develop a range of resources for leaders and staff to engage in meaningful conversations about race inequality</w:t>
            </w:r>
            <w:r w:rsidR="004A4520" w:rsidRPr="00D8776E">
              <w:rPr>
                <w:rFonts w:ascii="Arial" w:eastAsia="Times New Roman" w:hAnsi="Arial"/>
                <w:color w:val="000000"/>
                <w:sz w:val="22"/>
                <w:szCs w:val="24"/>
              </w:rPr>
              <w:t xml:space="preserve"> using the Black History Month #proud to be platform</w:t>
            </w:r>
          </w:p>
        </w:tc>
        <w:tc>
          <w:tcPr>
            <w:tcW w:w="1910" w:type="dxa"/>
            <w:tcBorders>
              <w:top w:val="nil"/>
              <w:left w:val="nil"/>
              <w:bottom w:val="single" w:sz="4" w:space="0" w:color="auto"/>
              <w:right w:val="single" w:sz="4" w:space="0" w:color="auto"/>
            </w:tcBorders>
            <w:shd w:val="clear" w:color="auto" w:fill="auto"/>
            <w:hideMark/>
          </w:tcPr>
          <w:p w14:paraId="51C12443" w14:textId="77777777" w:rsidR="00131196" w:rsidRPr="00D8776E" w:rsidRDefault="004A4520" w:rsidP="00B73E9B">
            <w:pPr>
              <w:rPr>
                <w:rFonts w:ascii="Arial" w:eastAsia="Times New Roman" w:hAnsi="Arial"/>
                <w:color w:val="000000"/>
                <w:sz w:val="22"/>
                <w:szCs w:val="24"/>
              </w:rPr>
            </w:pPr>
            <w:r w:rsidRPr="00D8776E">
              <w:rPr>
                <w:rFonts w:ascii="Arial" w:eastAsia="Times New Roman" w:hAnsi="Arial"/>
                <w:color w:val="000000"/>
                <w:sz w:val="22"/>
                <w:szCs w:val="24"/>
              </w:rPr>
              <w:t xml:space="preserve">EDI </w:t>
            </w:r>
          </w:p>
        </w:tc>
        <w:tc>
          <w:tcPr>
            <w:tcW w:w="1421" w:type="dxa"/>
            <w:tcBorders>
              <w:top w:val="nil"/>
              <w:left w:val="nil"/>
              <w:bottom w:val="single" w:sz="4" w:space="0" w:color="auto"/>
              <w:right w:val="single" w:sz="4" w:space="0" w:color="auto"/>
            </w:tcBorders>
            <w:shd w:val="clear" w:color="auto" w:fill="auto"/>
            <w:hideMark/>
          </w:tcPr>
          <w:p w14:paraId="7998FACC" w14:textId="77777777" w:rsidR="00131196" w:rsidRPr="00D8776E" w:rsidRDefault="004A4520" w:rsidP="00B73E9B">
            <w:pPr>
              <w:rPr>
                <w:rFonts w:ascii="Arial" w:eastAsia="Times New Roman" w:hAnsi="Arial"/>
                <w:color w:val="000000"/>
                <w:sz w:val="22"/>
                <w:szCs w:val="24"/>
              </w:rPr>
            </w:pPr>
            <w:r w:rsidRPr="00D8776E">
              <w:rPr>
                <w:rFonts w:ascii="Arial" w:eastAsia="Times New Roman" w:hAnsi="Arial"/>
                <w:color w:val="000000"/>
                <w:sz w:val="22"/>
                <w:szCs w:val="24"/>
              </w:rPr>
              <w:t>30/06/2022</w:t>
            </w:r>
          </w:p>
        </w:tc>
      </w:tr>
      <w:tr w:rsidR="00131196" w:rsidRPr="00D8776E" w14:paraId="7B0D5F68" w14:textId="77777777" w:rsidTr="00B73E9B">
        <w:trPr>
          <w:trHeight w:val="1080"/>
        </w:trPr>
        <w:tc>
          <w:tcPr>
            <w:tcW w:w="6020" w:type="dxa"/>
            <w:tcBorders>
              <w:top w:val="nil"/>
              <w:left w:val="single" w:sz="4" w:space="0" w:color="auto"/>
              <w:bottom w:val="single" w:sz="4" w:space="0" w:color="auto"/>
              <w:right w:val="single" w:sz="4" w:space="0" w:color="auto"/>
            </w:tcBorders>
            <w:shd w:val="clear" w:color="auto" w:fill="auto"/>
          </w:tcPr>
          <w:p w14:paraId="621BD93D" w14:textId="77777777" w:rsidR="00131196" w:rsidRPr="00D8776E" w:rsidRDefault="00B945F6" w:rsidP="00B73E9B">
            <w:pPr>
              <w:rPr>
                <w:rFonts w:ascii="Arial" w:eastAsia="Times New Roman" w:hAnsi="Arial"/>
                <w:color w:val="000000"/>
                <w:sz w:val="22"/>
                <w:szCs w:val="24"/>
              </w:rPr>
            </w:pPr>
            <w:r w:rsidRPr="00D8776E">
              <w:rPr>
                <w:rFonts w:ascii="Arial" w:eastAsia="Times New Roman" w:hAnsi="Arial"/>
                <w:color w:val="000000"/>
                <w:sz w:val="22"/>
                <w:szCs w:val="24"/>
              </w:rPr>
              <w:t>Strengthen recruitment and retention of members for Staff Networks by widening participation and developing robust engagement and involvement  opportunities</w:t>
            </w:r>
            <w:r w:rsidRPr="00D8776E">
              <w:rPr>
                <w:rFonts w:ascii="Arial" w:eastAsia="Times New Roman" w:hAnsi="Arial"/>
                <w:color w:val="000000"/>
                <w:sz w:val="22"/>
                <w:szCs w:val="24"/>
              </w:rPr>
              <w:tab/>
            </w:r>
            <w:r w:rsidRPr="00D8776E">
              <w:rPr>
                <w:rFonts w:ascii="Arial" w:eastAsia="Times New Roman" w:hAnsi="Arial"/>
                <w:color w:val="000000"/>
                <w:sz w:val="22"/>
                <w:szCs w:val="24"/>
              </w:rPr>
              <w:tab/>
            </w:r>
          </w:p>
        </w:tc>
        <w:tc>
          <w:tcPr>
            <w:tcW w:w="1910" w:type="dxa"/>
            <w:tcBorders>
              <w:top w:val="nil"/>
              <w:left w:val="nil"/>
              <w:bottom w:val="single" w:sz="4" w:space="0" w:color="auto"/>
              <w:right w:val="single" w:sz="4" w:space="0" w:color="auto"/>
            </w:tcBorders>
            <w:shd w:val="clear" w:color="auto" w:fill="auto"/>
          </w:tcPr>
          <w:p w14:paraId="6169DB8A" w14:textId="77777777" w:rsidR="00131196" w:rsidRPr="00D8776E" w:rsidRDefault="00B945F6" w:rsidP="00B73E9B">
            <w:pPr>
              <w:rPr>
                <w:rFonts w:ascii="Arial" w:eastAsia="Times New Roman" w:hAnsi="Arial"/>
                <w:color w:val="000000"/>
                <w:sz w:val="22"/>
                <w:szCs w:val="24"/>
              </w:rPr>
            </w:pPr>
            <w:r w:rsidRPr="00D8776E">
              <w:rPr>
                <w:rFonts w:ascii="Arial" w:eastAsia="Times New Roman" w:hAnsi="Arial"/>
                <w:color w:val="000000"/>
                <w:sz w:val="22"/>
                <w:szCs w:val="24"/>
              </w:rPr>
              <w:t>EDI</w:t>
            </w:r>
          </w:p>
        </w:tc>
        <w:tc>
          <w:tcPr>
            <w:tcW w:w="1421" w:type="dxa"/>
            <w:tcBorders>
              <w:top w:val="nil"/>
              <w:left w:val="nil"/>
              <w:bottom w:val="single" w:sz="4" w:space="0" w:color="auto"/>
              <w:right w:val="single" w:sz="4" w:space="0" w:color="auto"/>
            </w:tcBorders>
            <w:shd w:val="clear" w:color="auto" w:fill="auto"/>
          </w:tcPr>
          <w:p w14:paraId="351829EE" w14:textId="77777777" w:rsidR="00131196" w:rsidRPr="00D8776E" w:rsidRDefault="00B945F6" w:rsidP="00B73E9B">
            <w:pPr>
              <w:rPr>
                <w:rFonts w:ascii="Arial" w:eastAsia="Times New Roman" w:hAnsi="Arial"/>
                <w:color w:val="000000"/>
                <w:sz w:val="22"/>
                <w:szCs w:val="24"/>
              </w:rPr>
            </w:pPr>
            <w:r w:rsidRPr="00D8776E">
              <w:rPr>
                <w:rFonts w:ascii="Arial" w:eastAsia="Times New Roman" w:hAnsi="Arial"/>
                <w:color w:val="000000"/>
                <w:sz w:val="22"/>
                <w:szCs w:val="24"/>
              </w:rPr>
              <w:t>30/03/2022</w:t>
            </w:r>
          </w:p>
        </w:tc>
      </w:tr>
      <w:tr w:rsidR="00131196" w:rsidRPr="00D8776E" w14:paraId="756308A2" w14:textId="77777777" w:rsidTr="00B73E9B">
        <w:trPr>
          <w:trHeight w:val="1080"/>
        </w:trPr>
        <w:tc>
          <w:tcPr>
            <w:tcW w:w="6020" w:type="dxa"/>
            <w:tcBorders>
              <w:top w:val="nil"/>
              <w:left w:val="single" w:sz="4" w:space="0" w:color="auto"/>
              <w:bottom w:val="single" w:sz="4" w:space="0" w:color="auto"/>
              <w:right w:val="single" w:sz="4" w:space="0" w:color="auto"/>
            </w:tcBorders>
            <w:shd w:val="clear" w:color="auto" w:fill="auto"/>
          </w:tcPr>
          <w:p w14:paraId="4B1211B7" w14:textId="77777777" w:rsidR="00131196" w:rsidRPr="00D8776E" w:rsidRDefault="00BC1B71" w:rsidP="00B73E9B">
            <w:pPr>
              <w:rPr>
                <w:rFonts w:ascii="Arial" w:eastAsia="Times New Roman" w:hAnsi="Arial"/>
                <w:color w:val="000000"/>
                <w:sz w:val="22"/>
                <w:szCs w:val="24"/>
              </w:rPr>
            </w:pPr>
            <w:r w:rsidRPr="00D8776E">
              <w:rPr>
                <w:rFonts w:ascii="Arial" w:eastAsia="Times New Roman" w:hAnsi="Arial"/>
                <w:color w:val="000000"/>
                <w:sz w:val="22"/>
                <w:szCs w:val="24"/>
              </w:rPr>
              <w:t xml:space="preserve">Scope dedicated projects and </w:t>
            </w:r>
            <w:r w:rsidR="00B1030F" w:rsidRPr="00D8776E">
              <w:rPr>
                <w:rFonts w:ascii="Arial" w:eastAsia="Times New Roman" w:hAnsi="Arial"/>
                <w:color w:val="000000"/>
                <w:sz w:val="22"/>
                <w:szCs w:val="24"/>
              </w:rPr>
              <w:t xml:space="preserve">identify </w:t>
            </w:r>
            <w:r w:rsidRPr="00D8776E">
              <w:rPr>
                <w:rFonts w:ascii="Arial" w:eastAsia="Times New Roman" w:hAnsi="Arial"/>
                <w:color w:val="000000"/>
                <w:sz w:val="22"/>
                <w:szCs w:val="24"/>
              </w:rPr>
              <w:t xml:space="preserve">protected funding </w:t>
            </w:r>
            <w:r w:rsidR="00B1030F" w:rsidRPr="00D8776E">
              <w:rPr>
                <w:rFonts w:ascii="Arial" w:eastAsia="Times New Roman" w:hAnsi="Arial"/>
                <w:color w:val="000000"/>
                <w:sz w:val="22"/>
                <w:szCs w:val="24"/>
              </w:rPr>
              <w:t xml:space="preserve">for evidence based approaches to </w:t>
            </w:r>
            <w:r w:rsidRPr="00D8776E">
              <w:rPr>
                <w:rFonts w:ascii="Arial" w:eastAsia="Times New Roman" w:hAnsi="Arial"/>
                <w:color w:val="000000"/>
                <w:sz w:val="22"/>
                <w:szCs w:val="24"/>
              </w:rPr>
              <w:t>reduce health and workforce inequali</w:t>
            </w:r>
            <w:r w:rsidR="00B1030F" w:rsidRPr="00D8776E">
              <w:rPr>
                <w:rFonts w:ascii="Arial" w:eastAsia="Times New Roman" w:hAnsi="Arial"/>
                <w:color w:val="000000"/>
                <w:sz w:val="22"/>
                <w:szCs w:val="24"/>
              </w:rPr>
              <w:t xml:space="preserve">ties and specific leadership initiatives and programmes to support </w:t>
            </w:r>
            <w:r w:rsidRPr="00D8776E">
              <w:rPr>
                <w:rFonts w:ascii="Arial" w:eastAsia="Times New Roman" w:hAnsi="Arial"/>
                <w:color w:val="000000"/>
                <w:sz w:val="22"/>
                <w:szCs w:val="24"/>
              </w:rPr>
              <w:t xml:space="preserve">BAME </w:t>
            </w:r>
            <w:r w:rsidR="00B1030F" w:rsidRPr="00D8776E">
              <w:rPr>
                <w:rFonts w:ascii="Arial" w:eastAsia="Times New Roman" w:hAnsi="Arial"/>
                <w:color w:val="000000"/>
                <w:sz w:val="22"/>
                <w:szCs w:val="24"/>
              </w:rPr>
              <w:t>development</w:t>
            </w:r>
          </w:p>
        </w:tc>
        <w:tc>
          <w:tcPr>
            <w:tcW w:w="1910" w:type="dxa"/>
            <w:tcBorders>
              <w:top w:val="nil"/>
              <w:left w:val="nil"/>
              <w:bottom w:val="single" w:sz="4" w:space="0" w:color="auto"/>
              <w:right w:val="single" w:sz="4" w:space="0" w:color="auto"/>
            </w:tcBorders>
            <w:shd w:val="clear" w:color="auto" w:fill="auto"/>
            <w:noWrap/>
          </w:tcPr>
          <w:p w14:paraId="0F3E79EB" w14:textId="77777777" w:rsidR="00131196" w:rsidRPr="00D8776E" w:rsidRDefault="00BC1B71" w:rsidP="00B73E9B">
            <w:pPr>
              <w:rPr>
                <w:rFonts w:ascii="Arial" w:eastAsia="Times New Roman" w:hAnsi="Arial"/>
                <w:color w:val="000000"/>
                <w:sz w:val="22"/>
                <w:szCs w:val="24"/>
              </w:rPr>
            </w:pPr>
            <w:r w:rsidRPr="00D8776E">
              <w:rPr>
                <w:rFonts w:ascii="Arial" w:eastAsia="Times New Roman" w:hAnsi="Arial"/>
                <w:color w:val="000000"/>
                <w:sz w:val="22"/>
                <w:szCs w:val="24"/>
              </w:rPr>
              <w:t>EDI/L&amp;OD</w:t>
            </w:r>
          </w:p>
        </w:tc>
        <w:tc>
          <w:tcPr>
            <w:tcW w:w="1421" w:type="dxa"/>
            <w:tcBorders>
              <w:top w:val="nil"/>
              <w:left w:val="nil"/>
              <w:bottom w:val="single" w:sz="4" w:space="0" w:color="auto"/>
              <w:right w:val="single" w:sz="4" w:space="0" w:color="auto"/>
            </w:tcBorders>
            <w:shd w:val="clear" w:color="auto" w:fill="auto"/>
            <w:noWrap/>
          </w:tcPr>
          <w:p w14:paraId="6AD7D714" w14:textId="77777777" w:rsidR="00131196" w:rsidRPr="00D8776E" w:rsidRDefault="00B1030F" w:rsidP="00B73E9B">
            <w:pPr>
              <w:rPr>
                <w:rFonts w:ascii="Arial" w:eastAsia="Times New Roman" w:hAnsi="Arial"/>
                <w:color w:val="000000"/>
                <w:sz w:val="22"/>
                <w:szCs w:val="24"/>
              </w:rPr>
            </w:pPr>
            <w:r w:rsidRPr="00D8776E">
              <w:rPr>
                <w:rFonts w:ascii="Arial" w:eastAsia="Times New Roman" w:hAnsi="Arial"/>
                <w:color w:val="000000"/>
                <w:sz w:val="22"/>
                <w:szCs w:val="24"/>
              </w:rPr>
              <w:t>30/01/2022</w:t>
            </w:r>
          </w:p>
        </w:tc>
      </w:tr>
      <w:tr w:rsidR="00131196" w:rsidRPr="00D8776E" w14:paraId="68F092CF" w14:textId="77777777" w:rsidTr="00B73E9B">
        <w:trPr>
          <w:trHeight w:val="720"/>
        </w:trPr>
        <w:tc>
          <w:tcPr>
            <w:tcW w:w="6020" w:type="dxa"/>
            <w:tcBorders>
              <w:top w:val="nil"/>
              <w:left w:val="single" w:sz="4" w:space="0" w:color="auto"/>
              <w:bottom w:val="nil"/>
              <w:right w:val="single" w:sz="4" w:space="0" w:color="auto"/>
            </w:tcBorders>
            <w:shd w:val="clear" w:color="auto" w:fill="auto"/>
            <w:hideMark/>
          </w:tcPr>
          <w:p w14:paraId="734F1E1E" w14:textId="77777777" w:rsidR="00131196" w:rsidRPr="00D8776E" w:rsidRDefault="00BC1B71" w:rsidP="00B73E9B">
            <w:pPr>
              <w:rPr>
                <w:rFonts w:ascii="Arial" w:eastAsia="Times New Roman" w:hAnsi="Arial"/>
                <w:color w:val="000000"/>
                <w:sz w:val="22"/>
                <w:szCs w:val="24"/>
              </w:rPr>
            </w:pPr>
            <w:r w:rsidRPr="00D8776E">
              <w:rPr>
                <w:rFonts w:ascii="Arial" w:eastAsia="Times New Roman" w:hAnsi="Arial"/>
                <w:color w:val="000000"/>
                <w:sz w:val="22"/>
                <w:szCs w:val="24"/>
              </w:rPr>
              <w:t xml:space="preserve">Review existing practice and recruit EDI champions and ambassadors to support the wider SNHSFT EDI network  </w:t>
            </w:r>
          </w:p>
        </w:tc>
        <w:tc>
          <w:tcPr>
            <w:tcW w:w="1910" w:type="dxa"/>
            <w:tcBorders>
              <w:top w:val="nil"/>
              <w:left w:val="nil"/>
              <w:bottom w:val="nil"/>
              <w:right w:val="single" w:sz="4" w:space="0" w:color="auto"/>
            </w:tcBorders>
            <w:shd w:val="clear" w:color="auto" w:fill="auto"/>
            <w:noWrap/>
            <w:hideMark/>
          </w:tcPr>
          <w:p w14:paraId="3D435B10" w14:textId="77777777" w:rsidR="00131196" w:rsidRPr="00D8776E" w:rsidRDefault="00BC1B71" w:rsidP="00B73E9B">
            <w:pPr>
              <w:rPr>
                <w:rFonts w:ascii="Arial" w:eastAsia="Times New Roman" w:hAnsi="Arial"/>
                <w:color w:val="000000"/>
                <w:sz w:val="22"/>
                <w:szCs w:val="24"/>
              </w:rPr>
            </w:pPr>
            <w:r w:rsidRPr="00D8776E">
              <w:rPr>
                <w:rFonts w:ascii="Arial" w:eastAsia="Times New Roman" w:hAnsi="Arial"/>
                <w:color w:val="000000"/>
                <w:sz w:val="22"/>
                <w:szCs w:val="24"/>
              </w:rPr>
              <w:t xml:space="preserve">EDI </w:t>
            </w:r>
          </w:p>
        </w:tc>
        <w:tc>
          <w:tcPr>
            <w:tcW w:w="1421" w:type="dxa"/>
            <w:tcBorders>
              <w:top w:val="nil"/>
              <w:left w:val="nil"/>
              <w:bottom w:val="nil"/>
              <w:right w:val="single" w:sz="4" w:space="0" w:color="auto"/>
            </w:tcBorders>
            <w:shd w:val="clear" w:color="auto" w:fill="auto"/>
            <w:noWrap/>
            <w:hideMark/>
          </w:tcPr>
          <w:p w14:paraId="5C093985" w14:textId="77777777" w:rsidR="00131196" w:rsidRPr="00D8776E" w:rsidRDefault="00BC1B71" w:rsidP="00B73E9B">
            <w:pPr>
              <w:rPr>
                <w:rFonts w:ascii="Arial" w:eastAsia="Times New Roman" w:hAnsi="Arial"/>
                <w:color w:val="000000"/>
                <w:sz w:val="22"/>
                <w:szCs w:val="24"/>
              </w:rPr>
            </w:pPr>
            <w:r w:rsidRPr="00D8776E">
              <w:rPr>
                <w:rFonts w:ascii="Arial" w:eastAsia="Times New Roman" w:hAnsi="Arial"/>
                <w:color w:val="000000"/>
                <w:sz w:val="22"/>
                <w:szCs w:val="24"/>
              </w:rPr>
              <w:t>30/07/2022</w:t>
            </w:r>
          </w:p>
        </w:tc>
      </w:tr>
      <w:tr w:rsidR="00BE617C" w:rsidRPr="00D8776E" w14:paraId="039E75D0" w14:textId="77777777" w:rsidTr="00D8776E">
        <w:trPr>
          <w:trHeight w:val="345"/>
        </w:trPr>
        <w:tc>
          <w:tcPr>
            <w:tcW w:w="6020" w:type="dxa"/>
            <w:tcBorders>
              <w:top w:val="nil"/>
              <w:left w:val="single" w:sz="4" w:space="0" w:color="auto"/>
              <w:bottom w:val="single" w:sz="4" w:space="0" w:color="auto"/>
              <w:right w:val="single" w:sz="4" w:space="0" w:color="auto"/>
            </w:tcBorders>
            <w:shd w:val="clear" w:color="auto" w:fill="auto"/>
          </w:tcPr>
          <w:p w14:paraId="703CF3D3" w14:textId="77777777" w:rsidR="00BE617C" w:rsidRPr="00D8776E" w:rsidRDefault="00BE617C" w:rsidP="00B73E9B">
            <w:pPr>
              <w:rPr>
                <w:rFonts w:ascii="Arial" w:eastAsia="Times New Roman" w:hAnsi="Arial"/>
                <w:color w:val="000000"/>
                <w:sz w:val="22"/>
                <w:szCs w:val="24"/>
              </w:rPr>
            </w:pPr>
          </w:p>
        </w:tc>
        <w:tc>
          <w:tcPr>
            <w:tcW w:w="1910" w:type="dxa"/>
            <w:tcBorders>
              <w:top w:val="nil"/>
              <w:left w:val="nil"/>
              <w:bottom w:val="single" w:sz="4" w:space="0" w:color="auto"/>
              <w:right w:val="single" w:sz="4" w:space="0" w:color="auto"/>
            </w:tcBorders>
            <w:shd w:val="clear" w:color="auto" w:fill="auto"/>
            <w:noWrap/>
          </w:tcPr>
          <w:p w14:paraId="6D62E3AE" w14:textId="77777777" w:rsidR="00BE617C" w:rsidRPr="00D8776E" w:rsidRDefault="00BE617C" w:rsidP="00B73E9B">
            <w:pPr>
              <w:rPr>
                <w:rFonts w:ascii="Arial" w:eastAsia="Times New Roman" w:hAnsi="Arial"/>
                <w:color w:val="000000"/>
                <w:sz w:val="22"/>
                <w:szCs w:val="24"/>
              </w:rPr>
            </w:pPr>
          </w:p>
        </w:tc>
        <w:tc>
          <w:tcPr>
            <w:tcW w:w="1421" w:type="dxa"/>
            <w:tcBorders>
              <w:top w:val="nil"/>
              <w:left w:val="nil"/>
              <w:bottom w:val="single" w:sz="4" w:space="0" w:color="auto"/>
              <w:right w:val="single" w:sz="4" w:space="0" w:color="auto"/>
            </w:tcBorders>
            <w:shd w:val="clear" w:color="auto" w:fill="auto"/>
            <w:noWrap/>
          </w:tcPr>
          <w:p w14:paraId="05C57822" w14:textId="77777777" w:rsidR="00BE617C" w:rsidRPr="00D8776E" w:rsidRDefault="00BE617C" w:rsidP="00B73E9B">
            <w:pPr>
              <w:rPr>
                <w:rFonts w:ascii="Arial" w:eastAsia="Times New Roman" w:hAnsi="Arial"/>
                <w:color w:val="000000"/>
                <w:sz w:val="22"/>
                <w:szCs w:val="24"/>
              </w:rPr>
            </w:pPr>
          </w:p>
        </w:tc>
      </w:tr>
    </w:tbl>
    <w:p w14:paraId="711A6EA6" w14:textId="77777777" w:rsidR="00131196" w:rsidRDefault="00131196" w:rsidP="00977EBD">
      <w:pPr>
        <w:rPr>
          <w:rFonts w:ascii="Arial" w:hAnsi="Arial"/>
          <w:sz w:val="24"/>
          <w:szCs w:val="24"/>
        </w:rPr>
      </w:pPr>
    </w:p>
    <w:p w14:paraId="1E13B817" w14:textId="77777777" w:rsidR="00AF56B1" w:rsidRPr="00AD6691" w:rsidRDefault="00AF56B1" w:rsidP="00AF56B1">
      <w:pPr>
        <w:rPr>
          <w:rFonts w:ascii="Arial" w:hAnsi="Arial"/>
          <w:b/>
          <w:sz w:val="24"/>
          <w:szCs w:val="24"/>
        </w:rPr>
      </w:pPr>
      <w:r w:rsidRPr="00AD6691">
        <w:rPr>
          <w:rFonts w:ascii="Arial" w:hAnsi="Arial"/>
          <w:b/>
          <w:sz w:val="24"/>
          <w:szCs w:val="24"/>
        </w:rPr>
        <w:t xml:space="preserve">Conclusions </w:t>
      </w:r>
    </w:p>
    <w:p w14:paraId="7589FF7A" w14:textId="77777777" w:rsidR="00AF56B1" w:rsidRPr="00AF56B1" w:rsidRDefault="00AF56B1" w:rsidP="00AF56B1">
      <w:pPr>
        <w:rPr>
          <w:rFonts w:ascii="Arial" w:hAnsi="Arial"/>
          <w:sz w:val="24"/>
          <w:szCs w:val="24"/>
        </w:rPr>
      </w:pPr>
    </w:p>
    <w:p w14:paraId="4A1AE335" w14:textId="77777777" w:rsidR="00E26596" w:rsidRDefault="00AF56B1" w:rsidP="00D8776E">
      <w:pPr>
        <w:jc w:val="both"/>
        <w:rPr>
          <w:rFonts w:ascii="Arial" w:hAnsi="Arial"/>
          <w:sz w:val="22"/>
          <w:szCs w:val="24"/>
        </w:rPr>
      </w:pPr>
      <w:r w:rsidRPr="00D8776E">
        <w:rPr>
          <w:rFonts w:ascii="Arial" w:hAnsi="Arial"/>
          <w:sz w:val="22"/>
          <w:szCs w:val="24"/>
        </w:rPr>
        <w:t>The data from this WRES submission clearly shows that</w:t>
      </w:r>
      <w:r w:rsidR="00583C1F" w:rsidRPr="00D8776E">
        <w:rPr>
          <w:rFonts w:ascii="Arial" w:hAnsi="Arial"/>
          <w:sz w:val="22"/>
          <w:szCs w:val="24"/>
        </w:rPr>
        <w:t xml:space="preserve"> whilst there has been small progress in some areas there remains </w:t>
      </w:r>
      <w:r w:rsidR="00E26596">
        <w:rPr>
          <w:rFonts w:ascii="Arial" w:hAnsi="Arial"/>
          <w:sz w:val="22"/>
          <w:szCs w:val="24"/>
        </w:rPr>
        <w:t xml:space="preserve">significant </w:t>
      </w:r>
      <w:r w:rsidR="00583C1F" w:rsidRPr="00D8776E">
        <w:rPr>
          <w:rFonts w:ascii="Arial" w:hAnsi="Arial"/>
          <w:sz w:val="22"/>
          <w:szCs w:val="24"/>
        </w:rPr>
        <w:t>further</w:t>
      </w:r>
      <w:r w:rsidRPr="00D8776E">
        <w:rPr>
          <w:rFonts w:ascii="Arial" w:hAnsi="Arial"/>
          <w:sz w:val="22"/>
          <w:szCs w:val="24"/>
        </w:rPr>
        <w:t xml:space="preserve"> work to do to improve our BAME representation</w:t>
      </w:r>
      <w:r w:rsidR="00E26596">
        <w:rPr>
          <w:rFonts w:ascii="Arial" w:hAnsi="Arial"/>
          <w:sz w:val="22"/>
          <w:szCs w:val="24"/>
        </w:rPr>
        <w:t xml:space="preserve"> and the experience BAME members feel whilst working in the organisation</w:t>
      </w:r>
    </w:p>
    <w:p w14:paraId="048B33B6" w14:textId="77777777" w:rsidR="00E26596" w:rsidRDefault="00E26596" w:rsidP="00D8776E">
      <w:pPr>
        <w:jc w:val="both"/>
        <w:rPr>
          <w:rFonts w:ascii="Arial" w:hAnsi="Arial"/>
          <w:sz w:val="22"/>
          <w:szCs w:val="24"/>
        </w:rPr>
      </w:pPr>
    </w:p>
    <w:p w14:paraId="6B4B7D38" w14:textId="77777777" w:rsidR="00AF56B1" w:rsidRPr="00D8776E" w:rsidRDefault="00E26596" w:rsidP="00D8776E">
      <w:pPr>
        <w:jc w:val="both"/>
        <w:rPr>
          <w:rFonts w:ascii="Arial" w:hAnsi="Arial"/>
          <w:sz w:val="22"/>
          <w:szCs w:val="24"/>
        </w:rPr>
      </w:pPr>
      <w:r>
        <w:rPr>
          <w:rFonts w:ascii="Arial" w:hAnsi="Arial"/>
          <w:sz w:val="22"/>
          <w:szCs w:val="24"/>
        </w:rPr>
        <w:t>There</w:t>
      </w:r>
      <w:r w:rsidR="00AF56B1" w:rsidRPr="00D8776E">
        <w:rPr>
          <w:rFonts w:ascii="Arial" w:hAnsi="Arial"/>
          <w:sz w:val="22"/>
          <w:szCs w:val="24"/>
        </w:rPr>
        <w:t xml:space="preserve"> </w:t>
      </w:r>
      <w:r>
        <w:rPr>
          <w:rFonts w:ascii="Arial" w:hAnsi="Arial"/>
          <w:sz w:val="22"/>
          <w:szCs w:val="24"/>
        </w:rPr>
        <w:t xml:space="preserve">is an </w:t>
      </w:r>
      <w:r w:rsidR="001E131E" w:rsidRPr="00D8776E">
        <w:rPr>
          <w:rFonts w:ascii="Arial" w:hAnsi="Arial"/>
          <w:sz w:val="22"/>
          <w:szCs w:val="24"/>
        </w:rPr>
        <w:t xml:space="preserve">ongoing </w:t>
      </w:r>
      <w:r w:rsidR="00AF56B1" w:rsidRPr="00D8776E">
        <w:rPr>
          <w:rFonts w:ascii="Arial" w:hAnsi="Arial"/>
          <w:sz w:val="22"/>
          <w:szCs w:val="24"/>
        </w:rPr>
        <w:t xml:space="preserve">commitment </w:t>
      </w:r>
      <w:r w:rsidR="001E131E" w:rsidRPr="00D8776E">
        <w:rPr>
          <w:rFonts w:ascii="Arial" w:hAnsi="Arial"/>
          <w:sz w:val="22"/>
          <w:szCs w:val="24"/>
        </w:rPr>
        <w:t xml:space="preserve">to </w:t>
      </w:r>
      <w:r>
        <w:rPr>
          <w:rFonts w:ascii="Arial" w:hAnsi="Arial"/>
          <w:sz w:val="22"/>
          <w:szCs w:val="24"/>
        </w:rPr>
        <w:t xml:space="preserve">the </w:t>
      </w:r>
      <w:r w:rsidR="00AF56B1" w:rsidRPr="00D8776E">
        <w:rPr>
          <w:rFonts w:ascii="Arial" w:hAnsi="Arial"/>
          <w:sz w:val="22"/>
          <w:szCs w:val="24"/>
        </w:rPr>
        <w:t xml:space="preserve">actions identified within </w:t>
      </w:r>
      <w:r w:rsidR="00583C1F" w:rsidRPr="00D8776E">
        <w:rPr>
          <w:rFonts w:ascii="Arial" w:hAnsi="Arial"/>
          <w:sz w:val="22"/>
          <w:szCs w:val="24"/>
        </w:rPr>
        <w:t xml:space="preserve">our </w:t>
      </w:r>
      <w:r w:rsidR="00AF56B1" w:rsidRPr="00D8776E">
        <w:rPr>
          <w:rFonts w:ascii="Arial" w:hAnsi="Arial"/>
          <w:sz w:val="22"/>
          <w:szCs w:val="24"/>
        </w:rPr>
        <w:t xml:space="preserve">action plan </w:t>
      </w:r>
      <w:r>
        <w:rPr>
          <w:rFonts w:ascii="Arial" w:hAnsi="Arial"/>
          <w:sz w:val="22"/>
          <w:szCs w:val="24"/>
        </w:rPr>
        <w:t xml:space="preserve">which </w:t>
      </w:r>
      <w:r w:rsidR="00583C1F" w:rsidRPr="00D8776E">
        <w:rPr>
          <w:rFonts w:ascii="Arial" w:hAnsi="Arial"/>
          <w:sz w:val="22"/>
          <w:szCs w:val="24"/>
        </w:rPr>
        <w:t xml:space="preserve">seeks </w:t>
      </w:r>
      <w:r>
        <w:rPr>
          <w:rFonts w:ascii="Arial" w:hAnsi="Arial"/>
          <w:sz w:val="22"/>
          <w:szCs w:val="24"/>
        </w:rPr>
        <w:t xml:space="preserve">to </w:t>
      </w:r>
      <w:r w:rsidR="00AF56B1" w:rsidRPr="00D8776E">
        <w:rPr>
          <w:rFonts w:ascii="Arial" w:hAnsi="Arial"/>
          <w:sz w:val="22"/>
          <w:szCs w:val="24"/>
        </w:rPr>
        <w:t xml:space="preserve">address </w:t>
      </w:r>
      <w:r>
        <w:rPr>
          <w:rFonts w:ascii="Arial" w:hAnsi="Arial"/>
          <w:sz w:val="22"/>
          <w:szCs w:val="24"/>
        </w:rPr>
        <w:t xml:space="preserve">the </w:t>
      </w:r>
      <w:r w:rsidR="00AF56B1" w:rsidRPr="00D8776E">
        <w:rPr>
          <w:rFonts w:ascii="Arial" w:hAnsi="Arial"/>
          <w:sz w:val="22"/>
          <w:szCs w:val="24"/>
        </w:rPr>
        <w:t xml:space="preserve">barriers </w:t>
      </w:r>
      <w:r>
        <w:rPr>
          <w:rFonts w:ascii="Arial" w:hAnsi="Arial"/>
          <w:sz w:val="22"/>
          <w:szCs w:val="24"/>
        </w:rPr>
        <w:t xml:space="preserve">identified in the </w:t>
      </w:r>
      <w:r w:rsidR="00AF56B1" w:rsidRPr="00D8776E">
        <w:rPr>
          <w:rFonts w:ascii="Arial" w:hAnsi="Arial"/>
          <w:sz w:val="22"/>
          <w:szCs w:val="24"/>
        </w:rPr>
        <w:t>recruitment</w:t>
      </w:r>
      <w:r>
        <w:rPr>
          <w:rFonts w:ascii="Arial" w:hAnsi="Arial"/>
          <w:sz w:val="22"/>
          <w:szCs w:val="24"/>
        </w:rPr>
        <w:t xml:space="preserve"> processes</w:t>
      </w:r>
      <w:r w:rsidR="00AF56B1" w:rsidRPr="00D8776E">
        <w:rPr>
          <w:rFonts w:ascii="Arial" w:hAnsi="Arial"/>
          <w:sz w:val="22"/>
          <w:szCs w:val="24"/>
        </w:rPr>
        <w:t xml:space="preserve">, </w:t>
      </w:r>
      <w:r>
        <w:rPr>
          <w:rFonts w:ascii="Arial" w:hAnsi="Arial"/>
          <w:sz w:val="22"/>
          <w:szCs w:val="24"/>
        </w:rPr>
        <w:t xml:space="preserve">identification and </w:t>
      </w:r>
      <w:r w:rsidR="001E131E" w:rsidRPr="00D8776E">
        <w:rPr>
          <w:rFonts w:ascii="Arial" w:hAnsi="Arial"/>
          <w:sz w:val="22"/>
          <w:szCs w:val="24"/>
        </w:rPr>
        <w:t>develop</w:t>
      </w:r>
      <w:r>
        <w:rPr>
          <w:rFonts w:ascii="Arial" w:hAnsi="Arial"/>
          <w:sz w:val="22"/>
          <w:szCs w:val="24"/>
        </w:rPr>
        <w:t xml:space="preserve">ment of </w:t>
      </w:r>
      <w:r w:rsidR="00AF56B1" w:rsidRPr="00D8776E">
        <w:rPr>
          <w:rFonts w:ascii="Arial" w:hAnsi="Arial"/>
          <w:sz w:val="22"/>
          <w:szCs w:val="24"/>
        </w:rPr>
        <w:t xml:space="preserve">talent, </w:t>
      </w:r>
      <w:r>
        <w:rPr>
          <w:rFonts w:ascii="Arial" w:hAnsi="Arial"/>
          <w:sz w:val="22"/>
          <w:szCs w:val="24"/>
        </w:rPr>
        <w:t xml:space="preserve">leadership </w:t>
      </w:r>
      <w:r w:rsidR="001E131E" w:rsidRPr="00D8776E">
        <w:rPr>
          <w:rFonts w:ascii="Arial" w:hAnsi="Arial"/>
          <w:sz w:val="22"/>
          <w:szCs w:val="24"/>
        </w:rPr>
        <w:t>development and support for a more diverse workforce.</w:t>
      </w:r>
      <w:r>
        <w:rPr>
          <w:rFonts w:ascii="Arial" w:hAnsi="Arial"/>
          <w:sz w:val="22"/>
          <w:szCs w:val="24"/>
        </w:rPr>
        <w:t xml:space="preserve"> To this end, in recognition of the need for further work the Trust will be revisiting and refreshing its EDI Plan and Strategy; a Board development session is due to take place in relation to EDI where a discussion on how we need to move to a more inclusive culture and our appetite for ambitious targets to support the improvement process.  </w:t>
      </w:r>
    </w:p>
    <w:p w14:paraId="4A0FBEB6" w14:textId="77777777" w:rsidR="00BE617C" w:rsidRDefault="00BE617C" w:rsidP="00AF56B1">
      <w:pPr>
        <w:rPr>
          <w:rFonts w:ascii="Arial" w:hAnsi="Arial"/>
          <w:sz w:val="24"/>
          <w:szCs w:val="24"/>
        </w:rPr>
      </w:pPr>
    </w:p>
    <w:sectPr w:rsidR="00BE617C" w:rsidSect="00A03BB5">
      <w:type w:val="nextColumn"/>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77652" w14:textId="77777777" w:rsidR="00260AB9" w:rsidRDefault="00260AB9" w:rsidP="00DB7E68">
      <w:r>
        <w:separator/>
      </w:r>
    </w:p>
  </w:endnote>
  <w:endnote w:type="continuationSeparator" w:id="0">
    <w:p w14:paraId="3FC64D26" w14:textId="77777777" w:rsidR="00260AB9" w:rsidRDefault="00260AB9" w:rsidP="00DB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233984"/>
      <w:docPartObj>
        <w:docPartGallery w:val="Page Numbers (Bottom of Page)"/>
        <w:docPartUnique/>
      </w:docPartObj>
    </w:sdtPr>
    <w:sdtEndPr>
      <w:rPr>
        <w:noProof/>
      </w:rPr>
    </w:sdtEndPr>
    <w:sdtContent>
      <w:p w14:paraId="72176996" w14:textId="77777777" w:rsidR="006E6931" w:rsidRDefault="006E6931">
        <w:pPr>
          <w:pStyle w:val="Footer"/>
          <w:jc w:val="right"/>
        </w:pPr>
        <w:r>
          <w:fldChar w:fldCharType="begin"/>
        </w:r>
        <w:r>
          <w:instrText xml:space="preserve"> PAGE   \* MERGEFORMAT </w:instrText>
        </w:r>
        <w:r>
          <w:fldChar w:fldCharType="separate"/>
        </w:r>
        <w:r w:rsidR="00A3577C">
          <w:rPr>
            <w:noProof/>
          </w:rPr>
          <w:t>2</w:t>
        </w:r>
        <w:r>
          <w:rPr>
            <w:noProof/>
          </w:rPr>
          <w:fldChar w:fldCharType="end"/>
        </w:r>
      </w:p>
    </w:sdtContent>
  </w:sdt>
  <w:p w14:paraId="073AA565" w14:textId="77777777" w:rsidR="006E6931" w:rsidRDefault="006E69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3CB79" w14:textId="77777777" w:rsidR="00260AB9" w:rsidRDefault="00260AB9" w:rsidP="00DB7E68">
      <w:r>
        <w:separator/>
      </w:r>
    </w:p>
  </w:footnote>
  <w:footnote w:type="continuationSeparator" w:id="0">
    <w:p w14:paraId="35C669F1" w14:textId="77777777" w:rsidR="00260AB9" w:rsidRDefault="00260AB9" w:rsidP="00DB7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B7113" w14:textId="77777777" w:rsidR="006E6931" w:rsidRDefault="006E6931" w:rsidP="00584333">
    <w:pPr>
      <w:pStyle w:val="Header"/>
      <w:jc w:val="right"/>
    </w:pPr>
  </w:p>
  <w:p w14:paraId="2C7DAC30" w14:textId="77777777" w:rsidR="006E6931" w:rsidRPr="00584333" w:rsidRDefault="006E6931" w:rsidP="00584333">
    <w:pPr>
      <w:pStyle w:val="Header"/>
      <w:ind w:left="720"/>
      <w:jc w:val="right"/>
    </w:pPr>
    <w:r>
      <w:t xml:space="preserve"> </w:t>
    </w:r>
    <w:r w:rsidRPr="00584333">
      <w:rPr>
        <w:rFonts w:cs="Times New Roman"/>
        <w:noProof/>
        <w:sz w:val="22"/>
        <w:szCs w:val="22"/>
      </w:rPr>
      <w:drawing>
        <wp:inline distT="0" distB="0" distL="0" distR="0" wp14:anchorId="27B9A387" wp14:editId="17C34D02">
          <wp:extent cx="920750" cy="51181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51181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A8D"/>
    <w:multiLevelType w:val="hybridMultilevel"/>
    <w:tmpl w:val="D97CF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23A71F9"/>
    <w:multiLevelType w:val="hybridMultilevel"/>
    <w:tmpl w:val="3DBA5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7C4FC2"/>
    <w:multiLevelType w:val="hybridMultilevel"/>
    <w:tmpl w:val="F31E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2A259D"/>
    <w:multiLevelType w:val="hybridMultilevel"/>
    <w:tmpl w:val="438A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C80F92"/>
    <w:multiLevelType w:val="hybridMultilevel"/>
    <w:tmpl w:val="F31C2732"/>
    <w:lvl w:ilvl="0" w:tplc="1716EA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C541F45"/>
    <w:multiLevelType w:val="hybridMultilevel"/>
    <w:tmpl w:val="A2BA2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F40"/>
    <w:rsid w:val="00027D67"/>
    <w:rsid w:val="000340DA"/>
    <w:rsid w:val="00054FDD"/>
    <w:rsid w:val="000A7092"/>
    <w:rsid w:val="000B4628"/>
    <w:rsid w:val="00131196"/>
    <w:rsid w:val="001454B4"/>
    <w:rsid w:val="00157F91"/>
    <w:rsid w:val="00163BF4"/>
    <w:rsid w:val="001B3E65"/>
    <w:rsid w:val="001D3225"/>
    <w:rsid w:val="001E131E"/>
    <w:rsid w:val="001F7AD1"/>
    <w:rsid w:val="002029BB"/>
    <w:rsid w:val="00210112"/>
    <w:rsid w:val="002179CA"/>
    <w:rsid w:val="00225144"/>
    <w:rsid w:val="00252380"/>
    <w:rsid w:val="00260AB9"/>
    <w:rsid w:val="0026534A"/>
    <w:rsid w:val="00277A65"/>
    <w:rsid w:val="002A0E13"/>
    <w:rsid w:val="002A3564"/>
    <w:rsid w:val="002C7543"/>
    <w:rsid w:val="002F7308"/>
    <w:rsid w:val="00304320"/>
    <w:rsid w:val="003150F0"/>
    <w:rsid w:val="003469A8"/>
    <w:rsid w:val="00390731"/>
    <w:rsid w:val="003A574D"/>
    <w:rsid w:val="003C41F0"/>
    <w:rsid w:val="003D262B"/>
    <w:rsid w:val="003E151C"/>
    <w:rsid w:val="003F254A"/>
    <w:rsid w:val="00406C6F"/>
    <w:rsid w:val="00431FF5"/>
    <w:rsid w:val="00444F40"/>
    <w:rsid w:val="0044567A"/>
    <w:rsid w:val="00446F3F"/>
    <w:rsid w:val="0045289C"/>
    <w:rsid w:val="00465E9F"/>
    <w:rsid w:val="004A4520"/>
    <w:rsid w:val="004C169D"/>
    <w:rsid w:val="004D50A0"/>
    <w:rsid w:val="004E4532"/>
    <w:rsid w:val="004F0DBB"/>
    <w:rsid w:val="00502A85"/>
    <w:rsid w:val="00520A5D"/>
    <w:rsid w:val="005249D3"/>
    <w:rsid w:val="00583C1F"/>
    <w:rsid w:val="00584333"/>
    <w:rsid w:val="005A4350"/>
    <w:rsid w:val="005D6705"/>
    <w:rsid w:val="005D73CF"/>
    <w:rsid w:val="005E6499"/>
    <w:rsid w:val="006044A8"/>
    <w:rsid w:val="00606C99"/>
    <w:rsid w:val="00612D34"/>
    <w:rsid w:val="00644DE6"/>
    <w:rsid w:val="00653450"/>
    <w:rsid w:val="0068012F"/>
    <w:rsid w:val="00681520"/>
    <w:rsid w:val="006A55F0"/>
    <w:rsid w:val="006A5D39"/>
    <w:rsid w:val="006C5A8E"/>
    <w:rsid w:val="006E300D"/>
    <w:rsid w:val="006E6931"/>
    <w:rsid w:val="006E7F9B"/>
    <w:rsid w:val="00724688"/>
    <w:rsid w:val="007453CA"/>
    <w:rsid w:val="007655B9"/>
    <w:rsid w:val="007834FD"/>
    <w:rsid w:val="007A4DBD"/>
    <w:rsid w:val="007D453A"/>
    <w:rsid w:val="0082767A"/>
    <w:rsid w:val="00835E4B"/>
    <w:rsid w:val="00867D0E"/>
    <w:rsid w:val="008813F0"/>
    <w:rsid w:val="00884463"/>
    <w:rsid w:val="00886AE3"/>
    <w:rsid w:val="008A0971"/>
    <w:rsid w:val="008A1C34"/>
    <w:rsid w:val="008A490D"/>
    <w:rsid w:val="008C4DA8"/>
    <w:rsid w:val="00912C50"/>
    <w:rsid w:val="009320EA"/>
    <w:rsid w:val="009751DE"/>
    <w:rsid w:val="00977B11"/>
    <w:rsid w:val="00977EBD"/>
    <w:rsid w:val="009A5439"/>
    <w:rsid w:val="009B0641"/>
    <w:rsid w:val="009B380E"/>
    <w:rsid w:val="009C6642"/>
    <w:rsid w:val="009E64F6"/>
    <w:rsid w:val="00A03BB5"/>
    <w:rsid w:val="00A21A61"/>
    <w:rsid w:val="00A3577C"/>
    <w:rsid w:val="00A405D5"/>
    <w:rsid w:val="00A4565A"/>
    <w:rsid w:val="00A61451"/>
    <w:rsid w:val="00A618FA"/>
    <w:rsid w:val="00A70B77"/>
    <w:rsid w:val="00A77CED"/>
    <w:rsid w:val="00AA7BC9"/>
    <w:rsid w:val="00AB6F4F"/>
    <w:rsid w:val="00AD6691"/>
    <w:rsid w:val="00AF3104"/>
    <w:rsid w:val="00AF3E5A"/>
    <w:rsid w:val="00AF56B1"/>
    <w:rsid w:val="00B1030F"/>
    <w:rsid w:val="00B3687F"/>
    <w:rsid w:val="00B4262F"/>
    <w:rsid w:val="00B45648"/>
    <w:rsid w:val="00B54DF1"/>
    <w:rsid w:val="00B73E9B"/>
    <w:rsid w:val="00B74FE9"/>
    <w:rsid w:val="00B8297A"/>
    <w:rsid w:val="00B87799"/>
    <w:rsid w:val="00B945F6"/>
    <w:rsid w:val="00BC1354"/>
    <w:rsid w:val="00BC1B71"/>
    <w:rsid w:val="00BC1DE2"/>
    <w:rsid w:val="00BC36D2"/>
    <w:rsid w:val="00BE617C"/>
    <w:rsid w:val="00C0746C"/>
    <w:rsid w:val="00C13C00"/>
    <w:rsid w:val="00C154B8"/>
    <w:rsid w:val="00C21F3A"/>
    <w:rsid w:val="00C31E55"/>
    <w:rsid w:val="00C73046"/>
    <w:rsid w:val="00C74D21"/>
    <w:rsid w:val="00CB23CE"/>
    <w:rsid w:val="00CD16E6"/>
    <w:rsid w:val="00CE3A8B"/>
    <w:rsid w:val="00D061C7"/>
    <w:rsid w:val="00D332BE"/>
    <w:rsid w:val="00D43F8F"/>
    <w:rsid w:val="00D61245"/>
    <w:rsid w:val="00D6287A"/>
    <w:rsid w:val="00D737E1"/>
    <w:rsid w:val="00D8776E"/>
    <w:rsid w:val="00D932DE"/>
    <w:rsid w:val="00D95B69"/>
    <w:rsid w:val="00DA0736"/>
    <w:rsid w:val="00DB32ED"/>
    <w:rsid w:val="00DB7E68"/>
    <w:rsid w:val="00DC4A00"/>
    <w:rsid w:val="00E07F44"/>
    <w:rsid w:val="00E13359"/>
    <w:rsid w:val="00E26596"/>
    <w:rsid w:val="00E43E70"/>
    <w:rsid w:val="00E6451F"/>
    <w:rsid w:val="00E82C8F"/>
    <w:rsid w:val="00E82F46"/>
    <w:rsid w:val="00E87982"/>
    <w:rsid w:val="00F269C7"/>
    <w:rsid w:val="00F35E29"/>
    <w:rsid w:val="00F3799A"/>
    <w:rsid w:val="00F44CDE"/>
    <w:rsid w:val="00F4771D"/>
    <w:rsid w:val="00F613AB"/>
    <w:rsid w:val="00F71D30"/>
    <w:rsid w:val="00F900F8"/>
    <w:rsid w:val="00FB717A"/>
    <w:rsid w:val="00FC54C2"/>
    <w:rsid w:val="00FC7594"/>
    <w:rsid w:val="00FD442E"/>
    <w:rsid w:val="00FE570A"/>
    <w:rsid w:val="00FF0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9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D39"/>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4F40"/>
    <w:pPr>
      <w:spacing w:after="0" w:line="240" w:lineRule="auto"/>
    </w:pPr>
    <w:rPr>
      <w:rFonts w:ascii="Calibri" w:eastAsia="Calibri" w:hAnsi="Calibri" w:cs="Arial"/>
      <w:sz w:val="20"/>
      <w:szCs w:val="20"/>
      <w:lang w:eastAsia="en-GB"/>
    </w:rPr>
  </w:style>
  <w:style w:type="table" w:customStyle="1" w:styleId="GridTable6Colorful1">
    <w:name w:val="Grid Table 6 Colorful1"/>
    <w:basedOn w:val="TableNormal"/>
    <w:uiPriority w:val="51"/>
    <w:rsid w:val="00444F40"/>
    <w:pPr>
      <w:spacing w:after="0" w:line="240" w:lineRule="auto"/>
    </w:pPr>
    <w:rPr>
      <w:rFonts w:ascii="Calibri" w:eastAsia="Calibri" w:hAnsi="Calibri" w:cs="Arial"/>
      <w:color w:val="000000" w:themeColor="text1"/>
      <w:sz w:val="20"/>
      <w:szCs w:val="20"/>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2F7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A0E13"/>
    <w:rPr>
      <w:sz w:val="16"/>
      <w:szCs w:val="16"/>
    </w:rPr>
  </w:style>
  <w:style w:type="paragraph" w:styleId="Title">
    <w:name w:val="Title"/>
    <w:basedOn w:val="Normal"/>
    <w:next w:val="Normal"/>
    <w:link w:val="TitleChar"/>
    <w:uiPriority w:val="10"/>
    <w:qFormat/>
    <w:rsid w:val="002A0E13"/>
    <w:pPr>
      <w:spacing w:before="240" w:after="60" w:line="259" w:lineRule="auto"/>
      <w:jc w:val="center"/>
      <w:outlineLvl w:val="0"/>
    </w:pPr>
    <w:rPr>
      <w:rFonts w:ascii="Calibri Light" w:eastAsia="Times New Roman" w:hAnsi="Calibri Light" w:cs="Times New Roman"/>
      <w:b/>
      <w:bCs/>
      <w:kern w:val="28"/>
      <w:sz w:val="32"/>
      <w:szCs w:val="32"/>
      <w:lang w:eastAsia="en-US"/>
    </w:rPr>
  </w:style>
  <w:style w:type="character" w:customStyle="1" w:styleId="TitleChar">
    <w:name w:val="Title Char"/>
    <w:basedOn w:val="DefaultParagraphFont"/>
    <w:link w:val="Title"/>
    <w:uiPriority w:val="10"/>
    <w:rsid w:val="002A0E13"/>
    <w:rPr>
      <w:rFonts w:ascii="Calibri Light" w:eastAsia="Times New Roman" w:hAnsi="Calibri Light" w:cs="Times New Roman"/>
      <w:b/>
      <w:bCs/>
      <w:kern w:val="28"/>
      <w:sz w:val="32"/>
      <w:szCs w:val="32"/>
    </w:rPr>
  </w:style>
  <w:style w:type="paragraph" w:styleId="ListParagraph">
    <w:name w:val="List Paragraph"/>
    <w:basedOn w:val="Normal"/>
    <w:uiPriority w:val="34"/>
    <w:qFormat/>
    <w:rsid w:val="00DC4A00"/>
    <w:pPr>
      <w:ind w:left="720"/>
      <w:contextualSpacing/>
    </w:pPr>
  </w:style>
  <w:style w:type="paragraph" w:styleId="BalloonText">
    <w:name w:val="Balloon Text"/>
    <w:basedOn w:val="Normal"/>
    <w:link w:val="BalloonTextChar"/>
    <w:uiPriority w:val="99"/>
    <w:semiHidden/>
    <w:unhideWhenUsed/>
    <w:rsid w:val="005A43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350"/>
    <w:rPr>
      <w:rFonts w:ascii="Segoe UI" w:eastAsia="Calibri" w:hAnsi="Segoe UI" w:cs="Segoe UI"/>
      <w:sz w:val="18"/>
      <w:szCs w:val="18"/>
      <w:lang w:eastAsia="en-GB"/>
    </w:rPr>
  </w:style>
  <w:style w:type="table" w:customStyle="1" w:styleId="TableGrid1">
    <w:name w:val="Table Grid1"/>
    <w:basedOn w:val="TableNormal"/>
    <w:next w:val="TableGrid"/>
    <w:uiPriority w:val="39"/>
    <w:rsid w:val="00AF3104"/>
    <w:pPr>
      <w:spacing w:after="0" w:line="240" w:lineRule="auto"/>
    </w:pPr>
    <w:rPr>
      <w:szCs w:val="24"/>
    </w:rPr>
    <w:tblPr>
      <w:tblCellMar>
        <w:left w:w="0" w:type="dxa"/>
        <w:right w:w="0" w:type="dxa"/>
      </w:tblCellMar>
    </w:tblPr>
  </w:style>
  <w:style w:type="paragraph" w:styleId="CommentText">
    <w:name w:val="annotation text"/>
    <w:basedOn w:val="Normal"/>
    <w:link w:val="CommentTextChar"/>
    <w:uiPriority w:val="99"/>
    <w:semiHidden/>
    <w:unhideWhenUsed/>
    <w:rsid w:val="00FE570A"/>
  </w:style>
  <w:style w:type="character" w:customStyle="1" w:styleId="CommentTextChar">
    <w:name w:val="Comment Text Char"/>
    <w:basedOn w:val="DefaultParagraphFont"/>
    <w:link w:val="CommentText"/>
    <w:uiPriority w:val="99"/>
    <w:semiHidden/>
    <w:rsid w:val="00FE570A"/>
    <w:rPr>
      <w:rFonts w:ascii="Calibri" w:eastAsia="Calibri" w:hAnsi="Calibri" w:cs="Arial"/>
      <w:sz w:val="20"/>
      <w:szCs w:val="20"/>
      <w:lang w:eastAsia="en-GB"/>
    </w:rPr>
  </w:style>
  <w:style w:type="paragraph" w:styleId="CommentSubject">
    <w:name w:val="annotation subject"/>
    <w:basedOn w:val="CommentText"/>
    <w:next w:val="CommentText"/>
    <w:link w:val="CommentSubjectChar"/>
    <w:uiPriority w:val="99"/>
    <w:semiHidden/>
    <w:unhideWhenUsed/>
    <w:rsid w:val="00FE570A"/>
    <w:rPr>
      <w:b/>
      <w:bCs/>
    </w:rPr>
  </w:style>
  <w:style w:type="character" w:customStyle="1" w:styleId="CommentSubjectChar">
    <w:name w:val="Comment Subject Char"/>
    <w:basedOn w:val="CommentTextChar"/>
    <w:link w:val="CommentSubject"/>
    <w:uiPriority w:val="99"/>
    <w:semiHidden/>
    <w:rsid w:val="00FE570A"/>
    <w:rPr>
      <w:rFonts w:ascii="Calibri" w:eastAsia="Calibri" w:hAnsi="Calibri" w:cs="Arial"/>
      <w:b/>
      <w:bCs/>
      <w:sz w:val="20"/>
      <w:szCs w:val="20"/>
      <w:lang w:eastAsia="en-GB"/>
    </w:rPr>
  </w:style>
  <w:style w:type="paragraph" w:styleId="Header">
    <w:name w:val="header"/>
    <w:basedOn w:val="Normal"/>
    <w:link w:val="HeaderChar"/>
    <w:uiPriority w:val="99"/>
    <w:unhideWhenUsed/>
    <w:rsid w:val="00DB7E68"/>
    <w:pPr>
      <w:tabs>
        <w:tab w:val="center" w:pos="4513"/>
        <w:tab w:val="right" w:pos="9026"/>
      </w:tabs>
    </w:pPr>
  </w:style>
  <w:style w:type="character" w:customStyle="1" w:styleId="HeaderChar">
    <w:name w:val="Header Char"/>
    <w:basedOn w:val="DefaultParagraphFont"/>
    <w:link w:val="Header"/>
    <w:uiPriority w:val="99"/>
    <w:rsid w:val="00DB7E68"/>
    <w:rPr>
      <w:rFonts w:ascii="Calibri" w:eastAsia="Calibri" w:hAnsi="Calibri" w:cs="Arial"/>
      <w:sz w:val="20"/>
      <w:szCs w:val="20"/>
      <w:lang w:eastAsia="en-GB"/>
    </w:rPr>
  </w:style>
  <w:style w:type="paragraph" w:styleId="Footer">
    <w:name w:val="footer"/>
    <w:basedOn w:val="Normal"/>
    <w:link w:val="FooterChar"/>
    <w:uiPriority w:val="99"/>
    <w:unhideWhenUsed/>
    <w:rsid w:val="00DB7E68"/>
    <w:pPr>
      <w:tabs>
        <w:tab w:val="center" w:pos="4513"/>
        <w:tab w:val="right" w:pos="9026"/>
      </w:tabs>
    </w:pPr>
  </w:style>
  <w:style w:type="character" w:customStyle="1" w:styleId="FooterChar">
    <w:name w:val="Footer Char"/>
    <w:basedOn w:val="DefaultParagraphFont"/>
    <w:link w:val="Footer"/>
    <w:uiPriority w:val="99"/>
    <w:rsid w:val="00DB7E68"/>
    <w:rPr>
      <w:rFonts w:ascii="Calibri" w:eastAsia="Calibri" w:hAnsi="Calibri" w:cs="Arial"/>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D39"/>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4F40"/>
    <w:pPr>
      <w:spacing w:after="0" w:line="240" w:lineRule="auto"/>
    </w:pPr>
    <w:rPr>
      <w:rFonts w:ascii="Calibri" w:eastAsia="Calibri" w:hAnsi="Calibri" w:cs="Arial"/>
      <w:sz w:val="20"/>
      <w:szCs w:val="20"/>
      <w:lang w:eastAsia="en-GB"/>
    </w:rPr>
  </w:style>
  <w:style w:type="table" w:customStyle="1" w:styleId="GridTable6Colorful1">
    <w:name w:val="Grid Table 6 Colorful1"/>
    <w:basedOn w:val="TableNormal"/>
    <w:uiPriority w:val="51"/>
    <w:rsid w:val="00444F40"/>
    <w:pPr>
      <w:spacing w:after="0" w:line="240" w:lineRule="auto"/>
    </w:pPr>
    <w:rPr>
      <w:rFonts w:ascii="Calibri" w:eastAsia="Calibri" w:hAnsi="Calibri" w:cs="Arial"/>
      <w:color w:val="000000" w:themeColor="text1"/>
      <w:sz w:val="20"/>
      <w:szCs w:val="20"/>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2F7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A0E13"/>
    <w:rPr>
      <w:sz w:val="16"/>
      <w:szCs w:val="16"/>
    </w:rPr>
  </w:style>
  <w:style w:type="paragraph" w:styleId="Title">
    <w:name w:val="Title"/>
    <w:basedOn w:val="Normal"/>
    <w:next w:val="Normal"/>
    <w:link w:val="TitleChar"/>
    <w:uiPriority w:val="10"/>
    <w:qFormat/>
    <w:rsid w:val="002A0E13"/>
    <w:pPr>
      <w:spacing w:before="240" w:after="60" w:line="259" w:lineRule="auto"/>
      <w:jc w:val="center"/>
      <w:outlineLvl w:val="0"/>
    </w:pPr>
    <w:rPr>
      <w:rFonts w:ascii="Calibri Light" w:eastAsia="Times New Roman" w:hAnsi="Calibri Light" w:cs="Times New Roman"/>
      <w:b/>
      <w:bCs/>
      <w:kern w:val="28"/>
      <w:sz w:val="32"/>
      <w:szCs w:val="32"/>
      <w:lang w:eastAsia="en-US"/>
    </w:rPr>
  </w:style>
  <w:style w:type="character" w:customStyle="1" w:styleId="TitleChar">
    <w:name w:val="Title Char"/>
    <w:basedOn w:val="DefaultParagraphFont"/>
    <w:link w:val="Title"/>
    <w:uiPriority w:val="10"/>
    <w:rsid w:val="002A0E13"/>
    <w:rPr>
      <w:rFonts w:ascii="Calibri Light" w:eastAsia="Times New Roman" w:hAnsi="Calibri Light" w:cs="Times New Roman"/>
      <w:b/>
      <w:bCs/>
      <w:kern w:val="28"/>
      <w:sz w:val="32"/>
      <w:szCs w:val="32"/>
    </w:rPr>
  </w:style>
  <w:style w:type="paragraph" w:styleId="ListParagraph">
    <w:name w:val="List Paragraph"/>
    <w:basedOn w:val="Normal"/>
    <w:uiPriority w:val="34"/>
    <w:qFormat/>
    <w:rsid w:val="00DC4A00"/>
    <w:pPr>
      <w:ind w:left="720"/>
      <w:contextualSpacing/>
    </w:pPr>
  </w:style>
  <w:style w:type="paragraph" w:styleId="BalloonText">
    <w:name w:val="Balloon Text"/>
    <w:basedOn w:val="Normal"/>
    <w:link w:val="BalloonTextChar"/>
    <w:uiPriority w:val="99"/>
    <w:semiHidden/>
    <w:unhideWhenUsed/>
    <w:rsid w:val="005A43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350"/>
    <w:rPr>
      <w:rFonts w:ascii="Segoe UI" w:eastAsia="Calibri" w:hAnsi="Segoe UI" w:cs="Segoe UI"/>
      <w:sz w:val="18"/>
      <w:szCs w:val="18"/>
      <w:lang w:eastAsia="en-GB"/>
    </w:rPr>
  </w:style>
  <w:style w:type="table" w:customStyle="1" w:styleId="TableGrid1">
    <w:name w:val="Table Grid1"/>
    <w:basedOn w:val="TableNormal"/>
    <w:next w:val="TableGrid"/>
    <w:uiPriority w:val="39"/>
    <w:rsid w:val="00AF3104"/>
    <w:pPr>
      <w:spacing w:after="0" w:line="240" w:lineRule="auto"/>
    </w:pPr>
    <w:rPr>
      <w:szCs w:val="24"/>
    </w:rPr>
    <w:tblPr>
      <w:tblCellMar>
        <w:left w:w="0" w:type="dxa"/>
        <w:right w:w="0" w:type="dxa"/>
      </w:tblCellMar>
    </w:tblPr>
  </w:style>
  <w:style w:type="paragraph" w:styleId="CommentText">
    <w:name w:val="annotation text"/>
    <w:basedOn w:val="Normal"/>
    <w:link w:val="CommentTextChar"/>
    <w:uiPriority w:val="99"/>
    <w:semiHidden/>
    <w:unhideWhenUsed/>
    <w:rsid w:val="00FE570A"/>
  </w:style>
  <w:style w:type="character" w:customStyle="1" w:styleId="CommentTextChar">
    <w:name w:val="Comment Text Char"/>
    <w:basedOn w:val="DefaultParagraphFont"/>
    <w:link w:val="CommentText"/>
    <w:uiPriority w:val="99"/>
    <w:semiHidden/>
    <w:rsid w:val="00FE570A"/>
    <w:rPr>
      <w:rFonts w:ascii="Calibri" w:eastAsia="Calibri" w:hAnsi="Calibri" w:cs="Arial"/>
      <w:sz w:val="20"/>
      <w:szCs w:val="20"/>
      <w:lang w:eastAsia="en-GB"/>
    </w:rPr>
  </w:style>
  <w:style w:type="paragraph" w:styleId="CommentSubject">
    <w:name w:val="annotation subject"/>
    <w:basedOn w:val="CommentText"/>
    <w:next w:val="CommentText"/>
    <w:link w:val="CommentSubjectChar"/>
    <w:uiPriority w:val="99"/>
    <w:semiHidden/>
    <w:unhideWhenUsed/>
    <w:rsid w:val="00FE570A"/>
    <w:rPr>
      <w:b/>
      <w:bCs/>
    </w:rPr>
  </w:style>
  <w:style w:type="character" w:customStyle="1" w:styleId="CommentSubjectChar">
    <w:name w:val="Comment Subject Char"/>
    <w:basedOn w:val="CommentTextChar"/>
    <w:link w:val="CommentSubject"/>
    <w:uiPriority w:val="99"/>
    <w:semiHidden/>
    <w:rsid w:val="00FE570A"/>
    <w:rPr>
      <w:rFonts w:ascii="Calibri" w:eastAsia="Calibri" w:hAnsi="Calibri" w:cs="Arial"/>
      <w:b/>
      <w:bCs/>
      <w:sz w:val="20"/>
      <w:szCs w:val="20"/>
      <w:lang w:eastAsia="en-GB"/>
    </w:rPr>
  </w:style>
  <w:style w:type="paragraph" w:styleId="Header">
    <w:name w:val="header"/>
    <w:basedOn w:val="Normal"/>
    <w:link w:val="HeaderChar"/>
    <w:uiPriority w:val="99"/>
    <w:unhideWhenUsed/>
    <w:rsid w:val="00DB7E68"/>
    <w:pPr>
      <w:tabs>
        <w:tab w:val="center" w:pos="4513"/>
        <w:tab w:val="right" w:pos="9026"/>
      </w:tabs>
    </w:pPr>
  </w:style>
  <w:style w:type="character" w:customStyle="1" w:styleId="HeaderChar">
    <w:name w:val="Header Char"/>
    <w:basedOn w:val="DefaultParagraphFont"/>
    <w:link w:val="Header"/>
    <w:uiPriority w:val="99"/>
    <w:rsid w:val="00DB7E68"/>
    <w:rPr>
      <w:rFonts w:ascii="Calibri" w:eastAsia="Calibri" w:hAnsi="Calibri" w:cs="Arial"/>
      <w:sz w:val="20"/>
      <w:szCs w:val="20"/>
      <w:lang w:eastAsia="en-GB"/>
    </w:rPr>
  </w:style>
  <w:style w:type="paragraph" w:styleId="Footer">
    <w:name w:val="footer"/>
    <w:basedOn w:val="Normal"/>
    <w:link w:val="FooterChar"/>
    <w:uiPriority w:val="99"/>
    <w:unhideWhenUsed/>
    <w:rsid w:val="00DB7E68"/>
    <w:pPr>
      <w:tabs>
        <w:tab w:val="center" w:pos="4513"/>
        <w:tab w:val="right" w:pos="9026"/>
      </w:tabs>
    </w:pPr>
  </w:style>
  <w:style w:type="character" w:customStyle="1" w:styleId="FooterChar">
    <w:name w:val="Footer Char"/>
    <w:basedOn w:val="DefaultParagraphFont"/>
    <w:link w:val="Footer"/>
    <w:uiPriority w:val="99"/>
    <w:rsid w:val="00DB7E68"/>
    <w:rPr>
      <w:rFonts w:ascii="Calibri" w:eastAsia="Calibri" w:hAnsi="Calibri"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756272">
      <w:bodyDiv w:val="1"/>
      <w:marLeft w:val="0"/>
      <w:marRight w:val="0"/>
      <w:marTop w:val="0"/>
      <w:marBottom w:val="0"/>
      <w:divBdr>
        <w:top w:val="none" w:sz="0" w:space="0" w:color="auto"/>
        <w:left w:val="none" w:sz="0" w:space="0" w:color="auto"/>
        <w:bottom w:val="none" w:sz="0" w:space="0" w:color="auto"/>
        <w:right w:val="none" w:sz="0" w:space="0" w:color="auto"/>
      </w:divBdr>
    </w:div>
    <w:div w:id="745305854">
      <w:bodyDiv w:val="1"/>
      <w:marLeft w:val="0"/>
      <w:marRight w:val="0"/>
      <w:marTop w:val="0"/>
      <w:marBottom w:val="0"/>
      <w:divBdr>
        <w:top w:val="none" w:sz="0" w:space="0" w:color="auto"/>
        <w:left w:val="none" w:sz="0" w:space="0" w:color="auto"/>
        <w:bottom w:val="none" w:sz="0" w:space="0" w:color="auto"/>
        <w:right w:val="none" w:sz="0" w:space="0" w:color="auto"/>
      </w:divBdr>
    </w:div>
    <w:div w:id="81441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hdphoto" Target="media/hdphoto2.wdp"/><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Non-clinical</a:t>
            </a:r>
            <a:r>
              <a:rPr lang="en-GB" sz="1400" baseline="0"/>
              <a:t> workforce, ethnicity of all AfC pay bands, 2020-2021</a:t>
            </a:r>
            <a:endParaRPr lang="en-GB" sz="1400"/>
          </a:p>
        </c:rich>
      </c:tx>
      <c:overlay val="0"/>
    </c:title>
    <c:autoTitleDeleted val="0"/>
    <c:plotArea>
      <c:layout/>
      <c:barChart>
        <c:barDir val="col"/>
        <c:grouping val="clustered"/>
        <c:varyColors val="0"/>
        <c:ser>
          <c:idx val="0"/>
          <c:order val="0"/>
          <c:tx>
            <c:strRef>
              <c:f>'By band and graphs'!$C$38</c:f>
              <c:strCache>
                <c:ptCount val="1"/>
                <c:pt idx="0">
                  <c:v>White 2020</c:v>
                </c:pt>
              </c:strCache>
            </c:strRef>
          </c:tx>
          <c:invertIfNegative val="0"/>
          <c:cat>
            <c:strRef>
              <c:f>'By band and graphs'!$B$39:$B$52</c:f>
              <c:strCache>
                <c:ptCount val="14"/>
                <c:pt idx="0">
                  <c:v>Under Band 1</c:v>
                </c:pt>
                <c:pt idx="1">
                  <c:v>Band 1</c:v>
                </c:pt>
                <c:pt idx="2">
                  <c:v>Band 2</c:v>
                </c:pt>
                <c:pt idx="3">
                  <c:v>Band 3</c:v>
                </c:pt>
                <c:pt idx="4">
                  <c:v>Band 4</c:v>
                </c:pt>
                <c:pt idx="5">
                  <c:v>Band 5</c:v>
                </c:pt>
                <c:pt idx="6">
                  <c:v>Band 6</c:v>
                </c:pt>
                <c:pt idx="7">
                  <c:v>Band 7</c:v>
                </c:pt>
                <c:pt idx="8">
                  <c:v>Band 8A</c:v>
                </c:pt>
                <c:pt idx="9">
                  <c:v>Band 8B</c:v>
                </c:pt>
                <c:pt idx="10">
                  <c:v>Band 8C</c:v>
                </c:pt>
                <c:pt idx="11">
                  <c:v>Band 8D</c:v>
                </c:pt>
                <c:pt idx="12">
                  <c:v>Band 9</c:v>
                </c:pt>
                <c:pt idx="13">
                  <c:v>VSM</c:v>
                </c:pt>
              </c:strCache>
            </c:strRef>
          </c:cat>
          <c:val>
            <c:numRef>
              <c:f>'By band and graphs'!$C$39:$C$52</c:f>
              <c:numCache>
                <c:formatCode>0.0%</c:formatCode>
                <c:ptCount val="14"/>
                <c:pt idx="0">
                  <c:v>1</c:v>
                </c:pt>
                <c:pt idx="1">
                  <c:v>0.76984126984126988</c:v>
                </c:pt>
                <c:pt idx="2">
                  <c:v>0.8452579034941764</c:v>
                </c:pt>
                <c:pt idx="3">
                  <c:v>0.93560606060606055</c:v>
                </c:pt>
                <c:pt idx="4">
                  <c:v>0.94396551724137934</c:v>
                </c:pt>
                <c:pt idx="5">
                  <c:v>0.95145631067961167</c:v>
                </c:pt>
                <c:pt idx="6">
                  <c:v>0.85964912280701755</c:v>
                </c:pt>
                <c:pt idx="7">
                  <c:v>0.85416666666666663</c:v>
                </c:pt>
                <c:pt idx="8">
                  <c:v>0.97674418604651159</c:v>
                </c:pt>
                <c:pt idx="9">
                  <c:v>0.8666666666666667</c:v>
                </c:pt>
                <c:pt idx="10">
                  <c:v>1</c:v>
                </c:pt>
                <c:pt idx="11">
                  <c:v>1</c:v>
                </c:pt>
                <c:pt idx="12">
                  <c:v>0.83333333333333337</c:v>
                </c:pt>
                <c:pt idx="13">
                  <c:v>0.8571428571428571</c:v>
                </c:pt>
              </c:numCache>
            </c:numRef>
          </c:val>
          <c:extLst xmlns:c16r2="http://schemas.microsoft.com/office/drawing/2015/06/chart">
            <c:ext xmlns:c16="http://schemas.microsoft.com/office/drawing/2014/chart" uri="{C3380CC4-5D6E-409C-BE32-E72D297353CC}">
              <c16:uniqueId val="{00000000-04E2-4512-A261-C48AA987AEA6}"/>
            </c:ext>
          </c:extLst>
        </c:ser>
        <c:ser>
          <c:idx val="1"/>
          <c:order val="1"/>
          <c:tx>
            <c:strRef>
              <c:f>'By band and graphs'!$D$38</c:f>
              <c:strCache>
                <c:ptCount val="1"/>
                <c:pt idx="0">
                  <c:v>BAME 2020</c:v>
                </c:pt>
              </c:strCache>
            </c:strRef>
          </c:tx>
          <c:invertIfNegative val="0"/>
          <c:cat>
            <c:strRef>
              <c:f>'By band and graphs'!$B$39:$B$52</c:f>
              <c:strCache>
                <c:ptCount val="14"/>
                <c:pt idx="0">
                  <c:v>Under Band 1</c:v>
                </c:pt>
                <c:pt idx="1">
                  <c:v>Band 1</c:v>
                </c:pt>
                <c:pt idx="2">
                  <c:v>Band 2</c:v>
                </c:pt>
                <c:pt idx="3">
                  <c:v>Band 3</c:v>
                </c:pt>
                <c:pt idx="4">
                  <c:v>Band 4</c:v>
                </c:pt>
                <c:pt idx="5">
                  <c:v>Band 5</c:v>
                </c:pt>
                <c:pt idx="6">
                  <c:v>Band 6</c:v>
                </c:pt>
                <c:pt idx="7">
                  <c:v>Band 7</c:v>
                </c:pt>
                <c:pt idx="8">
                  <c:v>Band 8A</c:v>
                </c:pt>
                <c:pt idx="9">
                  <c:v>Band 8B</c:v>
                </c:pt>
                <c:pt idx="10">
                  <c:v>Band 8C</c:v>
                </c:pt>
                <c:pt idx="11">
                  <c:v>Band 8D</c:v>
                </c:pt>
                <c:pt idx="12">
                  <c:v>Band 9</c:v>
                </c:pt>
                <c:pt idx="13">
                  <c:v>VSM</c:v>
                </c:pt>
              </c:strCache>
            </c:strRef>
          </c:cat>
          <c:val>
            <c:numRef>
              <c:f>'By band and graphs'!$D$39:$D$52</c:f>
              <c:numCache>
                <c:formatCode>0.0%</c:formatCode>
                <c:ptCount val="14"/>
                <c:pt idx="0">
                  <c:v>0</c:v>
                </c:pt>
                <c:pt idx="1">
                  <c:v>0.17460317460317459</c:v>
                </c:pt>
                <c:pt idx="2">
                  <c:v>0.13810316139767054</c:v>
                </c:pt>
                <c:pt idx="3">
                  <c:v>5.6818181818181816E-2</c:v>
                </c:pt>
                <c:pt idx="4">
                  <c:v>4.7413793103448273E-2</c:v>
                </c:pt>
                <c:pt idx="5">
                  <c:v>3.8834951456310676E-2</c:v>
                </c:pt>
                <c:pt idx="6">
                  <c:v>0.10526315789473684</c:v>
                </c:pt>
                <c:pt idx="7">
                  <c:v>0.10416666666666667</c:v>
                </c:pt>
                <c:pt idx="8">
                  <c:v>2.3255813953488372E-2</c:v>
                </c:pt>
                <c:pt idx="9">
                  <c:v>0.1</c:v>
                </c:pt>
                <c:pt idx="10">
                  <c:v>0</c:v>
                </c:pt>
                <c:pt idx="11">
                  <c:v>0</c:v>
                </c:pt>
                <c:pt idx="12">
                  <c:v>0</c:v>
                </c:pt>
                <c:pt idx="13">
                  <c:v>0</c:v>
                </c:pt>
              </c:numCache>
            </c:numRef>
          </c:val>
          <c:extLst xmlns:c16r2="http://schemas.microsoft.com/office/drawing/2015/06/chart">
            <c:ext xmlns:c16="http://schemas.microsoft.com/office/drawing/2014/chart" uri="{C3380CC4-5D6E-409C-BE32-E72D297353CC}">
              <c16:uniqueId val="{00000001-04E2-4512-A261-C48AA987AEA6}"/>
            </c:ext>
          </c:extLst>
        </c:ser>
        <c:ser>
          <c:idx val="2"/>
          <c:order val="2"/>
          <c:tx>
            <c:strRef>
              <c:f>'By band and graphs'!$E$38</c:f>
              <c:strCache>
                <c:ptCount val="1"/>
                <c:pt idx="0">
                  <c:v>Unknown or null 2020</c:v>
                </c:pt>
              </c:strCache>
            </c:strRef>
          </c:tx>
          <c:invertIfNegative val="0"/>
          <c:cat>
            <c:strRef>
              <c:f>'By band and graphs'!$B$39:$B$52</c:f>
              <c:strCache>
                <c:ptCount val="14"/>
                <c:pt idx="0">
                  <c:v>Under Band 1</c:v>
                </c:pt>
                <c:pt idx="1">
                  <c:v>Band 1</c:v>
                </c:pt>
                <c:pt idx="2">
                  <c:v>Band 2</c:v>
                </c:pt>
                <c:pt idx="3">
                  <c:v>Band 3</c:v>
                </c:pt>
                <c:pt idx="4">
                  <c:v>Band 4</c:v>
                </c:pt>
                <c:pt idx="5">
                  <c:v>Band 5</c:v>
                </c:pt>
                <c:pt idx="6">
                  <c:v>Band 6</c:v>
                </c:pt>
                <c:pt idx="7">
                  <c:v>Band 7</c:v>
                </c:pt>
                <c:pt idx="8">
                  <c:v>Band 8A</c:v>
                </c:pt>
                <c:pt idx="9">
                  <c:v>Band 8B</c:v>
                </c:pt>
                <c:pt idx="10">
                  <c:v>Band 8C</c:v>
                </c:pt>
                <c:pt idx="11">
                  <c:v>Band 8D</c:v>
                </c:pt>
                <c:pt idx="12">
                  <c:v>Band 9</c:v>
                </c:pt>
                <c:pt idx="13">
                  <c:v>VSM</c:v>
                </c:pt>
              </c:strCache>
            </c:strRef>
          </c:cat>
          <c:val>
            <c:numRef>
              <c:f>'By band and graphs'!$E$39:$E$52</c:f>
              <c:numCache>
                <c:formatCode>0.0%</c:formatCode>
                <c:ptCount val="14"/>
                <c:pt idx="0">
                  <c:v>0</c:v>
                </c:pt>
                <c:pt idx="1">
                  <c:v>5.5555555555555552E-2</c:v>
                </c:pt>
                <c:pt idx="2">
                  <c:v>1.6638935108153077E-2</c:v>
                </c:pt>
                <c:pt idx="3">
                  <c:v>7.575757575757576E-3</c:v>
                </c:pt>
                <c:pt idx="4">
                  <c:v>8.6206896551724137E-3</c:v>
                </c:pt>
                <c:pt idx="5">
                  <c:v>9.7087378640776691E-3</c:v>
                </c:pt>
                <c:pt idx="6">
                  <c:v>3.5087719298245612E-2</c:v>
                </c:pt>
                <c:pt idx="7">
                  <c:v>4.1666666666666664E-2</c:v>
                </c:pt>
                <c:pt idx="8">
                  <c:v>0</c:v>
                </c:pt>
                <c:pt idx="9">
                  <c:v>3.3333333333333333E-2</c:v>
                </c:pt>
                <c:pt idx="10">
                  <c:v>0</c:v>
                </c:pt>
                <c:pt idx="11">
                  <c:v>0</c:v>
                </c:pt>
                <c:pt idx="12">
                  <c:v>0.16666666666666666</c:v>
                </c:pt>
                <c:pt idx="13">
                  <c:v>0.14285714285714285</c:v>
                </c:pt>
              </c:numCache>
            </c:numRef>
          </c:val>
          <c:extLst xmlns:c16r2="http://schemas.microsoft.com/office/drawing/2015/06/chart">
            <c:ext xmlns:c16="http://schemas.microsoft.com/office/drawing/2014/chart" uri="{C3380CC4-5D6E-409C-BE32-E72D297353CC}">
              <c16:uniqueId val="{00000002-04E2-4512-A261-C48AA987AEA6}"/>
            </c:ext>
          </c:extLst>
        </c:ser>
        <c:ser>
          <c:idx val="3"/>
          <c:order val="3"/>
          <c:tx>
            <c:strRef>
              <c:f>'By band and graphs'!$F$38</c:f>
              <c:strCache>
                <c:ptCount val="1"/>
                <c:pt idx="0">
                  <c:v>White 2021</c:v>
                </c:pt>
              </c:strCache>
            </c:strRef>
          </c:tx>
          <c:invertIfNegative val="0"/>
          <c:cat>
            <c:strRef>
              <c:f>'By band and graphs'!$B$39:$B$52</c:f>
              <c:strCache>
                <c:ptCount val="14"/>
                <c:pt idx="0">
                  <c:v>Under Band 1</c:v>
                </c:pt>
                <c:pt idx="1">
                  <c:v>Band 1</c:v>
                </c:pt>
                <c:pt idx="2">
                  <c:v>Band 2</c:v>
                </c:pt>
                <c:pt idx="3">
                  <c:v>Band 3</c:v>
                </c:pt>
                <c:pt idx="4">
                  <c:v>Band 4</c:v>
                </c:pt>
                <c:pt idx="5">
                  <c:v>Band 5</c:v>
                </c:pt>
                <c:pt idx="6">
                  <c:v>Band 6</c:v>
                </c:pt>
                <c:pt idx="7">
                  <c:v>Band 7</c:v>
                </c:pt>
                <c:pt idx="8">
                  <c:v>Band 8A</c:v>
                </c:pt>
                <c:pt idx="9">
                  <c:v>Band 8B</c:v>
                </c:pt>
                <c:pt idx="10">
                  <c:v>Band 8C</c:v>
                </c:pt>
                <c:pt idx="11">
                  <c:v>Band 8D</c:v>
                </c:pt>
                <c:pt idx="12">
                  <c:v>Band 9</c:v>
                </c:pt>
                <c:pt idx="13">
                  <c:v>VSM</c:v>
                </c:pt>
              </c:strCache>
            </c:strRef>
          </c:cat>
          <c:val>
            <c:numRef>
              <c:f>'By band and graphs'!$F$39:$F$52</c:f>
              <c:numCache>
                <c:formatCode>0.0%</c:formatCode>
                <c:ptCount val="14"/>
                <c:pt idx="0">
                  <c:v>0</c:v>
                </c:pt>
                <c:pt idx="1">
                  <c:v>0.79166666666666663</c:v>
                </c:pt>
                <c:pt idx="2">
                  <c:v>0.8404907975460123</c:v>
                </c:pt>
                <c:pt idx="3">
                  <c:v>0.93684210526315792</c:v>
                </c:pt>
                <c:pt idx="4">
                  <c:v>0.93723849372384938</c:v>
                </c:pt>
                <c:pt idx="5">
                  <c:v>0.94285714285714284</c:v>
                </c:pt>
                <c:pt idx="6">
                  <c:v>0.88524590163934425</c:v>
                </c:pt>
                <c:pt idx="7">
                  <c:v>0.88235294117647056</c:v>
                </c:pt>
                <c:pt idx="8">
                  <c:v>0.97560975609756095</c:v>
                </c:pt>
                <c:pt idx="9">
                  <c:v>0.88888888888888884</c:v>
                </c:pt>
                <c:pt idx="10">
                  <c:v>1</c:v>
                </c:pt>
                <c:pt idx="11">
                  <c:v>1</c:v>
                </c:pt>
                <c:pt idx="12">
                  <c:v>0.8</c:v>
                </c:pt>
                <c:pt idx="13">
                  <c:v>0.83333333333333337</c:v>
                </c:pt>
              </c:numCache>
            </c:numRef>
          </c:val>
          <c:extLst xmlns:c16r2="http://schemas.microsoft.com/office/drawing/2015/06/chart">
            <c:ext xmlns:c16="http://schemas.microsoft.com/office/drawing/2014/chart" uri="{C3380CC4-5D6E-409C-BE32-E72D297353CC}">
              <c16:uniqueId val="{00000003-04E2-4512-A261-C48AA987AEA6}"/>
            </c:ext>
          </c:extLst>
        </c:ser>
        <c:ser>
          <c:idx val="4"/>
          <c:order val="4"/>
          <c:tx>
            <c:strRef>
              <c:f>'By band and graphs'!$G$38</c:f>
              <c:strCache>
                <c:ptCount val="1"/>
                <c:pt idx="0">
                  <c:v>BAME 2021</c:v>
                </c:pt>
              </c:strCache>
            </c:strRef>
          </c:tx>
          <c:invertIfNegative val="0"/>
          <c:cat>
            <c:strRef>
              <c:f>'By band and graphs'!$B$39:$B$52</c:f>
              <c:strCache>
                <c:ptCount val="14"/>
                <c:pt idx="0">
                  <c:v>Under Band 1</c:v>
                </c:pt>
                <c:pt idx="1">
                  <c:v>Band 1</c:v>
                </c:pt>
                <c:pt idx="2">
                  <c:v>Band 2</c:v>
                </c:pt>
                <c:pt idx="3">
                  <c:v>Band 3</c:v>
                </c:pt>
                <c:pt idx="4">
                  <c:v>Band 4</c:v>
                </c:pt>
                <c:pt idx="5">
                  <c:v>Band 5</c:v>
                </c:pt>
                <c:pt idx="6">
                  <c:v>Band 6</c:v>
                </c:pt>
                <c:pt idx="7">
                  <c:v>Band 7</c:v>
                </c:pt>
                <c:pt idx="8">
                  <c:v>Band 8A</c:v>
                </c:pt>
                <c:pt idx="9">
                  <c:v>Band 8B</c:v>
                </c:pt>
                <c:pt idx="10">
                  <c:v>Band 8C</c:v>
                </c:pt>
                <c:pt idx="11">
                  <c:v>Band 8D</c:v>
                </c:pt>
                <c:pt idx="12">
                  <c:v>Band 9</c:v>
                </c:pt>
                <c:pt idx="13">
                  <c:v>VSM</c:v>
                </c:pt>
              </c:strCache>
            </c:strRef>
          </c:cat>
          <c:val>
            <c:numRef>
              <c:f>'By band and graphs'!$G$39:$G$52</c:f>
              <c:numCache>
                <c:formatCode>0.0%</c:formatCode>
                <c:ptCount val="14"/>
                <c:pt idx="0">
                  <c:v>0</c:v>
                </c:pt>
                <c:pt idx="1">
                  <c:v>0.16666666666666666</c:v>
                </c:pt>
                <c:pt idx="2">
                  <c:v>0.13957055214723926</c:v>
                </c:pt>
                <c:pt idx="3">
                  <c:v>5.6140350877192984E-2</c:v>
                </c:pt>
                <c:pt idx="4">
                  <c:v>5.0209205020920501E-2</c:v>
                </c:pt>
                <c:pt idx="5">
                  <c:v>5.7142857142857141E-2</c:v>
                </c:pt>
                <c:pt idx="6">
                  <c:v>8.1967213114754092E-2</c:v>
                </c:pt>
                <c:pt idx="7">
                  <c:v>7.8431372549019607E-2</c:v>
                </c:pt>
                <c:pt idx="8">
                  <c:v>0</c:v>
                </c:pt>
                <c:pt idx="9">
                  <c:v>0.1111111111111111</c:v>
                </c:pt>
                <c:pt idx="10">
                  <c:v>0</c:v>
                </c:pt>
                <c:pt idx="11">
                  <c:v>0</c:v>
                </c:pt>
                <c:pt idx="12">
                  <c:v>0</c:v>
                </c:pt>
                <c:pt idx="13">
                  <c:v>0</c:v>
                </c:pt>
              </c:numCache>
            </c:numRef>
          </c:val>
          <c:extLst xmlns:c16r2="http://schemas.microsoft.com/office/drawing/2015/06/chart">
            <c:ext xmlns:c16="http://schemas.microsoft.com/office/drawing/2014/chart" uri="{C3380CC4-5D6E-409C-BE32-E72D297353CC}">
              <c16:uniqueId val="{00000004-04E2-4512-A261-C48AA987AEA6}"/>
            </c:ext>
          </c:extLst>
        </c:ser>
        <c:ser>
          <c:idx val="5"/>
          <c:order val="5"/>
          <c:tx>
            <c:strRef>
              <c:f>'By band and graphs'!$H$38</c:f>
              <c:strCache>
                <c:ptCount val="1"/>
                <c:pt idx="0">
                  <c:v>Unknown or null 2021</c:v>
                </c:pt>
              </c:strCache>
            </c:strRef>
          </c:tx>
          <c:invertIfNegative val="0"/>
          <c:cat>
            <c:strRef>
              <c:f>'By band and graphs'!$B$39:$B$52</c:f>
              <c:strCache>
                <c:ptCount val="14"/>
                <c:pt idx="0">
                  <c:v>Under Band 1</c:v>
                </c:pt>
                <c:pt idx="1">
                  <c:v>Band 1</c:v>
                </c:pt>
                <c:pt idx="2">
                  <c:v>Band 2</c:v>
                </c:pt>
                <c:pt idx="3">
                  <c:v>Band 3</c:v>
                </c:pt>
                <c:pt idx="4">
                  <c:v>Band 4</c:v>
                </c:pt>
                <c:pt idx="5">
                  <c:v>Band 5</c:v>
                </c:pt>
                <c:pt idx="6">
                  <c:v>Band 6</c:v>
                </c:pt>
                <c:pt idx="7">
                  <c:v>Band 7</c:v>
                </c:pt>
                <c:pt idx="8">
                  <c:v>Band 8A</c:v>
                </c:pt>
                <c:pt idx="9">
                  <c:v>Band 8B</c:v>
                </c:pt>
                <c:pt idx="10">
                  <c:v>Band 8C</c:v>
                </c:pt>
                <c:pt idx="11">
                  <c:v>Band 8D</c:v>
                </c:pt>
                <c:pt idx="12">
                  <c:v>Band 9</c:v>
                </c:pt>
                <c:pt idx="13">
                  <c:v>VSM</c:v>
                </c:pt>
              </c:strCache>
            </c:strRef>
          </c:cat>
          <c:val>
            <c:numRef>
              <c:f>'By band and graphs'!$H$39:$H$52</c:f>
              <c:numCache>
                <c:formatCode>0.0%</c:formatCode>
                <c:ptCount val="14"/>
                <c:pt idx="0">
                  <c:v>0</c:v>
                </c:pt>
                <c:pt idx="1">
                  <c:v>4.1666666666666664E-2</c:v>
                </c:pt>
                <c:pt idx="2">
                  <c:v>1.9938650306748466E-2</c:v>
                </c:pt>
                <c:pt idx="3">
                  <c:v>7.0175438596491229E-3</c:v>
                </c:pt>
                <c:pt idx="4">
                  <c:v>1.2552301255230125E-2</c:v>
                </c:pt>
                <c:pt idx="5">
                  <c:v>0</c:v>
                </c:pt>
                <c:pt idx="6">
                  <c:v>3.2786885245901641E-2</c:v>
                </c:pt>
                <c:pt idx="7">
                  <c:v>3.9215686274509803E-2</c:v>
                </c:pt>
                <c:pt idx="8">
                  <c:v>2.4390243902439025E-2</c:v>
                </c:pt>
                <c:pt idx="9">
                  <c:v>0</c:v>
                </c:pt>
                <c:pt idx="10">
                  <c:v>0</c:v>
                </c:pt>
                <c:pt idx="11">
                  <c:v>0</c:v>
                </c:pt>
                <c:pt idx="12">
                  <c:v>0.2</c:v>
                </c:pt>
                <c:pt idx="13">
                  <c:v>0.16666666666666666</c:v>
                </c:pt>
              </c:numCache>
            </c:numRef>
          </c:val>
          <c:extLst xmlns:c16r2="http://schemas.microsoft.com/office/drawing/2015/06/chart">
            <c:ext xmlns:c16="http://schemas.microsoft.com/office/drawing/2014/chart" uri="{C3380CC4-5D6E-409C-BE32-E72D297353CC}">
              <c16:uniqueId val="{00000005-04E2-4512-A261-C48AA987AEA6}"/>
            </c:ext>
          </c:extLst>
        </c:ser>
        <c:dLbls>
          <c:showLegendKey val="0"/>
          <c:showVal val="0"/>
          <c:showCatName val="0"/>
          <c:showSerName val="0"/>
          <c:showPercent val="0"/>
          <c:showBubbleSize val="0"/>
        </c:dLbls>
        <c:gapWidth val="150"/>
        <c:axId val="247300096"/>
        <c:axId val="247302016"/>
      </c:barChart>
      <c:catAx>
        <c:axId val="247300096"/>
        <c:scaling>
          <c:orientation val="minMax"/>
        </c:scaling>
        <c:delete val="0"/>
        <c:axPos val="b"/>
        <c:numFmt formatCode="General" sourceLinked="0"/>
        <c:majorTickMark val="none"/>
        <c:minorTickMark val="none"/>
        <c:tickLblPos val="nextTo"/>
        <c:crossAx val="247302016"/>
        <c:crosses val="autoZero"/>
        <c:auto val="1"/>
        <c:lblAlgn val="ctr"/>
        <c:lblOffset val="100"/>
        <c:noMultiLvlLbl val="0"/>
      </c:catAx>
      <c:valAx>
        <c:axId val="247302016"/>
        <c:scaling>
          <c:orientation val="minMax"/>
        </c:scaling>
        <c:delete val="0"/>
        <c:axPos val="l"/>
        <c:majorGridlines/>
        <c:numFmt formatCode="0.0%" sourceLinked="1"/>
        <c:majorTickMark val="none"/>
        <c:minorTickMark val="none"/>
        <c:tickLblPos val="nextTo"/>
        <c:crossAx val="24730009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9AC6A-0B2A-4BA1-9020-5774C244C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1943</Words>
  <Characters>11081</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Stockport NHS Foundation Trust</Company>
  <LinksUpToDate>false</LinksUpToDate>
  <CharactersWithSpaces>12999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Stuart</dc:creator>
  <cp:lastModifiedBy>Ben Granger</cp:lastModifiedBy>
  <cp:revision>2</cp:revision>
  <dcterms:created xsi:type="dcterms:W3CDTF">2021-11-25T11:47:00Z</dcterms:created>
  <dcterms:modified xsi:type="dcterms:W3CDTF">2021-11-25T11:47:00Z</dcterms:modified>
</cp:coreProperties>
</file>