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517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C18E8" w:rsidRPr="005C18E8" w:rsidTr="0071418D">
        <w:tc>
          <w:tcPr>
            <w:tcW w:w="4621" w:type="dxa"/>
          </w:tcPr>
          <w:p w:rsidR="005C18E8" w:rsidRPr="005C18E8" w:rsidRDefault="005C18E8" w:rsidP="0071418D">
            <w:pPr>
              <w:rPr>
                <w:rFonts w:ascii="Arial" w:hAnsi="Arial" w:cs="Arial"/>
                <w:b/>
              </w:rPr>
            </w:pPr>
            <w:r w:rsidRPr="005C18E8">
              <w:rPr>
                <w:rFonts w:ascii="Arial" w:hAnsi="Arial" w:cs="Arial"/>
                <w:b/>
                <w:bCs/>
              </w:rPr>
              <w:t xml:space="preserve">Indicator 1: </w:t>
            </w:r>
            <w:r w:rsidRPr="005C18E8">
              <w:rPr>
                <w:rFonts w:ascii="Arial" w:hAnsi="Arial" w:cs="Arial"/>
              </w:rPr>
              <w:t xml:space="preserve">Percentage of staff in each of the </w:t>
            </w:r>
            <w:proofErr w:type="spellStart"/>
            <w:r w:rsidRPr="005C18E8">
              <w:rPr>
                <w:rFonts w:ascii="Arial" w:hAnsi="Arial" w:cs="Arial"/>
              </w:rPr>
              <w:t>AfC</w:t>
            </w:r>
            <w:proofErr w:type="spellEnd"/>
            <w:r w:rsidRPr="005C18E8">
              <w:rPr>
                <w:rFonts w:ascii="Arial" w:hAnsi="Arial" w:cs="Arial"/>
              </w:rPr>
              <w:t xml:space="preserve"> Bands 1-9 and VSM (including executive Board members) compared with the percentage of staff in the overall workforce</w:t>
            </w:r>
          </w:p>
        </w:tc>
        <w:tc>
          <w:tcPr>
            <w:tcW w:w="4621" w:type="dxa"/>
          </w:tcPr>
          <w:p w:rsidR="001A157B" w:rsidRDefault="005C18E8" w:rsidP="0071418D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</w:rPr>
            </w:pPr>
            <w:r w:rsidRPr="005C18E8">
              <w:rPr>
                <w:rFonts w:ascii="Arial" w:hAnsi="Arial" w:cs="Arial"/>
                <w:color w:val="1F497D" w:themeColor="text2"/>
              </w:rPr>
              <w:t xml:space="preserve">Percentage of BME staff in every pay band is lower than the Trust BME average of </w:t>
            </w:r>
            <w:r w:rsidR="001A157B">
              <w:rPr>
                <w:rFonts w:ascii="Arial" w:hAnsi="Arial" w:cs="Arial"/>
                <w:color w:val="1F497D" w:themeColor="text2"/>
              </w:rPr>
              <w:t xml:space="preserve">12.35% </w:t>
            </w:r>
            <w:r w:rsidRPr="005C18E8">
              <w:rPr>
                <w:rFonts w:ascii="Arial" w:hAnsi="Arial" w:cs="Arial"/>
                <w:color w:val="1F497D" w:themeColor="text2"/>
              </w:rPr>
              <w:t xml:space="preserve"> with the exception of band </w:t>
            </w:r>
            <w:r w:rsidR="001A157B">
              <w:rPr>
                <w:rFonts w:ascii="Arial" w:hAnsi="Arial" w:cs="Arial"/>
                <w:color w:val="1F497D" w:themeColor="text2"/>
              </w:rPr>
              <w:t>1 (Non-clinical)</w:t>
            </w:r>
            <w:r w:rsidR="0049729C">
              <w:rPr>
                <w:rFonts w:ascii="Arial" w:hAnsi="Arial" w:cs="Arial"/>
                <w:color w:val="1F497D" w:themeColor="text2"/>
              </w:rPr>
              <w:t xml:space="preserve"> </w:t>
            </w:r>
            <w:r w:rsidR="001A157B">
              <w:rPr>
                <w:rFonts w:ascii="Arial" w:hAnsi="Arial" w:cs="Arial"/>
                <w:color w:val="1F497D" w:themeColor="text2"/>
              </w:rPr>
              <w:t>&amp; band 5 (Clinical)</w:t>
            </w:r>
            <w:r w:rsidR="001A157B">
              <w:rPr>
                <w:rFonts w:ascii="Arial" w:hAnsi="Arial" w:cs="Arial"/>
                <w:color w:val="1F497D" w:themeColor="text2"/>
              </w:rPr>
              <w:br/>
            </w:r>
          </w:p>
          <w:p w:rsidR="005C18E8" w:rsidRPr="005C18E8" w:rsidRDefault="001A157B" w:rsidP="00714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color w:val="1F497D" w:themeColor="text2"/>
              </w:rPr>
              <w:t>B</w:t>
            </w:r>
            <w:r w:rsidR="005C18E8" w:rsidRPr="005C18E8">
              <w:rPr>
                <w:rFonts w:ascii="Arial" w:hAnsi="Arial" w:cs="Arial"/>
                <w:color w:val="1F497D" w:themeColor="text2"/>
              </w:rPr>
              <w:t xml:space="preserve">ME Staff in VSM </w:t>
            </w:r>
            <w:r>
              <w:rPr>
                <w:rFonts w:ascii="Arial" w:hAnsi="Arial" w:cs="Arial"/>
                <w:color w:val="1F497D" w:themeColor="text2"/>
              </w:rPr>
              <w:t>–</w:t>
            </w:r>
            <w:r w:rsidR="005C18E8" w:rsidRPr="005C18E8">
              <w:rPr>
                <w:rFonts w:ascii="Arial" w:hAnsi="Arial" w:cs="Arial"/>
                <w:color w:val="1F497D" w:themeColor="text2"/>
              </w:rPr>
              <w:t xml:space="preserve"> </w:t>
            </w:r>
            <w:r>
              <w:rPr>
                <w:rFonts w:ascii="Arial" w:hAnsi="Arial" w:cs="Arial"/>
                <w:color w:val="1F497D" w:themeColor="text2"/>
              </w:rPr>
              <w:t>4.35</w:t>
            </w:r>
          </w:p>
          <w:p w:rsidR="005C18E8" w:rsidRPr="005C18E8" w:rsidRDefault="005C18E8" w:rsidP="0071418D">
            <w:pPr>
              <w:rPr>
                <w:rFonts w:ascii="Arial" w:hAnsi="Arial" w:cs="Arial"/>
              </w:rPr>
            </w:pPr>
          </w:p>
        </w:tc>
      </w:tr>
      <w:tr w:rsidR="005C18E8" w:rsidRPr="005C18E8" w:rsidTr="0071418D">
        <w:tc>
          <w:tcPr>
            <w:tcW w:w="4621" w:type="dxa"/>
          </w:tcPr>
          <w:p w:rsidR="005C18E8" w:rsidRPr="005C18E8" w:rsidRDefault="005C18E8" w:rsidP="0071418D">
            <w:pPr>
              <w:rPr>
                <w:rFonts w:ascii="Arial" w:hAnsi="Arial" w:cs="Arial"/>
              </w:rPr>
            </w:pPr>
            <w:r w:rsidRPr="005C18E8">
              <w:rPr>
                <w:rFonts w:ascii="Arial" w:hAnsi="Arial" w:cs="Arial"/>
                <w:b/>
              </w:rPr>
              <w:t>I</w:t>
            </w:r>
            <w:r w:rsidRPr="005C18E8">
              <w:rPr>
                <w:rFonts w:ascii="Arial" w:hAnsi="Arial" w:cs="Arial"/>
                <w:b/>
                <w:bCs/>
              </w:rPr>
              <w:t xml:space="preserve">ndicator 2: </w:t>
            </w:r>
            <w:r w:rsidRPr="005C18E8">
              <w:rPr>
                <w:rFonts w:ascii="Arial" w:hAnsi="Arial" w:cs="Arial"/>
              </w:rPr>
              <w:t>Relative likelihood of staff being appointed from shortlisting across all posts</w:t>
            </w:r>
          </w:p>
        </w:tc>
        <w:tc>
          <w:tcPr>
            <w:tcW w:w="4621" w:type="dxa"/>
          </w:tcPr>
          <w:p w:rsidR="005C18E8" w:rsidRPr="005C18E8" w:rsidRDefault="005C18E8" w:rsidP="0071418D">
            <w:pPr>
              <w:pStyle w:val="Default"/>
              <w:rPr>
                <w:bCs/>
                <w:color w:val="1F497D" w:themeColor="text2"/>
                <w:sz w:val="22"/>
                <w:szCs w:val="22"/>
              </w:rPr>
            </w:pPr>
            <w:r w:rsidRPr="005C18E8">
              <w:rPr>
                <w:bCs/>
                <w:noProof/>
                <w:color w:val="1F497D" w:themeColor="text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E1498" wp14:editId="0D690EF2">
                      <wp:simplePos x="0" y="0"/>
                      <wp:positionH relativeFrom="column">
                        <wp:posOffset>8642985</wp:posOffset>
                      </wp:positionH>
                      <wp:positionV relativeFrom="paragraph">
                        <wp:posOffset>-10160</wp:posOffset>
                      </wp:positionV>
                      <wp:extent cx="323850" cy="361950"/>
                      <wp:effectExtent l="95250" t="24765" r="114300" b="70485"/>
                      <wp:wrapNone/>
                      <wp:docPr id="1" name="Down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619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941"/>
                                </a:avLst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680.55pt;margin-top:-.8pt;width:2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" fillcolor="#9bbb59" strokecolor="#f2f2f2" strokeweight="3pt">
                      <v:shadow on="t" color="#4e6128" opacity=".5" offset="1pt"/>
                      <v:textbox style="layout-flow:vertical-ideographic"/>
                    </v:shape>
                  </w:pict>
                </mc:Fallback>
              </mc:AlternateContent>
            </w:r>
            <w:r w:rsidRPr="005C18E8">
              <w:rPr>
                <w:bCs/>
                <w:color w:val="1F497D" w:themeColor="text2"/>
                <w:sz w:val="22"/>
                <w:szCs w:val="22"/>
              </w:rPr>
              <w:t xml:space="preserve">Relative likelihood of White staff being appointed from shortlisting compared to BME staff: </w:t>
            </w:r>
            <w:r w:rsidRPr="001A157B">
              <w:rPr>
                <w:b/>
                <w:bCs/>
                <w:color w:val="1F497D" w:themeColor="text2"/>
                <w:sz w:val="22"/>
                <w:szCs w:val="22"/>
              </w:rPr>
              <w:t>1.52 times greater</w:t>
            </w:r>
            <w:r w:rsidRPr="005C18E8">
              <w:rPr>
                <w:color w:val="1F497D" w:themeColor="text2"/>
                <w:sz w:val="22"/>
                <w:szCs w:val="22"/>
              </w:rPr>
              <w:t xml:space="preserve"> </w:t>
            </w:r>
          </w:p>
          <w:p w:rsidR="005C18E8" w:rsidRPr="005C18E8" w:rsidRDefault="005C18E8" w:rsidP="0071418D">
            <w:pPr>
              <w:rPr>
                <w:rFonts w:ascii="Arial" w:hAnsi="Arial" w:cs="Arial"/>
              </w:rPr>
            </w:pPr>
          </w:p>
        </w:tc>
      </w:tr>
      <w:tr w:rsidR="005C18E8" w:rsidRPr="005C18E8" w:rsidTr="0071418D">
        <w:tc>
          <w:tcPr>
            <w:tcW w:w="4621" w:type="dxa"/>
          </w:tcPr>
          <w:p w:rsidR="005C18E8" w:rsidRPr="005C18E8" w:rsidRDefault="005C18E8" w:rsidP="0071418D">
            <w:pPr>
              <w:rPr>
                <w:rFonts w:ascii="Arial" w:hAnsi="Arial" w:cs="Arial"/>
              </w:rPr>
            </w:pPr>
            <w:r w:rsidRPr="005C18E8">
              <w:rPr>
                <w:rFonts w:ascii="Arial" w:hAnsi="Arial" w:cs="Arial"/>
                <w:b/>
                <w:bCs/>
              </w:rPr>
              <w:t xml:space="preserve">Indicator 3: </w:t>
            </w:r>
            <w:r w:rsidRPr="005C18E8">
              <w:rPr>
                <w:rFonts w:ascii="Arial" w:hAnsi="Arial" w:cs="Arial"/>
              </w:rPr>
              <w:t>Relative likelihood of staff entering the formal disciplinary process, as measured by entry into a formal disciplinary investigation</w:t>
            </w:r>
          </w:p>
        </w:tc>
        <w:tc>
          <w:tcPr>
            <w:tcW w:w="4621" w:type="dxa"/>
          </w:tcPr>
          <w:p w:rsidR="005C18E8" w:rsidRPr="005C18E8" w:rsidRDefault="005C18E8" w:rsidP="0071418D">
            <w:pPr>
              <w:pStyle w:val="Default"/>
              <w:tabs>
                <w:tab w:val="left" w:pos="3330"/>
              </w:tabs>
              <w:rPr>
                <w:bCs/>
                <w:color w:val="1F497D" w:themeColor="text2"/>
                <w:sz w:val="22"/>
                <w:szCs w:val="22"/>
              </w:rPr>
            </w:pPr>
            <w:r w:rsidRPr="005C18E8">
              <w:rPr>
                <w:bCs/>
                <w:color w:val="1F497D" w:themeColor="text2"/>
                <w:sz w:val="22"/>
                <w:szCs w:val="22"/>
              </w:rPr>
              <w:t xml:space="preserve">Relative likelihood of BME staff entering the formal disciplinary process, compared to that of white staff is </w:t>
            </w:r>
            <w:r w:rsidRPr="001A157B">
              <w:rPr>
                <w:b/>
                <w:bCs/>
                <w:color w:val="1F497D" w:themeColor="text2"/>
                <w:sz w:val="22"/>
                <w:szCs w:val="22"/>
              </w:rPr>
              <w:t>1.76 times greater</w:t>
            </w:r>
          </w:p>
          <w:p w:rsidR="005C18E8" w:rsidRPr="005C18E8" w:rsidRDefault="005C18E8" w:rsidP="0071418D">
            <w:pPr>
              <w:pStyle w:val="Default"/>
              <w:tabs>
                <w:tab w:val="left" w:pos="3330"/>
              </w:tabs>
              <w:rPr>
                <w:bCs/>
                <w:color w:val="1F497D" w:themeColor="text2"/>
                <w:sz w:val="22"/>
                <w:szCs w:val="22"/>
              </w:rPr>
            </w:pPr>
          </w:p>
          <w:p w:rsidR="005C18E8" w:rsidRPr="005C18E8" w:rsidRDefault="005C18E8" w:rsidP="0071418D">
            <w:pPr>
              <w:rPr>
                <w:rFonts w:ascii="Arial" w:hAnsi="Arial" w:cs="Arial"/>
              </w:rPr>
            </w:pPr>
          </w:p>
        </w:tc>
      </w:tr>
      <w:tr w:rsidR="005C18E8" w:rsidRPr="005C18E8" w:rsidTr="0071418D">
        <w:tc>
          <w:tcPr>
            <w:tcW w:w="4621" w:type="dxa"/>
          </w:tcPr>
          <w:p w:rsidR="005C18E8" w:rsidRPr="005C18E8" w:rsidRDefault="005C18E8" w:rsidP="0071418D">
            <w:pPr>
              <w:pStyle w:val="Default"/>
              <w:rPr>
                <w:color w:val="auto"/>
                <w:sz w:val="22"/>
                <w:szCs w:val="22"/>
              </w:rPr>
            </w:pPr>
            <w:r w:rsidRPr="005C18E8">
              <w:rPr>
                <w:b/>
                <w:bCs/>
                <w:color w:val="auto"/>
                <w:sz w:val="22"/>
                <w:szCs w:val="22"/>
              </w:rPr>
              <w:t>Indicator 4</w:t>
            </w:r>
            <w:r w:rsidRPr="005C18E8">
              <w:rPr>
                <w:color w:val="auto"/>
                <w:sz w:val="22"/>
                <w:szCs w:val="22"/>
              </w:rPr>
              <w:t xml:space="preserve">: </w:t>
            </w:r>
            <w:r w:rsidRPr="005C18E8">
              <w:rPr>
                <w:sz w:val="22"/>
                <w:szCs w:val="22"/>
              </w:rPr>
              <w:t xml:space="preserve">Relative likelihood of staff accessing non-mandatory training and CPD. </w:t>
            </w:r>
          </w:p>
          <w:p w:rsidR="005C18E8" w:rsidRPr="005C18E8" w:rsidRDefault="005C18E8" w:rsidP="0071418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5C18E8" w:rsidRPr="005C18E8" w:rsidRDefault="005C18E8" w:rsidP="0071418D">
            <w:pPr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bCs/>
                <w:color w:val="1F497D" w:themeColor="text2"/>
                <w:lang w:eastAsia="en-GB"/>
              </w:rPr>
              <w:t>Nil return</w:t>
            </w:r>
          </w:p>
        </w:tc>
      </w:tr>
      <w:tr w:rsidR="005C18E8" w:rsidRPr="005C18E8" w:rsidTr="0071418D">
        <w:tc>
          <w:tcPr>
            <w:tcW w:w="4621" w:type="dxa"/>
          </w:tcPr>
          <w:p w:rsidR="005C18E8" w:rsidRPr="005C18E8" w:rsidRDefault="005C18E8" w:rsidP="0071418D">
            <w:pPr>
              <w:pStyle w:val="Default"/>
              <w:rPr>
                <w:color w:val="auto"/>
                <w:sz w:val="22"/>
                <w:szCs w:val="22"/>
              </w:rPr>
            </w:pPr>
            <w:r w:rsidRPr="005C18E8">
              <w:rPr>
                <w:b/>
                <w:bCs/>
                <w:color w:val="auto"/>
                <w:sz w:val="22"/>
                <w:szCs w:val="22"/>
              </w:rPr>
              <w:t>Indicator 5</w:t>
            </w:r>
            <w:r w:rsidRPr="005C18E8">
              <w:rPr>
                <w:color w:val="auto"/>
                <w:sz w:val="22"/>
                <w:szCs w:val="22"/>
              </w:rPr>
              <w:t xml:space="preserve">: </w:t>
            </w:r>
            <w:r w:rsidRPr="005C18E8">
              <w:rPr>
                <w:sz w:val="22"/>
                <w:szCs w:val="22"/>
              </w:rPr>
              <w:t xml:space="preserve">KF 25. Percentage of staff experiencing harassment, bullying or abuse from patients, relatives or the public in last 12 months </w:t>
            </w:r>
          </w:p>
          <w:p w:rsidR="005C18E8" w:rsidRPr="005C18E8" w:rsidRDefault="005C18E8" w:rsidP="0071418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621" w:type="dxa"/>
          </w:tcPr>
          <w:p w:rsidR="005C18E8" w:rsidRPr="005C18E8" w:rsidRDefault="005C18E8" w:rsidP="0071418D">
            <w:pPr>
              <w:rPr>
                <w:rFonts w:ascii="Arial" w:eastAsia="Times New Roman" w:hAnsi="Arial" w:cs="Arial"/>
                <w:color w:val="1F497D" w:themeColor="text2"/>
                <w:lang w:eastAsia="en-GB"/>
              </w:rPr>
            </w:pPr>
            <w:r w:rsidRPr="005C18E8">
              <w:rPr>
                <w:rFonts w:ascii="Arial" w:eastAsia="Times New Roman" w:hAnsi="Arial" w:cs="Arial"/>
                <w:color w:val="1F497D" w:themeColor="text2"/>
                <w:lang w:eastAsia="en-GB"/>
              </w:rPr>
              <w:t>White: 21%</w:t>
            </w:r>
          </w:p>
          <w:p w:rsidR="005C18E8" w:rsidRPr="005C18E8" w:rsidRDefault="005C18E8" w:rsidP="0071418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1F497D" w:themeColor="text2"/>
                <w:lang w:eastAsia="en-GB"/>
              </w:rPr>
            </w:pPr>
            <w:r w:rsidRPr="005C18E8">
              <w:rPr>
                <w:rFonts w:ascii="Arial" w:eastAsia="Times New Roman" w:hAnsi="Arial" w:cs="Arial"/>
                <w:color w:val="1F497D" w:themeColor="text2"/>
                <w:lang w:eastAsia="en-GB"/>
              </w:rPr>
              <w:t>BME: 23.6%</w:t>
            </w:r>
          </w:p>
          <w:p w:rsidR="005C18E8" w:rsidRPr="005C18E8" w:rsidRDefault="005C18E8" w:rsidP="0071418D">
            <w:pPr>
              <w:rPr>
                <w:rFonts w:ascii="Arial" w:hAnsi="Arial" w:cs="Arial"/>
                <w:color w:val="1F497D" w:themeColor="text2"/>
              </w:rPr>
            </w:pPr>
          </w:p>
        </w:tc>
      </w:tr>
      <w:tr w:rsidR="005C18E8" w:rsidRPr="005C18E8" w:rsidTr="0071418D">
        <w:tc>
          <w:tcPr>
            <w:tcW w:w="4621" w:type="dxa"/>
          </w:tcPr>
          <w:p w:rsidR="005C18E8" w:rsidRPr="005C18E8" w:rsidRDefault="005C18E8" w:rsidP="0071418D">
            <w:pPr>
              <w:pStyle w:val="Default"/>
              <w:rPr>
                <w:color w:val="auto"/>
                <w:sz w:val="22"/>
                <w:szCs w:val="22"/>
              </w:rPr>
            </w:pPr>
            <w:r w:rsidRPr="005C18E8">
              <w:rPr>
                <w:b/>
                <w:bCs/>
                <w:color w:val="auto"/>
                <w:sz w:val="22"/>
                <w:szCs w:val="22"/>
              </w:rPr>
              <w:t>Indicators 6</w:t>
            </w:r>
          </w:p>
          <w:p w:rsidR="005C18E8" w:rsidRPr="005C18E8" w:rsidRDefault="005C18E8" w:rsidP="0071418D">
            <w:pPr>
              <w:pStyle w:val="Default"/>
              <w:rPr>
                <w:sz w:val="22"/>
                <w:szCs w:val="22"/>
              </w:rPr>
            </w:pPr>
            <w:r w:rsidRPr="005C18E8">
              <w:rPr>
                <w:sz w:val="22"/>
                <w:szCs w:val="22"/>
              </w:rPr>
              <w:t>KF 26. Percentage of staff experiencing harassment, bullying or abuse from staff in last 12 months</w:t>
            </w:r>
          </w:p>
          <w:p w:rsidR="005C18E8" w:rsidRPr="005C18E8" w:rsidRDefault="005C18E8" w:rsidP="0071418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5C18E8" w:rsidRPr="005C18E8" w:rsidRDefault="005C18E8" w:rsidP="0071418D">
            <w:pPr>
              <w:rPr>
                <w:rFonts w:ascii="Arial" w:hAnsi="Arial" w:cs="Arial"/>
                <w:color w:val="1F497D" w:themeColor="text2"/>
              </w:rPr>
            </w:pPr>
            <w:r w:rsidRPr="005C18E8">
              <w:rPr>
                <w:rFonts w:ascii="Arial" w:hAnsi="Arial" w:cs="Arial"/>
                <w:color w:val="1F497D" w:themeColor="text2"/>
              </w:rPr>
              <w:t>White: 20%</w:t>
            </w:r>
          </w:p>
          <w:p w:rsidR="005C18E8" w:rsidRPr="005C18E8" w:rsidRDefault="005C18E8" w:rsidP="0071418D">
            <w:pPr>
              <w:pStyle w:val="Default"/>
              <w:rPr>
                <w:color w:val="1F497D" w:themeColor="text2"/>
                <w:sz w:val="22"/>
                <w:szCs w:val="22"/>
              </w:rPr>
            </w:pPr>
            <w:r w:rsidRPr="005C18E8">
              <w:rPr>
                <w:color w:val="1F497D" w:themeColor="text2"/>
                <w:sz w:val="22"/>
                <w:szCs w:val="22"/>
              </w:rPr>
              <w:t>BME: 25.2</w:t>
            </w:r>
            <w:r w:rsidR="0038183A">
              <w:rPr>
                <w:color w:val="1F497D" w:themeColor="text2"/>
                <w:sz w:val="22"/>
                <w:szCs w:val="22"/>
              </w:rPr>
              <w:t>%</w:t>
            </w:r>
          </w:p>
          <w:p w:rsidR="005C18E8" w:rsidRPr="005C18E8" w:rsidRDefault="005C18E8" w:rsidP="0071418D">
            <w:pPr>
              <w:rPr>
                <w:rFonts w:ascii="Arial" w:hAnsi="Arial" w:cs="Arial"/>
                <w:color w:val="1F497D" w:themeColor="text2"/>
              </w:rPr>
            </w:pPr>
          </w:p>
        </w:tc>
      </w:tr>
      <w:tr w:rsidR="005C18E8" w:rsidRPr="005C18E8" w:rsidTr="0071418D">
        <w:tc>
          <w:tcPr>
            <w:tcW w:w="4621" w:type="dxa"/>
          </w:tcPr>
          <w:p w:rsidR="005C18E8" w:rsidRPr="005C18E8" w:rsidRDefault="005C18E8" w:rsidP="0071418D">
            <w:pPr>
              <w:pStyle w:val="Default"/>
              <w:rPr>
                <w:color w:val="auto"/>
                <w:sz w:val="22"/>
                <w:szCs w:val="22"/>
              </w:rPr>
            </w:pPr>
            <w:r w:rsidRPr="005C18E8">
              <w:rPr>
                <w:b/>
                <w:bCs/>
                <w:color w:val="auto"/>
                <w:sz w:val="22"/>
                <w:szCs w:val="22"/>
              </w:rPr>
              <w:t>Indicator 7</w:t>
            </w:r>
            <w:r w:rsidRPr="005C18E8">
              <w:rPr>
                <w:color w:val="auto"/>
                <w:sz w:val="22"/>
                <w:szCs w:val="22"/>
              </w:rPr>
              <w:t xml:space="preserve">: </w:t>
            </w:r>
            <w:r w:rsidRPr="005C18E8">
              <w:rPr>
                <w:sz w:val="22"/>
                <w:szCs w:val="22"/>
              </w:rPr>
              <w:t xml:space="preserve">KF 21. Percentage believing that trust provides equal opportunities for career progression or promotion </w:t>
            </w:r>
          </w:p>
          <w:p w:rsidR="005C18E8" w:rsidRPr="005C18E8" w:rsidRDefault="005C18E8" w:rsidP="0071418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5C18E8" w:rsidRPr="005C18E8" w:rsidRDefault="005C18E8" w:rsidP="0071418D">
            <w:pPr>
              <w:rPr>
                <w:rFonts w:ascii="Arial" w:hAnsi="Arial" w:cs="Arial"/>
                <w:color w:val="1F497D" w:themeColor="text2"/>
              </w:rPr>
            </w:pPr>
            <w:r w:rsidRPr="005C18E8">
              <w:rPr>
                <w:rFonts w:ascii="Arial" w:hAnsi="Arial" w:cs="Arial"/>
                <w:color w:val="1F497D" w:themeColor="text2"/>
              </w:rPr>
              <w:t>White: 86.6</w:t>
            </w:r>
            <w:r w:rsidR="0038183A">
              <w:rPr>
                <w:rFonts w:ascii="Arial" w:hAnsi="Arial" w:cs="Arial"/>
                <w:color w:val="1F497D" w:themeColor="text2"/>
              </w:rPr>
              <w:t>%</w:t>
            </w:r>
          </w:p>
          <w:p w:rsidR="005C18E8" w:rsidRPr="005C18E8" w:rsidRDefault="005C18E8" w:rsidP="0071418D">
            <w:pPr>
              <w:rPr>
                <w:rFonts w:ascii="Arial" w:hAnsi="Arial" w:cs="Arial"/>
                <w:color w:val="1F497D" w:themeColor="text2"/>
              </w:rPr>
            </w:pPr>
            <w:r w:rsidRPr="005C18E8">
              <w:rPr>
                <w:rFonts w:ascii="Arial" w:hAnsi="Arial" w:cs="Arial"/>
                <w:color w:val="1F497D" w:themeColor="text2"/>
              </w:rPr>
              <w:t>BME: 73</w:t>
            </w:r>
            <w:r w:rsidR="0038183A">
              <w:rPr>
                <w:rFonts w:ascii="Arial" w:hAnsi="Arial" w:cs="Arial"/>
                <w:color w:val="1F497D" w:themeColor="text2"/>
              </w:rPr>
              <w:t>.5%</w:t>
            </w:r>
          </w:p>
        </w:tc>
      </w:tr>
      <w:tr w:rsidR="005C18E8" w:rsidRPr="005C18E8" w:rsidTr="0071418D">
        <w:tc>
          <w:tcPr>
            <w:tcW w:w="4621" w:type="dxa"/>
          </w:tcPr>
          <w:p w:rsidR="005C18E8" w:rsidRPr="005C18E8" w:rsidRDefault="005C18E8" w:rsidP="0071418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5C18E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I</w:t>
            </w:r>
            <w:r w:rsidRPr="005C18E8">
              <w:rPr>
                <w:rFonts w:ascii="Arial" w:eastAsia="Times New Roman" w:hAnsi="Arial" w:cs="Arial"/>
                <w:b/>
                <w:bCs/>
                <w:lang w:eastAsia="en-GB"/>
              </w:rPr>
              <w:t>ndicator 8</w:t>
            </w:r>
            <w:r w:rsidRPr="005C18E8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Pr="005C18E8">
              <w:rPr>
                <w:rFonts w:ascii="Arial" w:eastAsia="Times New Roman" w:hAnsi="Arial" w:cs="Arial"/>
                <w:color w:val="000000"/>
                <w:lang w:eastAsia="en-GB"/>
              </w:rPr>
              <w:t xml:space="preserve">Q17. In the last 12 months have you personally experienced discrimination at work from any of the following? </w:t>
            </w:r>
          </w:p>
          <w:p w:rsidR="005C18E8" w:rsidRPr="005C18E8" w:rsidRDefault="005C18E8" w:rsidP="0071418D">
            <w:pPr>
              <w:rPr>
                <w:rFonts w:ascii="Arial" w:hAnsi="Arial" w:cs="Arial"/>
              </w:rPr>
            </w:pPr>
            <w:r w:rsidRPr="005C18E8">
              <w:rPr>
                <w:rFonts w:ascii="Arial" w:eastAsia="Times New Roman" w:hAnsi="Arial" w:cs="Arial"/>
                <w:lang w:eastAsia="en-GB"/>
              </w:rPr>
              <w:t>b) Manager/team leader or other colleagues</w:t>
            </w:r>
          </w:p>
        </w:tc>
        <w:tc>
          <w:tcPr>
            <w:tcW w:w="4621" w:type="dxa"/>
          </w:tcPr>
          <w:p w:rsidR="005C18E8" w:rsidRPr="005C18E8" w:rsidRDefault="005C18E8" w:rsidP="0071418D">
            <w:pPr>
              <w:pStyle w:val="Default"/>
              <w:rPr>
                <w:bCs/>
                <w:color w:val="1F497D" w:themeColor="text2"/>
                <w:sz w:val="22"/>
                <w:szCs w:val="22"/>
              </w:rPr>
            </w:pPr>
            <w:r w:rsidRPr="005C18E8">
              <w:rPr>
                <w:bCs/>
                <w:color w:val="1F497D" w:themeColor="text2"/>
                <w:sz w:val="22"/>
                <w:szCs w:val="22"/>
              </w:rPr>
              <w:t>White:4.2%</w:t>
            </w:r>
          </w:p>
          <w:p w:rsidR="005C18E8" w:rsidRPr="005C18E8" w:rsidRDefault="005C18E8" w:rsidP="0071418D">
            <w:pPr>
              <w:pStyle w:val="Default"/>
              <w:rPr>
                <w:bCs/>
                <w:color w:val="1F497D" w:themeColor="text2"/>
                <w:sz w:val="22"/>
                <w:szCs w:val="22"/>
              </w:rPr>
            </w:pPr>
            <w:r w:rsidRPr="005C18E8">
              <w:rPr>
                <w:bCs/>
                <w:color w:val="1F497D" w:themeColor="text2"/>
                <w:sz w:val="22"/>
                <w:szCs w:val="22"/>
              </w:rPr>
              <w:t>BME: 18.7%%</w:t>
            </w:r>
          </w:p>
          <w:p w:rsidR="005C18E8" w:rsidRPr="005C18E8" w:rsidRDefault="005C18E8" w:rsidP="0071418D">
            <w:pPr>
              <w:rPr>
                <w:rFonts w:ascii="Arial" w:hAnsi="Arial" w:cs="Arial"/>
              </w:rPr>
            </w:pPr>
          </w:p>
        </w:tc>
      </w:tr>
      <w:tr w:rsidR="005C18E8" w:rsidRPr="005C18E8" w:rsidTr="0071418D">
        <w:tc>
          <w:tcPr>
            <w:tcW w:w="4621" w:type="dxa"/>
          </w:tcPr>
          <w:p w:rsidR="005C18E8" w:rsidRPr="005C18E8" w:rsidRDefault="005C18E8" w:rsidP="0071418D">
            <w:pPr>
              <w:pStyle w:val="Default"/>
              <w:rPr>
                <w:color w:val="auto"/>
                <w:sz w:val="22"/>
                <w:szCs w:val="22"/>
              </w:rPr>
            </w:pPr>
            <w:r w:rsidRPr="005C18E8">
              <w:rPr>
                <w:b/>
                <w:bCs/>
                <w:color w:val="auto"/>
                <w:sz w:val="22"/>
                <w:szCs w:val="22"/>
              </w:rPr>
              <w:t xml:space="preserve">Indicator 9 </w:t>
            </w:r>
            <w:r w:rsidRPr="005C18E8">
              <w:rPr>
                <w:color w:val="auto"/>
                <w:sz w:val="22"/>
                <w:szCs w:val="22"/>
              </w:rPr>
              <w:t xml:space="preserve">: </w:t>
            </w:r>
            <w:r w:rsidRPr="005C18E8">
              <w:rPr>
                <w:sz w:val="22"/>
                <w:szCs w:val="22"/>
              </w:rPr>
              <w:t xml:space="preserve">Percentage difference between the organisations’ Board voting membership and its overall workforce </w:t>
            </w:r>
          </w:p>
          <w:p w:rsidR="005C18E8" w:rsidRPr="005C18E8" w:rsidRDefault="005C18E8" w:rsidP="0071418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4621" w:type="dxa"/>
          </w:tcPr>
          <w:p w:rsidR="005C18E8" w:rsidRPr="005C18E8" w:rsidRDefault="005C18E8" w:rsidP="0071418D">
            <w:pPr>
              <w:pStyle w:val="Default"/>
              <w:rPr>
                <w:color w:val="1F497D" w:themeColor="text2"/>
                <w:sz w:val="22"/>
                <w:szCs w:val="22"/>
              </w:rPr>
            </w:pPr>
            <w:r w:rsidRPr="005C18E8">
              <w:rPr>
                <w:color w:val="1F497D" w:themeColor="text2"/>
                <w:sz w:val="22"/>
                <w:szCs w:val="22"/>
              </w:rPr>
              <w:t>White: 92.9</w:t>
            </w:r>
          </w:p>
          <w:p w:rsidR="005C18E8" w:rsidRPr="005C18E8" w:rsidRDefault="005C18E8" w:rsidP="0071418D">
            <w:pPr>
              <w:pStyle w:val="Default"/>
              <w:rPr>
                <w:color w:val="1F497D" w:themeColor="text2"/>
                <w:sz w:val="22"/>
                <w:szCs w:val="22"/>
              </w:rPr>
            </w:pPr>
            <w:r w:rsidRPr="005C18E8">
              <w:rPr>
                <w:color w:val="1F497D" w:themeColor="text2"/>
                <w:sz w:val="22"/>
                <w:szCs w:val="22"/>
              </w:rPr>
              <w:t>BME  7.1 (one staff)</w:t>
            </w:r>
          </w:p>
          <w:p w:rsidR="005C18E8" w:rsidRPr="005C18E8" w:rsidRDefault="005C18E8" w:rsidP="0071418D">
            <w:pPr>
              <w:rPr>
                <w:rFonts w:ascii="Arial" w:hAnsi="Arial" w:cs="Arial"/>
              </w:rPr>
            </w:pPr>
          </w:p>
        </w:tc>
      </w:tr>
    </w:tbl>
    <w:p w:rsidR="0071418D" w:rsidRPr="00553DF9" w:rsidRDefault="007E5259" w:rsidP="0071418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53DF9">
        <w:rPr>
          <w:rFonts w:ascii="Arial" w:hAnsi="Arial" w:cs="Arial"/>
          <w:sz w:val="24"/>
          <w:szCs w:val="24"/>
        </w:rPr>
        <w:t>Workforce R</w:t>
      </w:r>
      <w:r w:rsidR="005C18E8" w:rsidRPr="00553DF9">
        <w:rPr>
          <w:rFonts w:ascii="Arial" w:hAnsi="Arial" w:cs="Arial"/>
          <w:sz w:val="24"/>
          <w:szCs w:val="24"/>
        </w:rPr>
        <w:t>ace Equality Standard (WRES)</w:t>
      </w:r>
    </w:p>
    <w:p w:rsidR="0071418D" w:rsidRPr="0071418D" w:rsidRDefault="0071418D" w:rsidP="0071418D">
      <w:pPr>
        <w:rPr>
          <w:rFonts w:ascii="Arial" w:hAnsi="Arial" w:cs="Arial"/>
        </w:rPr>
      </w:pPr>
      <w:r>
        <w:rPr>
          <w:rFonts w:ascii="Arial" w:eastAsia="Times New Roman" w:hAnsi="Arial" w:cs="Arial"/>
          <w:lang w:val="en" w:eastAsia="en-GB"/>
        </w:rPr>
        <w:t xml:space="preserve">Background </w:t>
      </w:r>
    </w:p>
    <w:p w:rsidR="0071418D" w:rsidRDefault="007E5259" w:rsidP="0071418D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en-GB"/>
        </w:rPr>
      </w:pPr>
      <w:r w:rsidRPr="007E5259">
        <w:rPr>
          <w:rFonts w:ascii="Arial" w:eastAsia="Times New Roman" w:hAnsi="Arial" w:cs="Arial"/>
          <w:lang w:val="en" w:eastAsia="en-GB"/>
        </w:rPr>
        <w:t xml:space="preserve">In July 2014, the NHS Equality and Diversity Council confirmed the introduction of a </w:t>
      </w:r>
      <w:r w:rsidRPr="007E5259">
        <w:rPr>
          <w:rFonts w:ascii="Arial" w:eastAsia="Times New Roman" w:hAnsi="Arial" w:cs="Arial"/>
          <w:b/>
          <w:bCs/>
          <w:lang w:val="en" w:eastAsia="en-GB"/>
        </w:rPr>
        <w:t>Workforce Race Equality Standard (WRES)</w:t>
      </w:r>
      <w:r w:rsidRPr="007E5259">
        <w:rPr>
          <w:rFonts w:ascii="Arial" w:eastAsia="Times New Roman" w:hAnsi="Arial" w:cs="Arial"/>
          <w:lang w:val="en" w:eastAsia="en-GB"/>
        </w:rPr>
        <w:t>. The WRES provides Workforce Indicators and associated metrics</w:t>
      </w:r>
      <w:r w:rsidR="0071418D">
        <w:rPr>
          <w:rFonts w:ascii="Arial" w:eastAsia="Times New Roman" w:hAnsi="Arial" w:cs="Arial"/>
          <w:lang w:val="en" w:eastAsia="en-GB"/>
        </w:rPr>
        <w:t xml:space="preserve">, </w:t>
      </w:r>
      <w:r w:rsidR="0071418D" w:rsidRPr="007E5259">
        <w:rPr>
          <w:rFonts w:ascii="Arial" w:eastAsia="Times New Roman" w:hAnsi="Arial" w:cs="Arial"/>
          <w:lang w:val="en" w:eastAsia="en-GB"/>
        </w:rPr>
        <w:t>against</w:t>
      </w:r>
      <w:r w:rsidRPr="007E5259">
        <w:rPr>
          <w:rFonts w:ascii="Arial" w:eastAsia="Times New Roman" w:hAnsi="Arial" w:cs="Arial"/>
          <w:lang w:val="en" w:eastAsia="en-GB"/>
        </w:rPr>
        <w:t xml:space="preserve"> which NHS </w:t>
      </w:r>
      <w:proofErr w:type="spellStart"/>
      <w:r w:rsidRPr="007E5259">
        <w:rPr>
          <w:rFonts w:ascii="Arial" w:eastAsia="Times New Roman" w:hAnsi="Arial" w:cs="Arial"/>
          <w:lang w:val="en" w:eastAsia="en-GB"/>
        </w:rPr>
        <w:t>organisations</w:t>
      </w:r>
      <w:proofErr w:type="spellEnd"/>
      <w:r w:rsidRPr="007E5259">
        <w:rPr>
          <w:rFonts w:ascii="Arial" w:eastAsia="Times New Roman" w:hAnsi="Arial" w:cs="Arial"/>
          <w:lang w:val="en" w:eastAsia="en-GB"/>
        </w:rPr>
        <w:t xml:space="preserve"> must collect and </w:t>
      </w:r>
      <w:proofErr w:type="spellStart"/>
      <w:r w:rsidRPr="007E5259">
        <w:rPr>
          <w:rFonts w:ascii="Arial" w:eastAsia="Times New Roman" w:hAnsi="Arial" w:cs="Arial"/>
          <w:lang w:val="en" w:eastAsia="en-GB"/>
        </w:rPr>
        <w:t>analyse</w:t>
      </w:r>
      <w:proofErr w:type="spellEnd"/>
      <w:r w:rsidRPr="007E5259">
        <w:rPr>
          <w:rFonts w:ascii="Arial" w:eastAsia="Times New Roman" w:hAnsi="Arial" w:cs="Arial"/>
          <w:lang w:val="en" w:eastAsia="en-GB"/>
        </w:rPr>
        <w:t xml:space="preserve"> data. This analysis must then inform appropriate action and intervention to address any differences between the relative treatment and experience of White and Black and Minority Ethnic (BME) staff</w:t>
      </w:r>
      <w:r>
        <w:rPr>
          <w:rFonts w:ascii="Arial" w:eastAsia="Times New Roman" w:hAnsi="Arial" w:cs="Arial"/>
          <w:lang w:val="en" w:eastAsia="en-GB"/>
        </w:rPr>
        <w:t>.</w:t>
      </w:r>
    </w:p>
    <w:p w:rsidR="001A157B" w:rsidRDefault="0071418D" w:rsidP="0071418D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Please see table below for the nine WRES indicators as well as 2016/17 data for the Trust</w:t>
      </w:r>
    </w:p>
    <w:p w:rsidR="001A157B" w:rsidRDefault="001A157B" w:rsidP="0071418D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lastRenderedPageBreak/>
        <w:t xml:space="preserve">Appendix 1 Total number of staff by ethnicity </w:t>
      </w:r>
    </w:p>
    <w:p w:rsidR="001A157B" w:rsidRDefault="001A157B" w:rsidP="0071418D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en-GB"/>
        </w:rPr>
      </w:pPr>
    </w:p>
    <w:tbl>
      <w:tblPr>
        <w:tblW w:w="11160" w:type="dxa"/>
        <w:tblInd w:w="-10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1A157B" w:rsidTr="00AE77CC">
        <w:trPr>
          <w:trHeight w:val="12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AFC Pay Band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Total Clinical BME staff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Total Clinical White staff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Total Clinical Unknown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 xml:space="preserve">Clinical BME staff as % of </w:t>
            </w:r>
            <w:proofErr w:type="spellStart"/>
            <w:r>
              <w:rPr>
                <w:b/>
                <w:bCs/>
                <w:color w:val="FFFFFF"/>
                <w:lang w:eastAsia="en-GB"/>
              </w:rPr>
              <w:t>Payband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Total Non- Clinical BME staff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Total Non-Clinical White staff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Total Non-Clinical Unknown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 xml:space="preserve">Non-Clinical BME staff as % of </w:t>
            </w:r>
            <w:proofErr w:type="spellStart"/>
            <w:r>
              <w:rPr>
                <w:b/>
                <w:bCs/>
                <w:color w:val="FFFFFF"/>
                <w:lang w:eastAsia="en-GB"/>
              </w:rPr>
              <w:t>Payband</w:t>
            </w:r>
            <w:proofErr w:type="spellEnd"/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Ad Hoc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8.33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19.13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2.04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2.46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2.41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14.37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0.53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0.53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0.47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8a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8b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3.92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8c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8d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VSM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4.35</w:t>
            </w:r>
          </w:p>
        </w:tc>
      </w:tr>
      <w:tr w:rsidR="001A157B" w:rsidTr="001A157B">
        <w:trPr>
          <w:trHeight w:val="315"/>
        </w:trPr>
        <w:tc>
          <w:tcPr>
            <w:tcW w:w="1240" w:type="dxa"/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Medical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45.86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A157B" w:rsidTr="00AE77CC">
        <w:trPr>
          <w:trHeight w:val="300"/>
        </w:trPr>
        <w:tc>
          <w:tcPr>
            <w:tcW w:w="1116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6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57B" w:rsidRDefault="001A157B" w:rsidP="00AE77CC">
            <w:pPr>
              <w:jc w:val="center"/>
              <w:rPr>
                <w:rFonts w:ascii="Calibri" w:hAnsi="Calibri"/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% BME staff in overall workforce 12.35%</w:t>
            </w:r>
          </w:p>
        </w:tc>
      </w:tr>
    </w:tbl>
    <w:p w:rsidR="005C18E8" w:rsidRPr="0071418D" w:rsidRDefault="0071418D" w:rsidP="0071418D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.</w:t>
      </w:r>
    </w:p>
    <w:sectPr w:rsidR="005C18E8" w:rsidRPr="007141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8E8" w:rsidRDefault="005C18E8" w:rsidP="005C18E8">
      <w:pPr>
        <w:spacing w:after="0" w:line="240" w:lineRule="auto"/>
      </w:pPr>
      <w:r>
        <w:separator/>
      </w:r>
    </w:p>
  </w:endnote>
  <w:endnote w:type="continuationSeparator" w:id="0">
    <w:p w:rsidR="005C18E8" w:rsidRDefault="005C18E8" w:rsidP="005C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8E8" w:rsidRDefault="005C18E8" w:rsidP="005C18E8">
      <w:pPr>
        <w:spacing w:after="0" w:line="240" w:lineRule="auto"/>
      </w:pPr>
      <w:r>
        <w:separator/>
      </w:r>
    </w:p>
  </w:footnote>
  <w:footnote w:type="continuationSeparator" w:id="0">
    <w:p w:rsidR="005C18E8" w:rsidRDefault="005C18E8" w:rsidP="005C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E8" w:rsidRDefault="005C18E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5209540</wp:posOffset>
          </wp:positionH>
          <wp:positionV relativeFrom="paragraph">
            <wp:posOffset>-363306</wp:posOffset>
          </wp:positionV>
          <wp:extent cx="1422400" cy="791845"/>
          <wp:effectExtent l="0" t="0" r="635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744E"/>
    <w:multiLevelType w:val="hybridMultilevel"/>
    <w:tmpl w:val="C514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410B4"/>
    <w:multiLevelType w:val="hybridMultilevel"/>
    <w:tmpl w:val="FA66C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E8"/>
    <w:rsid w:val="001A157B"/>
    <w:rsid w:val="0038183A"/>
    <w:rsid w:val="0049729C"/>
    <w:rsid w:val="00553DF9"/>
    <w:rsid w:val="005C18E8"/>
    <w:rsid w:val="0071418D"/>
    <w:rsid w:val="007E5259"/>
    <w:rsid w:val="00B30483"/>
    <w:rsid w:val="00CC24AF"/>
    <w:rsid w:val="00C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18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1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E8"/>
  </w:style>
  <w:style w:type="paragraph" w:styleId="Footer">
    <w:name w:val="footer"/>
    <w:basedOn w:val="Normal"/>
    <w:link w:val="FooterChar"/>
    <w:uiPriority w:val="99"/>
    <w:unhideWhenUsed/>
    <w:rsid w:val="005C1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E8"/>
  </w:style>
  <w:style w:type="paragraph" w:styleId="NormalWeb">
    <w:name w:val="Normal (Web)"/>
    <w:basedOn w:val="Normal"/>
    <w:uiPriority w:val="99"/>
    <w:semiHidden/>
    <w:unhideWhenUsed/>
    <w:rsid w:val="007E525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E52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18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1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E8"/>
  </w:style>
  <w:style w:type="paragraph" w:styleId="Footer">
    <w:name w:val="footer"/>
    <w:basedOn w:val="Normal"/>
    <w:link w:val="FooterChar"/>
    <w:uiPriority w:val="99"/>
    <w:unhideWhenUsed/>
    <w:rsid w:val="005C1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E8"/>
  </w:style>
  <w:style w:type="paragraph" w:styleId="NormalWeb">
    <w:name w:val="Normal (Web)"/>
    <w:basedOn w:val="Normal"/>
    <w:uiPriority w:val="99"/>
    <w:semiHidden/>
    <w:unhideWhenUsed/>
    <w:rsid w:val="007E525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E5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2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9F9F9"/>
                      </w:divBdr>
                      <w:divsChild>
                        <w:div w:id="1965040673">
                          <w:marLeft w:val="0"/>
                          <w:marRight w:val="3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8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1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8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 Nadeem</dc:creator>
  <cp:lastModifiedBy>Safina Nadeem</cp:lastModifiedBy>
  <cp:revision>6</cp:revision>
  <dcterms:created xsi:type="dcterms:W3CDTF">2018-01-11T12:32:00Z</dcterms:created>
  <dcterms:modified xsi:type="dcterms:W3CDTF">2018-01-23T11:18:00Z</dcterms:modified>
</cp:coreProperties>
</file>