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F5" w:rsidRDefault="00420555" w:rsidP="00950A53">
      <w:pPr>
        <w:rPr>
          <w:b/>
          <w:color w:val="0072C6" w:themeColor="text2"/>
          <w:sz w:val="32"/>
          <w:szCs w:val="32"/>
        </w:rPr>
      </w:pPr>
      <w:bookmarkStart w:id="0" w:name="_Toc462303899"/>
      <w:bookmarkStart w:id="1" w:name="_MacBuGuideStaticData_10810H"/>
      <w:bookmarkStart w:id="2" w:name="_MacBuGuideStaticData_3861H"/>
      <w:r w:rsidRPr="00420555">
        <w:rPr>
          <w:rFonts w:cs="Arial"/>
          <w:b/>
          <w:color w:val="0072C6" w:themeColor="text2"/>
          <w:sz w:val="32"/>
          <w:szCs w:val="32"/>
        </w:rPr>
        <w:t xml:space="preserve">CQUIN Indicator Specification </w:t>
      </w:r>
      <w:r w:rsidR="004406F5" w:rsidRPr="00950A53">
        <w:rPr>
          <w:b/>
          <w:color w:val="0072C6" w:themeColor="text2"/>
          <w:sz w:val="32"/>
          <w:szCs w:val="32"/>
        </w:rPr>
        <w:t>Information on CQUIN</w:t>
      </w:r>
      <w:bookmarkEnd w:id="0"/>
      <w:r w:rsidR="005B71D4">
        <w:rPr>
          <w:b/>
          <w:color w:val="0072C6" w:themeColor="text2"/>
          <w:sz w:val="32"/>
          <w:szCs w:val="32"/>
        </w:rPr>
        <w:t xml:space="preserve"> 2017/18 - 2018/19</w:t>
      </w:r>
    </w:p>
    <w:p w:rsidR="00BC7B88" w:rsidRDefault="00BC7B88" w:rsidP="00950A53">
      <w:pPr>
        <w:rPr>
          <w:color w:val="0072C6" w:themeColor="text2"/>
          <w:szCs w:val="24"/>
        </w:rPr>
      </w:pPr>
    </w:p>
    <w:p w:rsidR="00BC7B88" w:rsidRPr="00BC7B88" w:rsidRDefault="00BC7B88" w:rsidP="00950A53">
      <w:pPr>
        <w:rPr>
          <w:color w:val="0072C6" w:themeColor="text2"/>
          <w:szCs w:val="24"/>
        </w:rPr>
      </w:pPr>
      <w:r w:rsidRPr="00BC7B88">
        <w:rPr>
          <w:color w:val="0072C6" w:themeColor="text2"/>
          <w:szCs w:val="24"/>
        </w:rPr>
        <w:t>Publications Gateway Reference 06023</w:t>
      </w:r>
    </w:p>
    <w:p w:rsidR="00F365BF" w:rsidRPr="00F365BF" w:rsidRDefault="00F365BF" w:rsidP="00F365BF"/>
    <w:sdt>
      <w:sdtPr>
        <w:id w:val="1125507802"/>
        <w:docPartObj>
          <w:docPartGallery w:val="Table of Contents"/>
          <w:docPartUnique/>
        </w:docPartObj>
      </w:sdtPr>
      <w:sdtEndPr>
        <w:rPr>
          <w:noProof/>
        </w:rPr>
      </w:sdtEndPr>
      <w:sdtContent>
        <w:p w:rsidR="00237034" w:rsidRPr="00950A53" w:rsidRDefault="00950A53" w:rsidP="00950A53">
          <w:pPr>
            <w:rPr>
              <w:b/>
            </w:rPr>
          </w:pPr>
          <w:r w:rsidRPr="00950A53">
            <w:rPr>
              <w:b/>
            </w:rPr>
            <w:t>Contents</w:t>
          </w:r>
        </w:p>
        <w:p w:rsidR="0023312F" w:rsidRDefault="00237034">
          <w:pPr>
            <w:pStyle w:val="TOC1"/>
            <w:tabs>
              <w:tab w:val="left" w:pos="480"/>
            </w:tabs>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66290249" w:history="1">
            <w:r w:rsidR="0023312F" w:rsidRPr="001F7E76">
              <w:rPr>
                <w:rStyle w:val="Hyperlink"/>
                <w:noProof/>
                <w14:scene3d>
                  <w14:camera w14:prst="orthographicFront"/>
                  <w14:lightRig w14:rig="threePt" w14:dir="t">
                    <w14:rot w14:lat="0" w14:lon="0" w14:rev="0"/>
                  </w14:lightRig>
                </w14:scene3d>
              </w:rPr>
              <w:t>1.</w:t>
            </w:r>
            <w:r w:rsidR="0023312F">
              <w:rPr>
                <w:rFonts w:asciiTheme="minorHAnsi" w:eastAsiaTheme="minorEastAsia" w:hAnsiTheme="minorHAnsi" w:cstheme="minorBidi"/>
                <w:bCs w:val="0"/>
                <w:noProof/>
                <w:sz w:val="22"/>
                <w:szCs w:val="22"/>
                <w:lang w:eastAsia="en-GB"/>
              </w:rPr>
              <w:tab/>
            </w:r>
            <w:r w:rsidR="0023312F" w:rsidRPr="001F7E76">
              <w:rPr>
                <w:rStyle w:val="Hyperlink"/>
                <w:noProof/>
              </w:rPr>
              <w:t>The CQUIN scheme 2017/18 – 2018/19</w:t>
            </w:r>
            <w:r w:rsidR="0023312F">
              <w:rPr>
                <w:noProof/>
                <w:webHidden/>
              </w:rPr>
              <w:tab/>
            </w:r>
            <w:r w:rsidR="0023312F">
              <w:rPr>
                <w:noProof/>
                <w:webHidden/>
              </w:rPr>
              <w:fldChar w:fldCharType="begin"/>
            </w:r>
            <w:r w:rsidR="0023312F">
              <w:rPr>
                <w:noProof/>
                <w:webHidden/>
              </w:rPr>
              <w:instrText xml:space="preserve"> PAGEREF _Toc466290249 \h </w:instrText>
            </w:r>
            <w:r w:rsidR="0023312F">
              <w:rPr>
                <w:noProof/>
                <w:webHidden/>
              </w:rPr>
            </w:r>
            <w:r w:rsidR="0023312F">
              <w:rPr>
                <w:noProof/>
                <w:webHidden/>
              </w:rPr>
              <w:fldChar w:fldCharType="separate"/>
            </w:r>
            <w:r w:rsidR="0023312F">
              <w:rPr>
                <w:noProof/>
                <w:webHidden/>
              </w:rPr>
              <w:t>2</w:t>
            </w:r>
            <w:r w:rsidR="0023312F">
              <w:rPr>
                <w:noProof/>
                <w:webHidden/>
              </w:rPr>
              <w:fldChar w:fldCharType="end"/>
            </w:r>
          </w:hyperlink>
        </w:p>
        <w:p w:rsidR="0023312F" w:rsidRDefault="0023312F">
          <w:pPr>
            <w:pStyle w:val="TOC1"/>
            <w:tabs>
              <w:tab w:val="left" w:pos="480"/>
            </w:tabs>
            <w:rPr>
              <w:rFonts w:asciiTheme="minorHAnsi" w:eastAsiaTheme="minorEastAsia" w:hAnsiTheme="minorHAnsi" w:cstheme="minorBidi"/>
              <w:bCs w:val="0"/>
              <w:noProof/>
              <w:sz w:val="22"/>
              <w:szCs w:val="22"/>
              <w:lang w:eastAsia="en-GB"/>
            </w:rPr>
          </w:pPr>
          <w:hyperlink w:anchor="_Toc466290250" w:history="1">
            <w:r w:rsidRPr="001F7E76">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bCs w:val="0"/>
                <w:noProof/>
                <w:sz w:val="22"/>
                <w:szCs w:val="22"/>
                <w:lang w:eastAsia="en-GB"/>
              </w:rPr>
              <w:tab/>
            </w:r>
            <w:r w:rsidRPr="001F7E76">
              <w:rPr>
                <w:rStyle w:val="Hyperlink"/>
                <w:noProof/>
              </w:rPr>
              <w:t>Improving staff health and wellbeing</w:t>
            </w:r>
            <w:r>
              <w:rPr>
                <w:noProof/>
                <w:webHidden/>
              </w:rPr>
              <w:tab/>
            </w:r>
            <w:r>
              <w:rPr>
                <w:noProof/>
                <w:webHidden/>
              </w:rPr>
              <w:fldChar w:fldCharType="begin"/>
            </w:r>
            <w:r>
              <w:rPr>
                <w:noProof/>
                <w:webHidden/>
              </w:rPr>
              <w:instrText xml:space="preserve"> PAGEREF _Toc466290250 \h </w:instrText>
            </w:r>
            <w:r>
              <w:rPr>
                <w:noProof/>
                <w:webHidden/>
              </w:rPr>
            </w:r>
            <w:r>
              <w:rPr>
                <w:noProof/>
                <w:webHidden/>
              </w:rPr>
              <w:fldChar w:fldCharType="separate"/>
            </w:r>
            <w:r>
              <w:rPr>
                <w:noProof/>
                <w:webHidden/>
              </w:rPr>
              <w:t>3</w:t>
            </w:r>
            <w:r>
              <w:rPr>
                <w:noProof/>
                <w:webHidden/>
              </w:rPr>
              <w:fldChar w:fldCharType="end"/>
            </w:r>
          </w:hyperlink>
        </w:p>
        <w:p w:rsidR="0023312F" w:rsidRDefault="0023312F">
          <w:pPr>
            <w:pStyle w:val="TOC1"/>
            <w:tabs>
              <w:tab w:val="left" w:pos="480"/>
            </w:tabs>
            <w:rPr>
              <w:rFonts w:asciiTheme="minorHAnsi" w:eastAsiaTheme="minorEastAsia" w:hAnsiTheme="minorHAnsi" w:cstheme="minorBidi"/>
              <w:bCs w:val="0"/>
              <w:noProof/>
              <w:sz w:val="22"/>
              <w:szCs w:val="22"/>
              <w:lang w:eastAsia="en-GB"/>
            </w:rPr>
          </w:pPr>
          <w:hyperlink w:anchor="_Toc466290251" w:history="1">
            <w:r w:rsidRPr="001F7E76">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bCs w:val="0"/>
                <w:noProof/>
                <w:sz w:val="22"/>
                <w:szCs w:val="22"/>
                <w:lang w:eastAsia="en-GB"/>
              </w:rPr>
              <w:tab/>
            </w:r>
            <w:r w:rsidRPr="001F7E76">
              <w:rPr>
                <w:rStyle w:val="Hyperlink"/>
                <w:noProof/>
              </w:rPr>
              <w:t>Reducing the impact of serious infections (Antimicrobial Resistance and Sepsis)</w:t>
            </w:r>
            <w:r>
              <w:rPr>
                <w:noProof/>
                <w:webHidden/>
              </w:rPr>
              <w:tab/>
            </w:r>
            <w:r>
              <w:rPr>
                <w:noProof/>
                <w:webHidden/>
              </w:rPr>
              <w:fldChar w:fldCharType="begin"/>
            </w:r>
            <w:r>
              <w:rPr>
                <w:noProof/>
                <w:webHidden/>
              </w:rPr>
              <w:instrText xml:space="preserve"> PAGEREF _Toc466290251 \h </w:instrText>
            </w:r>
            <w:r>
              <w:rPr>
                <w:noProof/>
                <w:webHidden/>
              </w:rPr>
            </w:r>
            <w:r>
              <w:rPr>
                <w:noProof/>
                <w:webHidden/>
              </w:rPr>
              <w:fldChar w:fldCharType="separate"/>
            </w:r>
            <w:r>
              <w:rPr>
                <w:noProof/>
                <w:webHidden/>
              </w:rPr>
              <w:t>14</w:t>
            </w:r>
            <w:r>
              <w:rPr>
                <w:noProof/>
                <w:webHidden/>
              </w:rPr>
              <w:fldChar w:fldCharType="end"/>
            </w:r>
          </w:hyperlink>
        </w:p>
        <w:p w:rsidR="0023312F" w:rsidRDefault="0023312F">
          <w:pPr>
            <w:pStyle w:val="TOC1"/>
            <w:tabs>
              <w:tab w:val="left" w:pos="480"/>
            </w:tabs>
            <w:rPr>
              <w:rFonts w:asciiTheme="minorHAnsi" w:eastAsiaTheme="minorEastAsia" w:hAnsiTheme="minorHAnsi" w:cstheme="minorBidi"/>
              <w:bCs w:val="0"/>
              <w:noProof/>
              <w:sz w:val="22"/>
              <w:szCs w:val="22"/>
              <w:lang w:eastAsia="en-GB"/>
            </w:rPr>
          </w:pPr>
          <w:hyperlink w:anchor="_Toc466290252" w:history="1">
            <w:r w:rsidRPr="001F7E76">
              <w:rPr>
                <w:rStyle w:val="Hyperlink"/>
                <w:noProof/>
                <w:lang w:eastAsia="en-GB"/>
                <w14:scene3d>
                  <w14:camera w14:prst="orthographicFront"/>
                  <w14:lightRig w14:rig="threePt" w14:dir="t">
                    <w14:rot w14:lat="0" w14:lon="0" w14:rev="0"/>
                  </w14:lightRig>
                </w14:scene3d>
              </w:rPr>
              <w:t>3.</w:t>
            </w:r>
            <w:r>
              <w:rPr>
                <w:rFonts w:asciiTheme="minorHAnsi" w:eastAsiaTheme="minorEastAsia" w:hAnsiTheme="minorHAnsi" w:cstheme="minorBidi"/>
                <w:bCs w:val="0"/>
                <w:noProof/>
                <w:sz w:val="22"/>
                <w:szCs w:val="22"/>
                <w:lang w:eastAsia="en-GB"/>
              </w:rPr>
              <w:tab/>
            </w:r>
            <w:r w:rsidRPr="001F7E76">
              <w:rPr>
                <w:rStyle w:val="Hyperlink"/>
                <w:noProof/>
                <w:lang w:eastAsia="en-GB"/>
              </w:rPr>
              <w:t>Improving physical healthcare to reduce premature mortality in people with serious mental illness (PSMI)</w:t>
            </w:r>
            <w:r>
              <w:rPr>
                <w:noProof/>
                <w:webHidden/>
              </w:rPr>
              <w:tab/>
            </w:r>
            <w:r>
              <w:rPr>
                <w:noProof/>
                <w:webHidden/>
              </w:rPr>
              <w:fldChar w:fldCharType="begin"/>
            </w:r>
            <w:r>
              <w:rPr>
                <w:noProof/>
                <w:webHidden/>
              </w:rPr>
              <w:instrText xml:space="preserve"> PAGEREF _Toc466290252 \h </w:instrText>
            </w:r>
            <w:r>
              <w:rPr>
                <w:noProof/>
                <w:webHidden/>
              </w:rPr>
            </w:r>
            <w:r>
              <w:rPr>
                <w:noProof/>
                <w:webHidden/>
              </w:rPr>
              <w:fldChar w:fldCharType="separate"/>
            </w:r>
            <w:r>
              <w:rPr>
                <w:noProof/>
                <w:webHidden/>
              </w:rPr>
              <w:t>27</w:t>
            </w:r>
            <w:r>
              <w:rPr>
                <w:noProof/>
                <w:webHidden/>
              </w:rPr>
              <w:fldChar w:fldCharType="end"/>
            </w:r>
          </w:hyperlink>
        </w:p>
        <w:p w:rsidR="0023312F" w:rsidRDefault="0023312F">
          <w:pPr>
            <w:pStyle w:val="TOC1"/>
            <w:tabs>
              <w:tab w:val="left" w:pos="480"/>
            </w:tabs>
            <w:rPr>
              <w:rFonts w:asciiTheme="minorHAnsi" w:eastAsiaTheme="minorEastAsia" w:hAnsiTheme="minorHAnsi" w:cstheme="minorBidi"/>
              <w:bCs w:val="0"/>
              <w:noProof/>
              <w:sz w:val="22"/>
              <w:szCs w:val="22"/>
              <w:lang w:eastAsia="en-GB"/>
            </w:rPr>
          </w:pPr>
          <w:hyperlink w:anchor="_Toc466290253" w:history="1">
            <w:r w:rsidRPr="001F7E76">
              <w:rPr>
                <w:rStyle w:val="Hyperlink"/>
                <w:noProof/>
                <w:lang w:eastAsia="en-GB"/>
                <w14:scene3d>
                  <w14:camera w14:prst="orthographicFront"/>
                  <w14:lightRig w14:rig="threePt" w14:dir="t">
                    <w14:rot w14:lat="0" w14:lon="0" w14:rev="0"/>
                  </w14:lightRig>
                </w14:scene3d>
              </w:rPr>
              <w:t>4.</w:t>
            </w:r>
            <w:r>
              <w:rPr>
                <w:rFonts w:asciiTheme="minorHAnsi" w:eastAsiaTheme="minorEastAsia" w:hAnsiTheme="minorHAnsi" w:cstheme="minorBidi"/>
                <w:bCs w:val="0"/>
                <w:noProof/>
                <w:sz w:val="22"/>
                <w:szCs w:val="22"/>
                <w:lang w:eastAsia="en-GB"/>
              </w:rPr>
              <w:tab/>
            </w:r>
            <w:r w:rsidRPr="001F7E76">
              <w:rPr>
                <w:rStyle w:val="Hyperlink"/>
                <w:noProof/>
                <w:lang w:eastAsia="en-GB"/>
              </w:rPr>
              <w:t>Improving services for people with mental health needs who present to A&amp;E</w:t>
            </w:r>
            <w:r>
              <w:rPr>
                <w:noProof/>
                <w:webHidden/>
              </w:rPr>
              <w:tab/>
            </w:r>
            <w:r>
              <w:rPr>
                <w:noProof/>
                <w:webHidden/>
              </w:rPr>
              <w:fldChar w:fldCharType="begin"/>
            </w:r>
            <w:r>
              <w:rPr>
                <w:noProof/>
                <w:webHidden/>
              </w:rPr>
              <w:instrText xml:space="preserve"> PAGEREF _Toc466290253 \h </w:instrText>
            </w:r>
            <w:r>
              <w:rPr>
                <w:noProof/>
                <w:webHidden/>
              </w:rPr>
            </w:r>
            <w:r>
              <w:rPr>
                <w:noProof/>
                <w:webHidden/>
              </w:rPr>
              <w:fldChar w:fldCharType="separate"/>
            </w:r>
            <w:r>
              <w:rPr>
                <w:noProof/>
                <w:webHidden/>
              </w:rPr>
              <w:t>44</w:t>
            </w:r>
            <w:r>
              <w:rPr>
                <w:noProof/>
                <w:webHidden/>
              </w:rPr>
              <w:fldChar w:fldCharType="end"/>
            </w:r>
          </w:hyperlink>
        </w:p>
        <w:p w:rsidR="0023312F" w:rsidRDefault="0023312F">
          <w:pPr>
            <w:pStyle w:val="TOC1"/>
            <w:tabs>
              <w:tab w:val="left" w:pos="480"/>
            </w:tabs>
            <w:rPr>
              <w:rFonts w:asciiTheme="minorHAnsi" w:eastAsiaTheme="minorEastAsia" w:hAnsiTheme="minorHAnsi" w:cstheme="minorBidi"/>
              <w:bCs w:val="0"/>
              <w:noProof/>
              <w:sz w:val="22"/>
              <w:szCs w:val="22"/>
              <w:lang w:eastAsia="en-GB"/>
            </w:rPr>
          </w:pPr>
          <w:hyperlink w:anchor="_Toc466290254" w:history="1">
            <w:r w:rsidRPr="001F7E76">
              <w:rPr>
                <w:rStyle w:val="Hyperlink"/>
                <w:noProof/>
                <w:lang w:eastAsia="en-GB"/>
                <w14:scene3d>
                  <w14:camera w14:prst="orthographicFront"/>
                  <w14:lightRig w14:rig="threePt" w14:dir="t">
                    <w14:rot w14:lat="0" w14:lon="0" w14:rev="0"/>
                  </w14:lightRig>
                </w14:scene3d>
              </w:rPr>
              <w:t>5.</w:t>
            </w:r>
            <w:r>
              <w:rPr>
                <w:rFonts w:asciiTheme="minorHAnsi" w:eastAsiaTheme="minorEastAsia" w:hAnsiTheme="minorHAnsi" w:cstheme="minorBidi"/>
                <w:bCs w:val="0"/>
                <w:noProof/>
                <w:sz w:val="22"/>
                <w:szCs w:val="22"/>
                <w:lang w:eastAsia="en-GB"/>
              </w:rPr>
              <w:tab/>
            </w:r>
            <w:r w:rsidRPr="001F7E76">
              <w:rPr>
                <w:rStyle w:val="Hyperlink"/>
                <w:noProof/>
                <w:lang w:eastAsia="en-GB"/>
              </w:rPr>
              <w:t>Offering advice and guidance</w:t>
            </w:r>
            <w:r>
              <w:rPr>
                <w:noProof/>
                <w:webHidden/>
              </w:rPr>
              <w:tab/>
            </w:r>
            <w:r>
              <w:rPr>
                <w:noProof/>
                <w:webHidden/>
              </w:rPr>
              <w:fldChar w:fldCharType="begin"/>
            </w:r>
            <w:r>
              <w:rPr>
                <w:noProof/>
                <w:webHidden/>
              </w:rPr>
              <w:instrText xml:space="preserve"> PAGEREF _Toc466290254 \h </w:instrText>
            </w:r>
            <w:r>
              <w:rPr>
                <w:noProof/>
                <w:webHidden/>
              </w:rPr>
            </w:r>
            <w:r>
              <w:rPr>
                <w:noProof/>
                <w:webHidden/>
              </w:rPr>
              <w:fldChar w:fldCharType="separate"/>
            </w:r>
            <w:r>
              <w:rPr>
                <w:noProof/>
                <w:webHidden/>
              </w:rPr>
              <w:t>61</w:t>
            </w:r>
            <w:r>
              <w:rPr>
                <w:noProof/>
                <w:webHidden/>
              </w:rPr>
              <w:fldChar w:fldCharType="end"/>
            </w:r>
          </w:hyperlink>
        </w:p>
        <w:p w:rsidR="0023312F" w:rsidRDefault="0023312F">
          <w:pPr>
            <w:pStyle w:val="TOC1"/>
            <w:tabs>
              <w:tab w:val="left" w:pos="480"/>
            </w:tabs>
            <w:rPr>
              <w:rFonts w:asciiTheme="minorHAnsi" w:eastAsiaTheme="minorEastAsia" w:hAnsiTheme="minorHAnsi" w:cstheme="minorBidi"/>
              <w:bCs w:val="0"/>
              <w:noProof/>
              <w:sz w:val="22"/>
              <w:szCs w:val="22"/>
              <w:lang w:eastAsia="en-GB"/>
            </w:rPr>
          </w:pPr>
          <w:hyperlink w:anchor="_Toc466290255" w:history="1">
            <w:r w:rsidRPr="001F7E76">
              <w:rPr>
                <w:rStyle w:val="Hyperlink"/>
                <w:noProof/>
                <w:lang w:eastAsia="en-GB"/>
                <w14:scene3d>
                  <w14:camera w14:prst="orthographicFront"/>
                  <w14:lightRig w14:rig="threePt" w14:dir="t">
                    <w14:rot w14:lat="0" w14:lon="0" w14:rev="0"/>
                  </w14:lightRig>
                </w14:scene3d>
              </w:rPr>
              <w:t>6.</w:t>
            </w:r>
            <w:r>
              <w:rPr>
                <w:rFonts w:asciiTheme="minorHAnsi" w:eastAsiaTheme="minorEastAsia" w:hAnsiTheme="minorHAnsi" w:cstheme="minorBidi"/>
                <w:bCs w:val="0"/>
                <w:noProof/>
                <w:sz w:val="22"/>
                <w:szCs w:val="22"/>
                <w:lang w:eastAsia="en-GB"/>
              </w:rPr>
              <w:tab/>
            </w:r>
            <w:r w:rsidRPr="001F7E76">
              <w:rPr>
                <w:rStyle w:val="Hyperlink"/>
                <w:noProof/>
                <w:lang w:eastAsia="en-GB"/>
              </w:rPr>
              <w:t>NHS e-Referrals</w:t>
            </w:r>
            <w:r>
              <w:rPr>
                <w:noProof/>
                <w:webHidden/>
              </w:rPr>
              <w:tab/>
            </w:r>
            <w:r>
              <w:rPr>
                <w:noProof/>
                <w:webHidden/>
              </w:rPr>
              <w:fldChar w:fldCharType="begin"/>
            </w:r>
            <w:r>
              <w:rPr>
                <w:noProof/>
                <w:webHidden/>
              </w:rPr>
              <w:instrText xml:space="preserve"> PAGEREF _Toc466290255 \h </w:instrText>
            </w:r>
            <w:r>
              <w:rPr>
                <w:noProof/>
                <w:webHidden/>
              </w:rPr>
            </w:r>
            <w:r>
              <w:rPr>
                <w:noProof/>
                <w:webHidden/>
              </w:rPr>
              <w:fldChar w:fldCharType="separate"/>
            </w:r>
            <w:r>
              <w:rPr>
                <w:noProof/>
                <w:webHidden/>
              </w:rPr>
              <w:t>67</w:t>
            </w:r>
            <w:r>
              <w:rPr>
                <w:noProof/>
                <w:webHidden/>
              </w:rPr>
              <w:fldChar w:fldCharType="end"/>
            </w:r>
          </w:hyperlink>
        </w:p>
        <w:p w:rsidR="0023312F" w:rsidRDefault="0023312F">
          <w:pPr>
            <w:pStyle w:val="TOC1"/>
            <w:tabs>
              <w:tab w:val="left" w:pos="480"/>
            </w:tabs>
            <w:rPr>
              <w:rFonts w:asciiTheme="minorHAnsi" w:eastAsiaTheme="minorEastAsia" w:hAnsiTheme="minorHAnsi" w:cstheme="minorBidi"/>
              <w:bCs w:val="0"/>
              <w:noProof/>
              <w:sz w:val="22"/>
              <w:szCs w:val="22"/>
              <w:lang w:eastAsia="en-GB"/>
            </w:rPr>
          </w:pPr>
          <w:hyperlink w:anchor="_Toc466290256" w:history="1">
            <w:r w:rsidRPr="001F7E76">
              <w:rPr>
                <w:rStyle w:val="Hyperlink"/>
                <w:rFonts w:cs="Arial"/>
                <w:b/>
                <w:noProof/>
                <w:lang w:eastAsia="en-GB"/>
                <w14:scene3d>
                  <w14:camera w14:prst="orthographicFront"/>
                  <w14:lightRig w14:rig="threePt" w14:dir="t">
                    <w14:rot w14:lat="0" w14:lon="0" w14:rev="0"/>
                  </w14:lightRig>
                </w14:scene3d>
              </w:rPr>
              <w:t>7.</w:t>
            </w:r>
            <w:r>
              <w:rPr>
                <w:rFonts w:asciiTheme="minorHAnsi" w:eastAsiaTheme="minorEastAsia" w:hAnsiTheme="minorHAnsi" w:cstheme="minorBidi"/>
                <w:bCs w:val="0"/>
                <w:noProof/>
                <w:sz w:val="22"/>
                <w:szCs w:val="22"/>
                <w:lang w:eastAsia="en-GB"/>
              </w:rPr>
              <w:tab/>
            </w:r>
            <w:r w:rsidRPr="001F7E76">
              <w:rPr>
                <w:rStyle w:val="Hyperlink"/>
                <w:rFonts w:cs="Arial"/>
                <w:b/>
                <w:noProof/>
                <w:kern w:val="32"/>
                <w:lang w:eastAsia="en-GB"/>
              </w:rPr>
              <w:t>Supporting proactive and safe discharge</w:t>
            </w:r>
            <w:r>
              <w:rPr>
                <w:noProof/>
                <w:webHidden/>
              </w:rPr>
              <w:tab/>
            </w:r>
            <w:r>
              <w:rPr>
                <w:noProof/>
                <w:webHidden/>
              </w:rPr>
              <w:fldChar w:fldCharType="begin"/>
            </w:r>
            <w:r>
              <w:rPr>
                <w:noProof/>
                <w:webHidden/>
              </w:rPr>
              <w:instrText xml:space="preserve"> PAGEREF _Toc466290256 \h </w:instrText>
            </w:r>
            <w:r>
              <w:rPr>
                <w:noProof/>
                <w:webHidden/>
              </w:rPr>
            </w:r>
            <w:r>
              <w:rPr>
                <w:noProof/>
                <w:webHidden/>
              </w:rPr>
              <w:fldChar w:fldCharType="separate"/>
            </w:r>
            <w:r>
              <w:rPr>
                <w:noProof/>
                <w:webHidden/>
              </w:rPr>
              <w:t>75</w:t>
            </w:r>
            <w:r>
              <w:rPr>
                <w:noProof/>
                <w:webHidden/>
              </w:rPr>
              <w:fldChar w:fldCharType="end"/>
            </w:r>
          </w:hyperlink>
        </w:p>
        <w:p w:rsidR="0023312F" w:rsidRDefault="0023312F">
          <w:pPr>
            <w:pStyle w:val="TOC1"/>
            <w:tabs>
              <w:tab w:val="left" w:pos="480"/>
            </w:tabs>
            <w:rPr>
              <w:rFonts w:asciiTheme="minorHAnsi" w:eastAsiaTheme="minorEastAsia" w:hAnsiTheme="minorHAnsi" w:cstheme="minorBidi"/>
              <w:bCs w:val="0"/>
              <w:noProof/>
              <w:sz w:val="22"/>
              <w:szCs w:val="22"/>
              <w:lang w:eastAsia="en-GB"/>
            </w:rPr>
          </w:pPr>
          <w:hyperlink w:anchor="_Toc466290257" w:history="1">
            <w:r w:rsidRPr="001F7E76">
              <w:rPr>
                <w:rStyle w:val="Hyperlink"/>
                <w:rFonts w:cs="Arial"/>
                <w:b/>
                <w:noProof/>
                <w:lang w:eastAsia="en-GB"/>
                <w14:scene3d>
                  <w14:camera w14:prst="orthographicFront"/>
                  <w14:lightRig w14:rig="threePt" w14:dir="t">
                    <w14:rot w14:lat="0" w14:lon="0" w14:rev="0"/>
                  </w14:lightRig>
                </w14:scene3d>
              </w:rPr>
              <w:t>8.</w:t>
            </w:r>
            <w:r>
              <w:rPr>
                <w:rFonts w:asciiTheme="minorHAnsi" w:eastAsiaTheme="minorEastAsia" w:hAnsiTheme="minorHAnsi" w:cstheme="minorBidi"/>
                <w:bCs w:val="0"/>
                <w:noProof/>
                <w:sz w:val="22"/>
                <w:szCs w:val="22"/>
                <w:lang w:eastAsia="en-GB"/>
              </w:rPr>
              <w:tab/>
            </w:r>
            <w:r w:rsidRPr="001F7E76">
              <w:rPr>
                <w:rStyle w:val="Hyperlink"/>
                <w:rFonts w:cs="Arial"/>
                <w:b/>
                <w:noProof/>
                <w:kern w:val="32"/>
                <w:lang w:eastAsia="en-GB"/>
              </w:rPr>
              <w:t>Preventing ill health by risky behaviours – alcohol and tobacco</w:t>
            </w:r>
            <w:r>
              <w:rPr>
                <w:noProof/>
                <w:webHidden/>
              </w:rPr>
              <w:tab/>
            </w:r>
            <w:r>
              <w:rPr>
                <w:noProof/>
                <w:webHidden/>
              </w:rPr>
              <w:fldChar w:fldCharType="begin"/>
            </w:r>
            <w:r>
              <w:rPr>
                <w:noProof/>
                <w:webHidden/>
              </w:rPr>
              <w:instrText xml:space="preserve"> PAGEREF _Toc466290257 \h </w:instrText>
            </w:r>
            <w:r>
              <w:rPr>
                <w:noProof/>
                <w:webHidden/>
              </w:rPr>
            </w:r>
            <w:r>
              <w:rPr>
                <w:noProof/>
                <w:webHidden/>
              </w:rPr>
              <w:fldChar w:fldCharType="separate"/>
            </w:r>
            <w:r>
              <w:rPr>
                <w:noProof/>
                <w:webHidden/>
              </w:rPr>
              <w:t>93</w:t>
            </w:r>
            <w:r>
              <w:rPr>
                <w:noProof/>
                <w:webHidden/>
              </w:rPr>
              <w:fldChar w:fldCharType="end"/>
            </w:r>
          </w:hyperlink>
        </w:p>
        <w:p w:rsidR="0023312F" w:rsidRDefault="0023312F">
          <w:pPr>
            <w:pStyle w:val="TOC1"/>
            <w:tabs>
              <w:tab w:val="left" w:pos="480"/>
            </w:tabs>
            <w:rPr>
              <w:rFonts w:asciiTheme="minorHAnsi" w:eastAsiaTheme="minorEastAsia" w:hAnsiTheme="minorHAnsi" w:cstheme="minorBidi"/>
              <w:bCs w:val="0"/>
              <w:noProof/>
              <w:sz w:val="22"/>
              <w:szCs w:val="22"/>
              <w:lang w:eastAsia="en-GB"/>
            </w:rPr>
          </w:pPr>
          <w:hyperlink w:anchor="_Toc466290258" w:history="1">
            <w:r w:rsidRPr="001F7E76">
              <w:rPr>
                <w:rStyle w:val="Hyperlink"/>
                <w:rFonts w:cs="Arial"/>
                <w:b/>
                <w:noProof/>
                <w:lang w:eastAsia="en-GB"/>
                <w14:scene3d>
                  <w14:camera w14:prst="orthographicFront"/>
                  <w14:lightRig w14:rig="threePt" w14:dir="t">
                    <w14:rot w14:lat="0" w14:lon="0" w14:rev="0"/>
                  </w14:lightRig>
                </w14:scene3d>
              </w:rPr>
              <w:t>9.</w:t>
            </w:r>
            <w:r>
              <w:rPr>
                <w:rFonts w:asciiTheme="minorHAnsi" w:eastAsiaTheme="minorEastAsia" w:hAnsiTheme="minorHAnsi" w:cstheme="minorBidi"/>
                <w:bCs w:val="0"/>
                <w:noProof/>
                <w:sz w:val="22"/>
                <w:szCs w:val="22"/>
                <w:lang w:eastAsia="en-GB"/>
              </w:rPr>
              <w:tab/>
            </w:r>
            <w:r w:rsidRPr="001F7E76">
              <w:rPr>
                <w:rStyle w:val="Hyperlink"/>
                <w:rFonts w:cs="Arial"/>
                <w:b/>
                <w:noProof/>
                <w:kern w:val="32"/>
                <w:lang w:eastAsia="en-GB"/>
              </w:rPr>
              <w:t>Improving the assessment of wounds</w:t>
            </w:r>
            <w:r>
              <w:rPr>
                <w:noProof/>
                <w:webHidden/>
              </w:rPr>
              <w:tab/>
            </w:r>
            <w:r>
              <w:rPr>
                <w:noProof/>
                <w:webHidden/>
              </w:rPr>
              <w:fldChar w:fldCharType="begin"/>
            </w:r>
            <w:r>
              <w:rPr>
                <w:noProof/>
                <w:webHidden/>
              </w:rPr>
              <w:instrText xml:space="preserve"> PAGEREF _Toc466290258 \h </w:instrText>
            </w:r>
            <w:r>
              <w:rPr>
                <w:noProof/>
                <w:webHidden/>
              </w:rPr>
            </w:r>
            <w:r>
              <w:rPr>
                <w:noProof/>
                <w:webHidden/>
              </w:rPr>
              <w:fldChar w:fldCharType="separate"/>
            </w:r>
            <w:r>
              <w:rPr>
                <w:noProof/>
                <w:webHidden/>
              </w:rPr>
              <w:t>114</w:t>
            </w:r>
            <w:r>
              <w:rPr>
                <w:noProof/>
                <w:webHidden/>
              </w:rPr>
              <w:fldChar w:fldCharType="end"/>
            </w:r>
          </w:hyperlink>
        </w:p>
        <w:p w:rsidR="0023312F" w:rsidRDefault="0023312F">
          <w:pPr>
            <w:pStyle w:val="TOC1"/>
            <w:tabs>
              <w:tab w:val="left" w:pos="660"/>
            </w:tabs>
            <w:rPr>
              <w:rFonts w:asciiTheme="minorHAnsi" w:eastAsiaTheme="minorEastAsia" w:hAnsiTheme="minorHAnsi" w:cstheme="minorBidi"/>
              <w:bCs w:val="0"/>
              <w:noProof/>
              <w:sz w:val="22"/>
              <w:szCs w:val="22"/>
              <w:lang w:eastAsia="en-GB"/>
            </w:rPr>
          </w:pPr>
          <w:hyperlink w:anchor="_Toc466290259" w:history="1">
            <w:r w:rsidRPr="001F7E76">
              <w:rPr>
                <w:rStyle w:val="Hyperlink"/>
                <w:rFonts w:cs="Arial"/>
                <w:b/>
                <w:noProof/>
                <w:lang w:eastAsia="en-GB"/>
                <w14:scene3d>
                  <w14:camera w14:prst="orthographicFront"/>
                  <w14:lightRig w14:rig="threePt" w14:dir="t">
                    <w14:rot w14:lat="0" w14:lon="0" w14:rev="0"/>
                  </w14:lightRig>
                </w14:scene3d>
              </w:rPr>
              <w:t>10.</w:t>
            </w:r>
            <w:r>
              <w:rPr>
                <w:rFonts w:asciiTheme="minorHAnsi" w:eastAsiaTheme="minorEastAsia" w:hAnsiTheme="minorHAnsi" w:cstheme="minorBidi"/>
                <w:bCs w:val="0"/>
                <w:noProof/>
                <w:sz w:val="22"/>
                <w:szCs w:val="22"/>
                <w:lang w:eastAsia="en-GB"/>
              </w:rPr>
              <w:tab/>
            </w:r>
            <w:r w:rsidRPr="001F7E76">
              <w:rPr>
                <w:rStyle w:val="Hyperlink"/>
                <w:rFonts w:cs="Arial"/>
                <w:b/>
                <w:noProof/>
                <w:kern w:val="32"/>
                <w:lang w:eastAsia="en-GB"/>
              </w:rPr>
              <w:t>Personalised care and support planning</w:t>
            </w:r>
            <w:r>
              <w:rPr>
                <w:noProof/>
                <w:webHidden/>
              </w:rPr>
              <w:tab/>
            </w:r>
            <w:r>
              <w:rPr>
                <w:noProof/>
                <w:webHidden/>
              </w:rPr>
              <w:fldChar w:fldCharType="begin"/>
            </w:r>
            <w:r>
              <w:rPr>
                <w:noProof/>
                <w:webHidden/>
              </w:rPr>
              <w:instrText xml:space="preserve"> PAGEREF _Toc466290259 \h </w:instrText>
            </w:r>
            <w:r>
              <w:rPr>
                <w:noProof/>
                <w:webHidden/>
              </w:rPr>
            </w:r>
            <w:r>
              <w:rPr>
                <w:noProof/>
                <w:webHidden/>
              </w:rPr>
              <w:fldChar w:fldCharType="separate"/>
            </w:r>
            <w:r>
              <w:rPr>
                <w:noProof/>
                <w:webHidden/>
              </w:rPr>
              <w:t>118</w:t>
            </w:r>
            <w:r>
              <w:rPr>
                <w:noProof/>
                <w:webHidden/>
              </w:rPr>
              <w:fldChar w:fldCharType="end"/>
            </w:r>
          </w:hyperlink>
        </w:p>
        <w:p w:rsidR="00237034" w:rsidRDefault="00237034">
          <w:r>
            <w:rPr>
              <w:b/>
              <w:noProof/>
            </w:rPr>
            <w:fldChar w:fldCharType="end"/>
          </w:r>
        </w:p>
      </w:sdtContent>
    </w:sdt>
    <w:p w:rsidR="00AB549D" w:rsidRDefault="00AB549D" w:rsidP="00A716D1"/>
    <w:p w:rsidR="00BD0523" w:rsidRDefault="00AB549D" w:rsidP="00A716D1">
      <w:pPr>
        <w:rPr>
          <w:rFonts w:cs="Arial"/>
          <w:color w:val="0072C6"/>
          <w:kern w:val="32"/>
          <w:sz w:val="32"/>
          <w:szCs w:val="32"/>
        </w:rPr>
      </w:pPr>
      <w:r>
        <w:br w:type="page"/>
      </w:r>
      <w:bookmarkStart w:id="3" w:name="_GoBack"/>
      <w:bookmarkEnd w:id="3"/>
    </w:p>
    <w:p w:rsidR="005868C3" w:rsidRDefault="00BF6F98" w:rsidP="00A621FC">
      <w:pPr>
        <w:pStyle w:val="Heading1"/>
        <w:numPr>
          <w:ilvl w:val="0"/>
          <w:numId w:val="3"/>
        </w:numPr>
      </w:pPr>
      <w:bookmarkStart w:id="4" w:name="_Toc466290249"/>
      <w:r>
        <w:lastRenderedPageBreak/>
        <w:t>T</w:t>
      </w:r>
      <w:r w:rsidR="005B71D4">
        <w:t xml:space="preserve">he CQUIN </w:t>
      </w:r>
      <w:r w:rsidRPr="00666B67">
        <w:t>scheme</w:t>
      </w:r>
      <w:r w:rsidR="005B71D4">
        <w:t xml:space="preserve"> 2017/18 – 2018/19</w:t>
      </w:r>
      <w:bookmarkEnd w:id="4"/>
    </w:p>
    <w:p w:rsidR="00BF6F98" w:rsidRDefault="00BF6F98" w:rsidP="00BF6F98"/>
    <w:p w:rsidR="00A84E4E" w:rsidRDefault="00A84E4E" w:rsidP="00BF6F98">
      <w:r w:rsidRPr="00A84E4E">
        <w:t>This Annex sets out the technical specification for each of the indicators in the scheme</w:t>
      </w:r>
      <w:r>
        <w:t>.</w:t>
      </w:r>
    </w:p>
    <w:p w:rsidR="00A84E4E" w:rsidRDefault="00A84E4E" w:rsidP="00BF6F98"/>
    <w:p w:rsidR="009962CF" w:rsidRPr="00F25765" w:rsidRDefault="009962CF" w:rsidP="00BF6F98">
      <w:r w:rsidRPr="00F25765">
        <w:t>This document should be read in conjunction wit</w:t>
      </w:r>
      <w:r w:rsidR="00F25765" w:rsidRPr="00F25765">
        <w:t xml:space="preserve">h the 2017-2019 CQUIN guidance found at </w:t>
      </w:r>
      <w:hyperlink r:id="rId13" w:history="1">
        <w:r w:rsidR="00F25765" w:rsidRPr="00F25765">
          <w:rPr>
            <w:rStyle w:val="Hyperlink"/>
          </w:rPr>
          <w:t>https://www.england.nhs.uk/nhs-standard-contract/cquin/cquin-17-19/</w:t>
        </w:r>
      </w:hyperlink>
    </w:p>
    <w:p w:rsidR="00F25765" w:rsidRPr="009962CF" w:rsidRDefault="00F25765" w:rsidP="00BF6F98">
      <w:pPr>
        <w:rPr>
          <w:b/>
        </w:rPr>
      </w:pPr>
    </w:p>
    <w:p w:rsidR="003B399C" w:rsidRDefault="003B399C" w:rsidP="00BF6F98"/>
    <w:p w:rsidR="00BF6F98" w:rsidRDefault="00BF6F98">
      <w:pPr>
        <w:rPr>
          <w:rFonts w:cs="Arial"/>
          <w:b/>
          <w:color w:val="0072C6"/>
          <w:kern w:val="32"/>
          <w:sz w:val="32"/>
          <w:szCs w:val="32"/>
        </w:rPr>
      </w:pPr>
      <w:bookmarkStart w:id="5" w:name="_Toc462303905"/>
      <w:r>
        <w:br w:type="page"/>
      </w:r>
    </w:p>
    <w:p w:rsidR="00BF6F98" w:rsidRDefault="00BF6F98" w:rsidP="00A621FC">
      <w:pPr>
        <w:pStyle w:val="Heading1"/>
        <w:numPr>
          <w:ilvl w:val="0"/>
          <w:numId w:val="4"/>
        </w:numPr>
      </w:pPr>
      <w:bookmarkStart w:id="6" w:name="_Toc466290250"/>
      <w:bookmarkEnd w:id="5"/>
      <w:r>
        <w:lastRenderedPageBreak/>
        <w:t>Improving staff health and wellbeing</w:t>
      </w:r>
      <w:bookmarkEnd w:id="6"/>
      <w:r>
        <w:t xml:space="preserve"> </w:t>
      </w:r>
    </w:p>
    <w:p w:rsidR="00BF6F98" w:rsidRDefault="00BF6F98" w:rsidP="005A4142"/>
    <w:p w:rsidR="00BF6F98" w:rsidRDefault="00BF6F98" w:rsidP="005A4142">
      <w:r>
        <w:t>There are three parts to this</w:t>
      </w:r>
      <w:r w:rsidR="002A69C0">
        <w:t xml:space="preserve"> CQUIN</w:t>
      </w:r>
      <w:r>
        <w:t xml:space="preserve"> </w:t>
      </w:r>
      <w:r w:rsidR="002A69C0">
        <w:t>indicator.</w:t>
      </w:r>
      <w:r>
        <w:t xml:space="preserve"> </w:t>
      </w:r>
    </w:p>
    <w:p w:rsidR="0030134B" w:rsidRDefault="0030134B" w:rsidP="005A4142"/>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3017"/>
        <w:gridCol w:w="4536"/>
      </w:tblGrid>
      <w:tr w:rsidR="00770155" w:rsidRPr="007C0298" w:rsidTr="00991F88">
        <w:trPr>
          <w:trHeight w:val="301"/>
        </w:trPr>
        <w:tc>
          <w:tcPr>
            <w:tcW w:w="1803" w:type="dxa"/>
            <w:shd w:val="clear" w:color="auto" w:fill="0070C0"/>
          </w:tcPr>
          <w:p w:rsidR="00770155" w:rsidRPr="007C0298" w:rsidRDefault="00770155" w:rsidP="007C0298">
            <w:pPr>
              <w:jc w:val="center"/>
              <w:rPr>
                <w:rFonts w:cs="Arial"/>
                <w:b/>
                <w:color w:val="FFFFFF"/>
                <w:szCs w:val="24"/>
              </w:rPr>
            </w:pPr>
            <w:r w:rsidRPr="007C0298">
              <w:rPr>
                <w:rFonts w:cs="Arial"/>
                <w:color w:val="FFFFFF"/>
                <w:szCs w:val="24"/>
              </w:rPr>
              <w:br w:type="page"/>
            </w:r>
            <w:r w:rsidRPr="007C0298">
              <w:rPr>
                <w:rFonts w:cs="Arial"/>
                <w:b/>
                <w:color w:val="FFFFFF"/>
                <w:szCs w:val="24"/>
              </w:rPr>
              <w:t>National CQUIN</w:t>
            </w:r>
          </w:p>
        </w:tc>
        <w:tc>
          <w:tcPr>
            <w:tcW w:w="3017" w:type="dxa"/>
            <w:shd w:val="clear" w:color="auto" w:fill="0070C0"/>
          </w:tcPr>
          <w:p w:rsidR="00770155" w:rsidRPr="007C0298" w:rsidRDefault="00770155" w:rsidP="007C0298">
            <w:pPr>
              <w:jc w:val="center"/>
              <w:rPr>
                <w:rFonts w:cs="Arial"/>
                <w:b/>
                <w:color w:val="FFFFFF"/>
                <w:szCs w:val="24"/>
              </w:rPr>
            </w:pPr>
            <w:r w:rsidRPr="007C0298">
              <w:rPr>
                <w:rFonts w:cs="Arial"/>
                <w:b/>
                <w:color w:val="FFFFFF"/>
                <w:szCs w:val="24"/>
              </w:rPr>
              <w:t>Indicator</w:t>
            </w:r>
          </w:p>
        </w:tc>
        <w:tc>
          <w:tcPr>
            <w:tcW w:w="4536" w:type="dxa"/>
            <w:shd w:val="clear" w:color="auto" w:fill="0070C0"/>
          </w:tcPr>
          <w:p w:rsidR="00770155" w:rsidRPr="007C0298" w:rsidRDefault="00770155" w:rsidP="007C0298">
            <w:pPr>
              <w:jc w:val="center"/>
              <w:rPr>
                <w:rFonts w:cs="Arial"/>
                <w:b/>
                <w:bCs w:val="0"/>
                <w:color w:val="FFFFFF"/>
                <w:szCs w:val="24"/>
                <w:lang w:val="en-US"/>
              </w:rPr>
            </w:pPr>
            <w:r w:rsidRPr="007C0298">
              <w:rPr>
                <w:rFonts w:cs="Arial"/>
                <w:b/>
                <w:bCs w:val="0"/>
                <w:color w:val="FFFFFF"/>
                <w:szCs w:val="24"/>
                <w:lang w:val="en-US"/>
              </w:rPr>
              <w:t>Indicator weighting (% of CQUIN scheme  available)</w:t>
            </w:r>
          </w:p>
        </w:tc>
      </w:tr>
      <w:tr w:rsidR="00770155" w:rsidRPr="007C0298" w:rsidTr="00991F88">
        <w:trPr>
          <w:trHeight w:val="552"/>
        </w:trPr>
        <w:tc>
          <w:tcPr>
            <w:tcW w:w="1803" w:type="dxa"/>
            <w:shd w:val="clear" w:color="auto" w:fill="auto"/>
          </w:tcPr>
          <w:p w:rsidR="00770155" w:rsidRPr="007C0298" w:rsidRDefault="00770155" w:rsidP="007C0298">
            <w:pPr>
              <w:rPr>
                <w:rFonts w:cs="Arial"/>
                <w:szCs w:val="24"/>
              </w:rPr>
            </w:pPr>
            <w:r w:rsidRPr="007C0298">
              <w:rPr>
                <w:rFonts w:cs="Arial"/>
                <w:szCs w:val="24"/>
              </w:rPr>
              <w:t>CQUIN 1a</w:t>
            </w:r>
          </w:p>
        </w:tc>
        <w:tc>
          <w:tcPr>
            <w:tcW w:w="3017" w:type="dxa"/>
            <w:shd w:val="clear" w:color="auto" w:fill="auto"/>
          </w:tcPr>
          <w:p w:rsidR="00770155" w:rsidRPr="007C0298" w:rsidRDefault="00770155" w:rsidP="007C0298">
            <w:pPr>
              <w:rPr>
                <w:rFonts w:cs="Arial"/>
                <w:bCs w:val="0"/>
                <w:color w:val="000000"/>
                <w:szCs w:val="24"/>
                <w:lang w:val="en-US"/>
              </w:rPr>
            </w:pPr>
            <w:r w:rsidRPr="007C0298">
              <w:rPr>
                <w:rFonts w:cs="Arial"/>
                <w:bCs w:val="0"/>
                <w:color w:val="000000"/>
                <w:szCs w:val="24"/>
                <w:lang w:val="en-US"/>
              </w:rPr>
              <w:t>Improvement of health and wellbeing of NHS staff</w:t>
            </w:r>
          </w:p>
        </w:tc>
        <w:tc>
          <w:tcPr>
            <w:tcW w:w="4536" w:type="dxa"/>
            <w:shd w:val="clear" w:color="auto" w:fill="auto"/>
          </w:tcPr>
          <w:p w:rsidR="00770155" w:rsidRPr="007C0298" w:rsidRDefault="00770155" w:rsidP="007335AA">
            <w:pPr>
              <w:jc w:val="center"/>
              <w:rPr>
                <w:rFonts w:cs="Arial"/>
                <w:szCs w:val="24"/>
              </w:rPr>
            </w:pPr>
            <w:r w:rsidRPr="007C0298">
              <w:rPr>
                <w:rFonts w:cs="Arial"/>
                <w:szCs w:val="24"/>
              </w:rPr>
              <w:t>33.3% of 0.25%</w:t>
            </w:r>
            <w:r>
              <w:rPr>
                <w:rFonts w:cs="Arial"/>
                <w:szCs w:val="24"/>
              </w:rPr>
              <w:t xml:space="preserve"> (0.0834%)</w:t>
            </w:r>
            <w:r w:rsidRPr="007C0298">
              <w:rPr>
                <w:rFonts w:cs="Arial"/>
                <w:szCs w:val="24"/>
              </w:rPr>
              <w:t xml:space="preserve"> </w:t>
            </w:r>
          </w:p>
        </w:tc>
      </w:tr>
      <w:tr w:rsidR="00770155" w:rsidRPr="007C0298" w:rsidTr="00991F88">
        <w:trPr>
          <w:trHeight w:val="564"/>
        </w:trPr>
        <w:tc>
          <w:tcPr>
            <w:tcW w:w="1803" w:type="dxa"/>
            <w:shd w:val="clear" w:color="auto" w:fill="auto"/>
          </w:tcPr>
          <w:p w:rsidR="00770155" w:rsidRPr="007C0298" w:rsidRDefault="00770155" w:rsidP="007C0298">
            <w:pPr>
              <w:rPr>
                <w:rFonts w:cs="Arial"/>
                <w:szCs w:val="24"/>
              </w:rPr>
            </w:pPr>
            <w:r w:rsidRPr="007C0298">
              <w:rPr>
                <w:rFonts w:cs="Arial"/>
                <w:szCs w:val="24"/>
              </w:rPr>
              <w:t>CQUIN 1b</w:t>
            </w:r>
          </w:p>
          <w:p w:rsidR="00770155" w:rsidRPr="007C0298" w:rsidRDefault="00770155" w:rsidP="007C0298">
            <w:pPr>
              <w:rPr>
                <w:rFonts w:cs="Arial"/>
                <w:szCs w:val="24"/>
              </w:rPr>
            </w:pPr>
            <w:r w:rsidRPr="007C0298">
              <w:rPr>
                <w:rFonts w:cs="Arial"/>
                <w:szCs w:val="24"/>
              </w:rPr>
              <w:t xml:space="preserve"> </w:t>
            </w:r>
          </w:p>
        </w:tc>
        <w:tc>
          <w:tcPr>
            <w:tcW w:w="3017" w:type="dxa"/>
            <w:shd w:val="clear" w:color="auto" w:fill="auto"/>
          </w:tcPr>
          <w:p w:rsidR="00770155" w:rsidRPr="007C0298" w:rsidRDefault="00770155" w:rsidP="007C0298">
            <w:pPr>
              <w:rPr>
                <w:rFonts w:cs="Arial"/>
                <w:bCs w:val="0"/>
                <w:color w:val="000000"/>
                <w:szCs w:val="24"/>
                <w:lang w:val="en-US"/>
              </w:rPr>
            </w:pPr>
            <w:r w:rsidRPr="007C0298">
              <w:rPr>
                <w:rFonts w:cs="Arial"/>
                <w:bCs w:val="0"/>
                <w:color w:val="000000"/>
                <w:szCs w:val="24"/>
                <w:lang w:val="en-US"/>
              </w:rPr>
              <w:t>Healthy food for NHS staff, visitors and patients</w:t>
            </w:r>
          </w:p>
        </w:tc>
        <w:tc>
          <w:tcPr>
            <w:tcW w:w="4536" w:type="dxa"/>
            <w:shd w:val="clear" w:color="auto" w:fill="auto"/>
          </w:tcPr>
          <w:p w:rsidR="00770155" w:rsidRPr="007C0298" w:rsidRDefault="00770155" w:rsidP="007C0298">
            <w:pPr>
              <w:jc w:val="center"/>
              <w:rPr>
                <w:rFonts w:cs="Arial"/>
                <w:szCs w:val="24"/>
              </w:rPr>
            </w:pPr>
            <w:r w:rsidRPr="007C0298">
              <w:rPr>
                <w:rFonts w:cs="Arial"/>
                <w:szCs w:val="24"/>
              </w:rPr>
              <w:t xml:space="preserve">33.3% of 0.25% </w:t>
            </w:r>
            <w:r>
              <w:rPr>
                <w:rFonts w:cs="Arial"/>
                <w:szCs w:val="24"/>
              </w:rPr>
              <w:t>(0.0833%)</w:t>
            </w:r>
          </w:p>
        </w:tc>
      </w:tr>
      <w:tr w:rsidR="00770155" w:rsidRPr="007C0298" w:rsidTr="00991F88">
        <w:trPr>
          <w:trHeight w:val="544"/>
        </w:trPr>
        <w:tc>
          <w:tcPr>
            <w:tcW w:w="1803" w:type="dxa"/>
            <w:shd w:val="clear" w:color="auto" w:fill="auto"/>
          </w:tcPr>
          <w:p w:rsidR="00770155" w:rsidRPr="007C0298" w:rsidRDefault="00770155" w:rsidP="007C0298">
            <w:pPr>
              <w:rPr>
                <w:rFonts w:cs="Arial"/>
                <w:szCs w:val="24"/>
              </w:rPr>
            </w:pPr>
            <w:r w:rsidRPr="007C0298">
              <w:rPr>
                <w:rFonts w:cs="Arial"/>
                <w:szCs w:val="24"/>
              </w:rPr>
              <w:t>CQUIN 1c</w:t>
            </w:r>
          </w:p>
        </w:tc>
        <w:tc>
          <w:tcPr>
            <w:tcW w:w="3017" w:type="dxa"/>
            <w:shd w:val="clear" w:color="auto" w:fill="auto"/>
          </w:tcPr>
          <w:p w:rsidR="00770155" w:rsidRPr="007C0298" w:rsidRDefault="00770155" w:rsidP="007C0298">
            <w:pPr>
              <w:rPr>
                <w:rFonts w:cs="Arial"/>
                <w:bCs w:val="0"/>
                <w:color w:val="000000"/>
                <w:szCs w:val="24"/>
                <w:lang w:val="en-US"/>
              </w:rPr>
            </w:pPr>
            <w:r w:rsidRPr="007C0298">
              <w:rPr>
                <w:rFonts w:cs="Arial"/>
                <w:color w:val="000000"/>
              </w:rPr>
              <w:t>Improving the uptake of flu vaccinations for front line staff within Providers</w:t>
            </w:r>
          </w:p>
        </w:tc>
        <w:tc>
          <w:tcPr>
            <w:tcW w:w="4536" w:type="dxa"/>
            <w:shd w:val="clear" w:color="auto" w:fill="auto"/>
          </w:tcPr>
          <w:p w:rsidR="00770155" w:rsidRPr="007C0298" w:rsidRDefault="00770155" w:rsidP="007C0298">
            <w:pPr>
              <w:jc w:val="center"/>
              <w:rPr>
                <w:rFonts w:cs="Arial"/>
                <w:szCs w:val="24"/>
              </w:rPr>
            </w:pPr>
            <w:r w:rsidRPr="007C0298">
              <w:rPr>
                <w:rFonts w:cs="Arial"/>
                <w:szCs w:val="24"/>
              </w:rPr>
              <w:t xml:space="preserve">33.3% of 0.25% </w:t>
            </w:r>
            <w:r>
              <w:rPr>
                <w:rFonts w:cs="Arial"/>
                <w:szCs w:val="24"/>
              </w:rPr>
              <w:t>(0.0833%)</w:t>
            </w:r>
          </w:p>
        </w:tc>
      </w:tr>
    </w:tbl>
    <w:p w:rsidR="003919EF" w:rsidRDefault="003919EF" w:rsidP="005A4142"/>
    <w:p w:rsidR="005F5665" w:rsidRDefault="005F5665" w:rsidP="005F5665">
      <w:pPr>
        <w:pStyle w:val="Heading4"/>
        <w:rPr>
          <w:lang w:val="en-US"/>
        </w:rPr>
      </w:pPr>
      <w:r w:rsidRPr="005F5665">
        <w:t xml:space="preserve">Indicator 1a </w:t>
      </w:r>
      <w:r w:rsidRPr="005F5665">
        <w:rPr>
          <w:lang w:val="en-US"/>
        </w:rPr>
        <w:t>Improvement of health and wellbeing of NHS staff</w:t>
      </w:r>
    </w:p>
    <w:p w:rsidR="00703457" w:rsidRDefault="00703457" w:rsidP="00CB65F3">
      <w:pPr>
        <w:rPr>
          <w:b/>
          <w:lang w:val="en-US"/>
        </w:rPr>
      </w:pPr>
    </w:p>
    <w:tbl>
      <w:tblPr>
        <w:tblStyle w:val="TableGrid"/>
        <w:tblW w:w="0" w:type="auto"/>
        <w:tblInd w:w="-176" w:type="dxa"/>
        <w:tblLook w:val="04A0" w:firstRow="1" w:lastRow="0" w:firstColumn="1" w:lastColumn="0" w:noHBand="0" w:noVBand="1"/>
        <w:tblCaption w:val="Indicator 1a"/>
        <w:tblDescription w:val="Indicator 1a detail"/>
      </w:tblPr>
      <w:tblGrid>
        <w:gridCol w:w="2836"/>
        <w:gridCol w:w="6520"/>
      </w:tblGrid>
      <w:tr w:rsidR="008A4E55" w:rsidTr="00770155">
        <w:trPr>
          <w:tblHeader/>
        </w:trPr>
        <w:tc>
          <w:tcPr>
            <w:tcW w:w="9356" w:type="dxa"/>
            <w:gridSpan w:val="2"/>
            <w:shd w:val="clear" w:color="auto" w:fill="0072C6" w:themeFill="text2"/>
          </w:tcPr>
          <w:p w:rsidR="008A4E55" w:rsidRPr="008A4E55" w:rsidRDefault="008A4E55" w:rsidP="00AD69B8">
            <w:pPr>
              <w:jc w:val="center"/>
              <w:rPr>
                <w:b/>
                <w:color w:val="FFFFFF" w:themeColor="background1"/>
                <w:lang w:val="en-US"/>
              </w:rPr>
            </w:pPr>
            <w:r>
              <w:rPr>
                <w:b/>
                <w:color w:val="FFFFFF" w:themeColor="background1"/>
                <w:lang w:val="en-US"/>
              </w:rPr>
              <w:t>Indicator 1a</w:t>
            </w:r>
            <w:r w:rsidR="00EA48B0">
              <w:rPr>
                <w:b/>
                <w:color w:val="FFFFFF" w:themeColor="background1"/>
                <w:lang w:val="en-US"/>
              </w:rPr>
              <w:t xml:space="preserve"> </w:t>
            </w:r>
          </w:p>
        </w:tc>
      </w:tr>
      <w:tr w:rsidR="00132EFE" w:rsidTr="00770155">
        <w:tc>
          <w:tcPr>
            <w:tcW w:w="2836" w:type="dxa"/>
          </w:tcPr>
          <w:p w:rsidR="00132EFE" w:rsidRPr="009962CF" w:rsidRDefault="00132EFE" w:rsidP="00132EFE">
            <w:pPr>
              <w:rPr>
                <w:b/>
                <w:lang w:val="en-US"/>
              </w:rPr>
            </w:pPr>
            <w:r w:rsidRPr="009962CF">
              <w:rPr>
                <w:rFonts w:cs="Arial"/>
                <w:b/>
                <w:color w:val="000000"/>
              </w:rPr>
              <w:t>Indicator name</w:t>
            </w:r>
          </w:p>
        </w:tc>
        <w:tc>
          <w:tcPr>
            <w:tcW w:w="6520" w:type="dxa"/>
          </w:tcPr>
          <w:p w:rsidR="00132EFE" w:rsidRPr="00AD69B8" w:rsidRDefault="00132EFE" w:rsidP="00B134C0">
            <w:pPr>
              <w:rPr>
                <w:lang w:val="en-US"/>
              </w:rPr>
            </w:pPr>
            <w:r w:rsidRPr="00AD69B8">
              <w:t xml:space="preserve">Indicator 1a: </w:t>
            </w:r>
            <w:r w:rsidR="00B134C0" w:rsidRPr="00AD69B8">
              <w:t xml:space="preserve">Improvement of </w:t>
            </w:r>
            <w:r w:rsidRPr="00AD69B8">
              <w:t>staff health and wellbeing</w:t>
            </w:r>
          </w:p>
        </w:tc>
      </w:tr>
      <w:tr w:rsidR="00132EFE" w:rsidTr="00770155">
        <w:tc>
          <w:tcPr>
            <w:tcW w:w="2836" w:type="dxa"/>
          </w:tcPr>
          <w:p w:rsidR="00132EFE" w:rsidRPr="009962CF" w:rsidRDefault="00132EFE" w:rsidP="00132EFE">
            <w:pPr>
              <w:rPr>
                <w:b/>
                <w:lang w:val="en-US"/>
              </w:rPr>
            </w:pPr>
            <w:r w:rsidRPr="009962CF">
              <w:rPr>
                <w:rFonts w:cs="Arial"/>
                <w:b/>
                <w:color w:val="000000"/>
              </w:rPr>
              <w:t xml:space="preserve">Indicator weighting </w:t>
            </w:r>
            <w:r w:rsidRPr="009962CF">
              <w:rPr>
                <w:rFonts w:cs="Arial"/>
                <w:b/>
                <w:color w:val="000000"/>
              </w:rPr>
              <w:br/>
              <w:t>(% of CQUIN scheme available)</w:t>
            </w:r>
          </w:p>
        </w:tc>
        <w:tc>
          <w:tcPr>
            <w:tcW w:w="6520" w:type="dxa"/>
          </w:tcPr>
          <w:p w:rsidR="00132EFE" w:rsidRPr="00AD69B8" w:rsidRDefault="00132EFE" w:rsidP="00132EFE">
            <w:pPr>
              <w:rPr>
                <w:lang w:val="en-US"/>
              </w:rPr>
            </w:pPr>
            <w:r w:rsidRPr="00AD69B8">
              <w:rPr>
                <w:rFonts w:cs="Arial"/>
                <w:color w:val="000000"/>
              </w:rPr>
              <w:t>33.3% of 0.25% (0.08</w:t>
            </w:r>
            <w:r w:rsidR="007335AA" w:rsidRPr="00AD69B8">
              <w:rPr>
                <w:rFonts w:cs="Arial"/>
                <w:color w:val="000000"/>
              </w:rPr>
              <w:t>34</w:t>
            </w:r>
            <w:r w:rsidR="00664DA5" w:rsidRPr="00AD69B8">
              <w:rPr>
                <w:rFonts w:cs="Arial"/>
                <w:color w:val="000000"/>
              </w:rPr>
              <w:t>%</w:t>
            </w:r>
            <w:r w:rsidRPr="00AD69B8">
              <w:rPr>
                <w:rFonts w:cs="Arial"/>
                <w:color w:val="000000"/>
              </w:rPr>
              <w:t>)</w:t>
            </w:r>
          </w:p>
        </w:tc>
      </w:tr>
      <w:tr w:rsidR="00132EFE" w:rsidTr="00770155">
        <w:tc>
          <w:tcPr>
            <w:tcW w:w="2836" w:type="dxa"/>
          </w:tcPr>
          <w:p w:rsidR="00132EFE" w:rsidRPr="009962CF" w:rsidRDefault="00132EFE" w:rsidP="00132EFE">
            <w:pPr>
              <w:rPr>
                <w:b/>
                <w:lang w:val="en-US"/>
              </w:rPr>
            </w:pPr>
            <w:r w:rsidRPr="009962CF">
              <w:rPr>
                <w:rFonts w:cs="Arial"/>
                <w:b/>
                <w:color w:val="000000"/>
              </w:rPr>
              <w:t>Description of indicator</w:t>
            </w:r>
          </w:p>
        </w:tc>
        <w:tc>
          <w:tcPr>
            <w:tcW w:w="6520" w:type="dxa"/>
          </w:tcPr>
          <w:p w:rsidR="007C0298" w:rsidRPr="00AD69B8" w:rsidRDefault="007C0298" w:rsidP="007C0298">
            <w:pPr>
              <w:keepNext/>
              <w:contextualSpacing/>
              <w:rPr>
                <w:rFonts w:cs="Arial"/>
                <w:color w:val="000000"/>
              </w:rPr>
            </w:pPr>
            <w:r w:rsidRPr="00AD69B8">
              <w:rPr>
                <w:rFonts w:cs="Arial"/>
                <w:color w:val="000000"/>
              </w:rPr>
              <w:t xml:space="preserve">Achieving a </w:t>
            </w:r>
            <w:r w:rsidR="005A133C">
              <w:rPr>
                <w:rFonts w:cs="Arial"/>
                <w:color w:val="000000"/>
              </w:rPr>
              <w:t>5</w:t>
            </w:r>
            <w:r w:rsidR="00D05782" w:rsidRPr="00AD69B8">
              <w:rPr>
                <w:rFonts w:cs="Arial"/>
                <w:color w:val="000000"/>
              </w:rPr>
              <w:t xml:space="preserve"> </w:t>
            </w:r>
            <w:r w:rsidRPr="00AD69B8">
              <w:rPr>
                <w:rFonts w:cs="Arial"/>
                <w:color w:val="000000"/>
              </w:rPr>
              <w:t xml:space="preserve">percentage point improvement in two of the three NHS annual staff survey questions on health and wellbeing, MSK and stress. The two questions do not have to be pre-selected before the staff survey results, with 50% of the value of this indicator relating to performance in one question and the remaining 50% of the value relating to performance in a second question. </w:t>
            </w:r>
          </w:p>
          <w:p w:rsidR="007C0298" w:rsidRPr="00AD69B8" w:rsidRDefault="007C0298" w:rsidP="007C0298">
            <w:pPr>
              <w:keepNext/>
              <w:contextualSpacing/>
              <w:rPr>
                <w:rFonts w:cs="Arial"/>
                <w:color w:val="000000"/>
              </w:rPr>
            </w:pPr>
          </w:p>
          <w:p w:rsidR="007C0298" w:rsidRPr="00AD69B8" w:rsidRDefault="00B134C0" w:rsidP="007C0298">
            <w:pPr>
              <w:keepNext/>
              <w:contextualSpacing/>
              <w:rPr>
                <w:rFonts w:cs="Arial"/>
                <w:color w:val="000000"/>
              </w:rPr>
            </w:pPr>
            <w:r w:rsidRPr="00AD69B8">
              <w:rPr>
                <w:rFonts w:cs="Arial"/>
                <w:color w:val="000000"/>
              </w:rPr>
              <w:t>Year 1</w:t>
            </w:r>
            <w:r w:rsidR="00B25663">
              <w:rPr>
                <w:rFonts w:cs="Arial"/>
                <w:color w:val="000000"/>
              </w:rPr>
              <w:t xml:space="preserve"> </w:t>
            </w:r>
            <w:r w:rsidRPr="00AD69B8">
              <w:rPr>
                <w:rFonts w:cs="Arial"/>
                <w:color w:val="000000"/>
              </w:rPr>
              <w:t xml:space="preserve">(17/18) </w:t>
            </w:r>
          </w:p>
          <w:p w:rsidR="007C0298" w:rsidRPr="00AD69B8" w:rsidRDefault="007C0298" w:rsidP="007C0298">
            <w:pPr>
              <w:keepNext/>
              <w:contextualSpacing/>
              <w:rPr>
                <w:rFonts w:cs="Arial"/>
                <w:color w:val="000000"/>
              </w:rPr>
            </w:pPr>
            <w:r w:rsidRPr="00AD69B8">
              <w:rPr>
                <w:rFonts w:cs="Arial"/>
                <w:color w:val="000000"/>
              </w:rPr>
              <w:t>The 5 percentage point improvement should be achieved over a period of 2 years, with the baseline survey being the 2015 staff survey.</w:t>
            </w:r>
          </w:p>
          <w:p w:rsidR="007C0298" w:rsidRPr="00AD69B8" w:rsidRDefault="007C0298" w:rsidP="007C0298">
            <w:pPr>
              <w:keepNext/>
              <w:contextualSpacing/>
              <w:rPr>
                <w:rFonts w:cs="Arial"/>
                <w:color w:val="000000"/>
              </w:rPr>
            </w:pPr>
          </w:p>
          <w:p w:rsidR="007C0298" w:rsidRPr="00AD69B8" w:rsidRDefault="00B134C0" w:rsidP="007C0298">
            <w:pPr>
              <w:keepNext/>
              <w:contextualSpacing/>
              <w:rPr>
                <w:rFonts w:cs="Arial"/>
                <w:color w:val="000000"/>
              </w:rPr>
            </w:pPr>
            <w:r w:rsidRPr="00AD69B8">
              <w:rPr>
                <w:rFonts w:cs="Arial"/>
                <w:color w:val="000000"/>
              </w:rPr>
              <w:t>Year 2 (18/19)</w:t>
            </w:r>
          </w:p>
          <w:p w:rsidR="007C0298" w:rsidRPr="00AD69B8" w:rsidRDefault="007C0298" w:rsidP="007C0298">
            <w:pPr>
              <w:keepNext/>
              <w:contextualSpacing/>
              <w:rPr>
                <w:rFonts w:cs="Arial"/>
                <w:color w:val="000000"/>
              </w:rPr>
            </w:pPr>
            <w:r w:rsidRPr="00AD69B8">
              <w:rPr>
                <w:rFonts w:cs="Arial"/>
                <w:color w:val="000000"/>
              </w:rPr>
              <w:t>The 5 percentage point improvement should be achieved over a period of 2 years, with the baseline survey being the 2016 staff survey.</w:t>
            </w:r>
          </w:p>
          <w:p w:rsidR="007C0298" w:rsidRPr="00AD69B8" w:rsidRDefault="007C0298" w:rsidP="007C0298">
            <w:pPr>
              <w:keepNext/>
              <w:contextualSpacing/>
              <w:rPr>
                <w:rFonts w:cs="Arial"/>
                <w:color w:val="000000"/>
              </w:rPr>
            </w:pPr>
          </w:p>
          <w:p w:rsidR="007D1CB2" w:rsidRPr="00AD69B8" w:rsidRDefault="007C0298" w:rsidP="007D1CB2">
            <w:pPr>
              <w:pStyle w:val="ListParagraph"/>
              <w:numPr>
                <w:ilvl w:val="0"/>
                <w:numId w:val="5"/>
              </w:numPr>
              <w:rPr>
                <w:rFonts w:cs="Arial"/>
                <w:color w:val="000000"/>
              </w:rPr>
            </w:pPr>
            <w:r w:rsidRPr="00AD69B8">
              <w:rPr>
                <w:rFonts w:cs="Arial"/>
                <w:b/>
                <w:color w:val="000000"/>
              </w:rPr>
              <w:t>Question 9a</w:t>
            </w:r>
            <w:r w:rsidRPr="00AD69B8">
              <w:rPr>
                <w:rFonts w:cs="Arial"/>
                <w:color w:val="000000"/>
              </w:rPr>
              <w:t xml:space="preserve">: </w:t>
            </w:r>
            <w:r w:rsidR="007D1CB2" w:rsidRPr="00AD69B8">
              <w:rPr>
                <w:rFonts w:cs="Arial"/>
                <w:color w:val="000000"/>
              </w:rPr>
              <w:t xml:space="preserve">Does your organisation take positive action on health and well-being?  Providers will be expected to achieve an improvement of 5% points in the answer “yes, definitely” compared to baseline staff survey results or achieve 45% of staff surveyed answering “yes, definitely”. </w:t>
            </w:r>
          </w:p>
          <w:p w:rsidR="007C0298" w:rsidRPr="00AD69B8" w:rsidRDefault="007C0298" w:rsidP="007C0298">
            <w:pPr>
              <w:keepNext/>
              <w:numPr>
                <w:ilvl w:val="0"/>
                <w:numId w:val="5"/>
              </w:numPr>
              <w:contextualSpacing/>
              <w:rPr>
                <w:rFonts w:cs="Arial"/>
                <w:color w:val="000000"/>
              </w:rPr>
            </w:pPr>
            <w:r w:rsidRPr="00AD69B8">
              <w:rPr>
                <w:rFonts w:cs="Arial"/>
                <w:b/>
                <w:color w:val="000000"/>
              </w:rPr>
              <w:t xml:space="preserve">Question 9b: </w:t>
            </w:r>
            <w:r w:rsidR="007D1CB2" w:rsidRPr="00AD69B8">
              <w:rPr>
                <w:rFonts w:eastAsia="HGSMinchoE" w:cs="Arial"/>
                <w:szCs w:val="24"/>
              </w:rPr>
              <w:t xml:space="preserve">In the last 12 months have you experienced musculoskeletal problems (MSK) as a result of work activities? </w:t>
            </w:r>
            <w:r w:rsidR="007D1CB2" w:rsidRPr="00AD69B8">
              <w:rPr>
                <w:rFonts w:cs="Arial"/>
                <w:color w:val="000000"/>
                <w:szCs w:val="24"/>
              </w:rPr>
              <w:t xml:space="preserve"> Providers will be expected to achieve an improvement of 5% points in the </w:t>
            </w:r>
            <w:r w:rsidR="007D1CB2" w:rsidRPr="00AD69B8">
              <w:rPr>
                <w:rFonts w:cs="Arial"/>
                <w:color w:val="000000"/>
                <w:szCs w:val="24"/>
              </w:rPr>
              <w:lastRenderedPageBreak/>
              <w:t>answer “no” compared to baseline staff survey results or achieve 85% of staff surveyed answering “no”.</w:t>
            </w:r>
          </w:p>
          <w:p w:rsidR="00132EFE" w:rsidRPr="00AD69B8" w:rsidRDefault="007C0298" w:rsidP="007D1CB2">
            <w:pPr>
              <w:keepNext/>
              <w:numPr>
                <w:ilvl w:val="0"/>
                <w:numId w:val="5"/>
              </w:numPr>
              <w:contextualSpacing/>
              <w:rPr>
                <w:rFonts w:cs="Arial"/>
              </w:rPr>
            </w:pPr>
            <w:r w:rsidRPr="00AD69B8">
              <w:rPr>
                <w:rFonts w:cs="Arial"/>
                <w:b/>
                <w:color w:val="000000"/>
              </w:rPr>
              <w:t>Question 9c:</w:t>
            </w:r>
            <w:r w:rsidRPr="00AD69B8">
              <w:rPr>
                <w:rFonts w:cs="Arial"/>
                <w:color w:val="000000"/>
              </w:rPr>
              <w:t xml:space="preserve"> </w:t>
            </w:r>
            <w:r w:rsidR="007D1CB2" w:rsidRPr="00AD69B8">
              <w:rPr>
                <w:rFonts w:cs="Arial"/>
              </w:rPr>
              <w:t xml:space="preserve">During the last 12 months have you felt unwell as a result of work related stress? </w:t>
            </w:r>
            <w:r w:rsidR="007D1CB2" w:rsidRPr="00AD69B8">
              <w:rPr>
                <w:rFonts w:cs="Arial"/>
                <w:color w:val="000000"/>
              </w:rPr>
              <w:t xml:space="preserve"> Providers will be expected to achieve an improvement of 5% points in the answer “no” compared to baseline staff survey results or achieve 75% of staff surveyed answering “no”</w:t>
            </w:r>
            <w:r w:rsidR="007D1CB2" w:rsidRPr="00AD69B8">
              <w:rPr>
                <w:rFonts w:cs="Arial"/>
              </w:rPr>
              <w:t>.</w:t>
            </w:r>
          </w:p>
        </w:tc>
      </w:tr>
      <w:tr w:rsidR="00132EFE" w:rsidTr="00770155">
        <w:tc>
          <w:tcPr>
            <w:tcW w:w="2836" w:type="dxa"/>
          </w:tcPr>
          <w:p w:rsidR="00132EFE" w:rsidRPr="009962CF" w:rsidRDefault="00132EFE" w:rsidP="00132EFE">
            <w:pPr>
              <w:rPr>
                <w:b/>
                <w:lang w:val="en-US"/>
              </w:rPr>
            </w:pPr>
            <w:r w:rsidRPr="009962CF">
              <w:rPr>
                <w:rFonts w:cs="Arial"/>
                <w:b/>
                <w:color w:val="000000"/>
              </w:rPr>
              <w:lastRenderedPageBreak/>
              <w:t>Numerator</w:t>
            </w:r>
          </w:p>
        </w:tc>
        <w:tc>
          <w:tcPr>
            <w:tcW w:w="6520" w:type="dxa"/>
          </w:tcPr>
          <w:p w:rsidR="007C0298" w:rsidRPr="007C0298" w:rsidRDefault="007C0298" w:rsidP="007C0298">
            <w:pPr>
              <w:rPr>
                <w:rFonts w:cs="Arial"/>
                <w:color w:val="000000"/>
              </w:rPr>
            </w:pPr>
            <w:r w:rsidRPr="007C0298">
              <w:rPr>
                <w:rFonts w:cs="Arial"/>
                <w:color w:val="000000"/>
              </w:rPr>
              <w:t>NHS staff survey results for the Provider</w:t>
            </w:r>
          </w:p>
          <w:p w:rsidR="007C0298" w:rsidRPr="007C0298" w:rsidRDefault="007C0298" w:rsidP="007C0298">
            <w:pPr>
              <w:rPr>
                <w:rFonts w:cs="Arial"/>
                <w:color w:val="000000"/>
              </w:rPr>
            </w:pPr>
          </w:p>
          <w:p w:rsidR="007C0298" w:rsidRPr="007C0298" w:rsidRDefault="007C0298" w:rsidP="007C0298">
            <w:pPr>
              <w:rPr>
                <w:rFonts w:cs="Arial"/>
                <w:color w:val="000000"/>
              </w:rPr>
            </w:pPr>
            <w:r w:rsidRPr="007C0298">
              <w:rPr>
                <w:rFonts w:cs="Arial"/>
                <w:color w:val="000000"/>
              </w:rPr>
              <w:t>Year 1</w:t>
            </w:r>
          </w:p>
          <w:p w:rsidR="0042572A" w:rsidRPr="0042572A" w:rsidRDefault="0042572A" w:rsidP="0042572A">
            <w:pPr>
              <w:ind w:left="720"/>
              <w:rPr>
                <w:rFonts w:cs="Arial"/>
                <w:b/>
                <w:color w:val="000000"/>
              </w:rPr>
            </w:pPr>
            <w:r w:rsidRPr="0042572A">
              <w:rPr>
                <w:rFonts w:cs="Arial"/>
                <w:b/>
                <w:color w:val="000000"/>
              </w:rPr>
              <w:t xml:space="preserve">Question 9a: </w:t>
            </w:r>
            <w:r w:rsidRPr="0042572A">
              <w:rPr>
                <w:rFonts w:cs="Arial"/>
                <w:color w:val="000000"/>
              </w:rPr>
              <w:t xml:space="preserve">2017 </w:t>
            </w:r>
            <w:r w:rsidR="00BC7D99">
              <w:rPr>
                <w:rFonts w:cs="Arial"/>
                <w:color w:val="000000"/>
              </w:rPr>
              <w:t xml:space="preserve">number of </w:t>
            </w:r>
            <w:r w:rsidRPr="0042572A">
              <w:rPr>
                <w:rFonts w:cs="Arial"/>
                <w:color w:val="000000"/>
              </w:rPr>
              <w:t>response</w:t>
            </w:r>
            <w:r w:rsidR="00BC7D99">
              <w:rPr>
                <w:rFonts w:cs="Arial"/>
                <w:color w:val="000000"/>
              </w:rPr>
              <w:t>s of</w:t>
            </w:r>
            <w:r w:rsidRPr="0042572A">
              <w:rPr>
                <w:rFonts w:cs="Arial"/>
                <w:color w:val="000000"/>
              </w:rPr>
              <w:t xml:space="preserve"> “yes, definitely”</w:t>
            </w:r>
            <w:r w:rsidRPr="0042572A">
              <w:rPr>
                <w:rFonts w:cs="Arial"/>
                <w:b/>
                <w:color w:val="000000"/>
              </w:rPr>
              <w:t xml:space="preserve"> </w:t>
            </w:r>
          </w:p>
          <w:p w:rsidR="0042572A" w:rsidRPr="0042572A" w:rsidRDefault="0042572A" w:rsidP="0042572A">
            <w:pPr>
              <w:ind w:left="720"/>
              <w:rPr>
                <w:rFonts w:cs="Arial"/>
                <w:b/>
                <w:color w:val="000000"/>
              </w:rPr>
            </w:pPr>
            <w:r w:rsidRPr="0042572A">
              <w:rPr>
                <w:rFonts w:cs="Arial"/>
                <w:b/>
                <w:color w:val="000000"/>
              </w:rPr>
              <w:t xml:space="preserve">Question 9b: </w:t>
            </w:r>
            <w:r w:rsidRPr="0042572A">
              <w:rPr>
                <w:rFonts w:cs="Arial"/>
                <w:color w:val="000000"/>
              </w:rPr>
              <w:t xml:space="preserve">2017 </w:t>
            </w:r>
            <w:r w:rsidR="00BC7D99">
              <w:rPr>
                <w:rFonts w:cs="Arial"/>
                <w:color w:val="000000"/>
              </w:rPr>
              <w:t xml:space="preserve">number of </w:t>
            </w:r>
            <w:r w:rsidRPr="0042572A">
              <w:rPr>
                <w:rFonts w:cs="Arial"/>
                <w:color w:val="000000"/>
              </w:rPr>
              <w:t>response</w:t>
            </w:r>
            <w:r w:rsidR="00BC7D99">
              <w:rPr>
                <w:rFonts w:cs="Arial"/>
                <w:color w:val="000000"/>
              </w:rPr>
              <w:t>s of</w:t>
            </w:r>
            <w:r w:rsidRPr="0042572A">
              <w:rPr>
                <w:rFonts w:cs="Arial"/>
                <w:color w:val="000000"/>
              </w:rPr>
              <w:t xml:space="preserve"> “no”</w:t>
            </w:r>
          </w:p>
          <w:p w:rsidR="0042572A" w:rsidRPr="0042572A" w:rsidRDefault="0042572A" w:rsidP="0042572A">
            <w:pPr>
              <w:ind w:left="720"/>
              <w:rPr>
                <w:rFonts w:cs="Arial"/>
                <w:b/>
                <w:color w:val="000000"/>
              </w:rPr>
            </w:pPr>
            <w:r w:rsidRPr="0042572A">
              <w:rPr>
                <w:rFonts w:cs="Arial"/>
                <w:b/>
                <w:color w:val="000000"/>
              </w:rPr>
              <w:t xml:space="preserve">Question 9c: </w:t>
            </w:r>
            <w:r w:rsidRPr="0042572A">
              <w:rPr>
                <w:rFonts w:cs="Arial"/>
                <w:color w:val="000000"/>
              </w:rPr>
              <w:t xml:space="preserve">2017 </w:t>
            </w:r>
            <w:r w:rsidR="00BC7D99">
              <w:rPr>
                <w:rFonts w:cs="Arial"/>
                <w:color w:val="000000"/>
              </w:rPr>
              <w:t xml:space="preserve">number of </w:t>
            </w:r>
            <w:r w:rsidRPr="0042572A">
              <w:rPr>
                <w:rFonts w:cs="Arial"/>
                <w:color w:val="000000"/>
              </w:rPr>
              <w:t>response</w:t>
            </w:r>
            <w:r w:rsidR="00BC7D99">
              <w:rPr>
                <w:rFonts w:cs="Arial"/>
                <w:color w:val="000000"/>
              </w:rPr>
              <w:t>s of</w:t>
            </w:r>
            <w:r w:rsidRPr="0042572A">
              <w:rPr>
                <w:rFonts w:cs="Arial"/>
                <w:color w:val="000000"/>
              </w:rPr>
              <w:t xml:space="preserve"> “no”</w:t>
            </w:r>
          </w:p>
          <w:p w:rsidR="007C0298" w:rsidRPr="007C0298" w:rsidRDefault="007C0298" w:rsidP="007C0298">
            <w:pPr>
              <w:rPr>
                <w:rFonts w:cs="Arial"/>
                <w:color w:val="000000"/>
              </w:rPr>
            </w:pPr>
            <w:r w:rsidRPr="007C0298">
              <w:rPr>
                <w:rFonts w:cs="Arial"/>
                <w:color w:val="000000"/>
              </w:rPr>
              <w:t xml:space="preserve">Year 2 </w:t>
            </w:r>
          </w:p>
          <w:p w:rsidR="0042572A" w:rsidRPr="0042572A" w:rsidRDefault="0042572A" w:rsidP="0042572A">
            <w:pPr>
              <w:ind w:left="720"/>
              <w:rPr>
                <w:rFonts w:cs="Arial"/>
                <w:b/>
                <w:color w:val="000000"/>
              </w:rPr>
            </w:pPr>
            <w:r w:rsidRPr="0042572A">
              <w:rPr>
                <w:rFonts w:cs="Arial"/>
                <w:b/>
                <w:color w:val="000000"/>
              </w:rPr>
              <w:t xml:space="preserve">Question 9a: </w:t>
            </w:r>
            <w:r w:rsidRPr="0042572A">
              <w:rPr>
                <w:rFonts w:cs="Arial"/>
                <w:color w:val="000000"/>
              </w:rPr>
              <w:t xml:space="preserve">2018 </w:t>
            </w:r>
            <w:r w:rsidR="00BC7D99">
              <w:rPr>
                <w:rFonts w:cs="Arial"/>
                <w:color w:val="000000"/>
              </w:rPr>
              <w:t xml:space="preserve">number of </w:t>
            </w:r>
            <w:r w:rsidRPr="0042572A">
              <w:rPr>
                <w:rFonts w:cs="Arial"/>
                <w:color w:val="000000"/>
              </w:rPr>
              <w:t>response</w:t>
            </w:r>
            <w:r w:rsidR="00BC7D99">
              <w:rPr>
                <w:rFonts w:cs="Arial"/>
                <w:color w:val="000000"/>
              </w:rPr>
              <w:t>s of</w:t>
            </w:r>
            <w:r w:rsidRPr="0042572A">
              <w:rPr>
                <w:rFonts w:cs="Arial"/>
                <w:color w:val="000000"/>
              </w:rPr>
              <w:t xml:space="preserve"> “yes, definitely”</w:t>
            </w:r>
            <w:r w:rsidRPr="0042572A">
              <w:rPr>
                <w:rFonts w:cs="Arial"/>
                <w:b/>
                <w:color w:val="000000"/>
              </w:rPr>
              <w:t xml:space="preserve"> </w:t>
            </w:r>
          </w:p>
          <w:p w:rsidR="0042572A" w:rsidRPr="0042572A" w:rsidRDefault="0042572A" w:rsidP="0042572A">
            <w:pPr>
              <w:ind w:left="720"/>
              <w:rPr>
                <w:rFonts w:cs="Arial"/>
                <w:b/>
                <w:color w:val="000000"/>
              </w:rPr>
            </w:pPr>
            <w:r w:rsidRPr="0042572A">
              <w:rPr>
                <w:rFonts w:cs="Arial"/>
                <w:b/>
                <w:color w:val="000000"/>
              </w:rPr>
              <w:t xml:space="preserve">Question 9b: </w:t>
            </w:r>
            <w:r w:rsidRPr="0042572A">
              <w:rPr>
                <w:rFonts w:cs="Arial"/>
                <w:color w:val="000000"/>
              </w:rPr>
              <w:t xml:space="preserve">2018 </w:t>
            </w:r>
            <w:r w:rsidR="00BC7D99">
              <w:rPr>
                <w:rFonts w:cs="Arial"/>
                <w:color w:val="000000"/>
              </w:rPr>
              <w:t xml:space="preserve">number of </w:t>
            </w:r>
            <w:r w:rsidRPr="0042572A">
              <w:rPr>
                <w:rFonts w:cs="Arial"/>
                <w:color w:val="000000"/>
              </w:rPr>
              <w:t>response</w:t>
            </w:r>
            <w:r w:rsidR="00BC7D99">
              <w:rPr>
                <w:rFonts w:cs="Arial"/>
                <w:color w:val="000000"/>
              </w:rPr>
              <w:t>s of</w:t>
            </w:r>
            <w:r w:rsidRPr="0042572A">
              <w:rPr>
                <w:rFonts w:cs="Arial"/>
                <w:color w:val="000000"/>
              </w:rPr>
              <w:t xml:space="preserve"> “no”</w:t>
            </w:r>
          </w:p>
          <w:p w:rsidR="00132EFE" w:rsidRPr="003B399C" w:rsidRDefault="0042572A" w:rsidP="0042572A">
            <w:pPr>
              <w:ind w:left="720"/>
              <w:rPr>
                <w:rFonts w:cs="Arial"/>
                <w:color w:val="000000"/>
              </w:rPr>
            </w:pPr>
            <w:r w:rsidRPr="0042572A">
              <w:rPr>
                <w:rFonts w:cs="Arial"/>
                <w:b/>
                <w:color w:val="000000"/>
              </w:rPr>
              <w:t xml:space="preserve">Question 9c: </w:t>
            </w:r>
            <w:r w:rsidRPr="0042572A">
              <w:rPr>
                <w:rFonts w:cs="Arial"/>
                <w:color w:val="000000"/>
              </w:rPr>
              <w:t xml:space="preserve">2018 </w:t>
            </w:r>
            <w:r w:rsidR="00BC7D99">
              <w:rPr>
                <w:rFonts w:cs="Arial"/>
                <w:color w:val="000000"/>
              </w:rPr>
              <w:t xml:space="preserve">number of </w:t>
            </w:r>
            <w:r w:rsidRPr="0042572A">
              <w:rPr>
                <w:rFonts w:cs="Arial"/>
                <w:color w:val="000000"/>
              </w:rPr>
              <w:t>response</w:t>
            </w:r>
            <w:r w:rsidR="00BC7D99">
              <w:rPr>
                <w:rFonts w:cs="Arial"/>
                <w:color w:val="000000"/>
              </w:rPr>
              <w:t>s of</w:t>
            </w:r>
            <w:r w:rsidRPr="0042572A">
              <w:rPr>
                <w:rFonts w:cs="Arial"/>
                <w:color w:val="000000"/>
              </w:rPr>
              <w:t xml:space="preserve"> “no”</w:t>
            </w:r>
          </w:p>
        </w:tc>
      </w:tr>
      <w:tr w:rsidR="00132EFE" w:rsidTr="00770155">
        <w:tc>
          <w:tcPr>
            <w:tcW w:w="2836" w:type="dxa"/>
          </w:tcPr>
          <w:p w:rsidR="00132EFE" w:rsidRPr="009962CF" w:rsidRDefault="00132EFE" w:rsidP="00132EFE">
            <w:pPr>
              <w:rPr>
                <w:b/>
                <w:lang w:val="en-US"/>
              </w:rPr>
            </w:pPr>
            <w:r w:rsidRPr="009962CF">
              <w:rPr>
                <w:rFonts w:cs="Arial"/>
                <w:b/>
                <w:color w:val="000000"/>
              </w:rPr>
              <w:t>Denominator</w:t>
            </w:r>
          </w:p>
        </w:tc>
        <w:tc>
          <w:tcPr>
            <w:tcW w:w="6520" w:type="dxa"/>
          </w:tcPr>
          <w:p w:rsidR="007C0298" w:rsidRPr="007C0298" w:rsidRDefault="007C0298" w:rsidP="007C0298">
            <w:pPr>
              <w:rPr>
                <w:rFonts w:cs="Arial"/>
                <w:color w:val="000000"/>
              </w:rPr>
            </w:pPr>
            <w:r w:rsidRPr="007C0298">
              <w:rPr>
                <w:rFonts w:cs="Arial"/>
                <w:color w:val="000000"/>
              </w:rPr>
              <w:t>NHS staff survey results for the Provider</w:t>
            </w:r>
          </w:p>
          <w:p w:rsidR="007C0298" w:rsidRPr="007C0298" w:rsidRDefault="007C0298" w:rsidP="007C0298">
            <w:pPr>
              <w:rPr>
                <w:rFonts w:cs="Arial"/>
                <w:color w:val="000000"/>
              </w:rPr>
            </w:pPr>
          </w:p>
          <w:p w:rsidR="007C0298" w:rsidRPr="007C0298" w:rsidRDefault="007C0298" w:rsidP="007C0298">
            <w:pPr>
              <w:rPr>
                <w:rFonts w:cs="Arial"/>
                <w:color w:val="000000"/>
              </w:rPr>
            </w:pPr>
            <w:r w:rsidRPr="007C0298">
              <w:rPr>
                <w:rFonts w:cs="Arial"/>
                <w:color w:val="000000"/>
              </w:rPr>
              <w:t xml:space="preserve">Year 1 </w:t>
            </w:r>
            <w:r w:rsidRPr="007C0298">
              <w:rPr>
                <w:rFonts w:cs="Arial"/>
                <w:color w:val="000000"/>
              </w:rPr>
              <w:tab/>
            </w:r>
          </w:p>
          <w:p w:rsidR="007C0298" w:rsidRPr="007C0298" w:rsidRDefault="007C0298" w:rsidP="007C0298">
            <w:pPr>
              <w:ind w:left="720"/>
              <w:rPr>
                <w:rFonts w:cs="Arial"/>
                <w:color w:val="000000"/>
              </w:rPr>
            </w:pPr>
            <w:r w:rsidRPr="007C0298">
              <w:rPr>
                <w:rFonts w:cs="Arial"/>
                <w:b/>
                <w:color w:val="000000"/>
              </w:rPr>
              <w:t>Question 9a</w:t>
            </w:r>
            <w:r w:rsidRPr="007C0298">
              <w:rPr>
                <w:rFonts w:cs="Arial"/>
                <w:color w:val="000000"/>
              </w:rPr>
              <w:t>: 201</w:t>
            </w:r>
            <w:r w:rsidR="00BC7D99">
              <w:rPr>
                <w:rFonts w:cs="Arial"/>
                <w:color w:val="000000"/>
              </w:rPr>
              <w:t>7</w:t>
            </w:r>
            <w:r w:rsidRPr="007C0298">
              <w:rPr>
                <w:rFonts w:cs="Arial"/>
                <w:color w:val="000000"/>
              </w:rPr>
              <w:t xml:space="preserve"> </w:t>
            </w:r>
            <w:r w:rsidR="00BC7D99">
              <w:rPr>
                <w:rFonts w:cs="Arial"/>
                <w:color w:val="000000"/>
              </w:rPr>
              <w:t>Total number of responses (</w:t>
            </w:r>
            <w:r w:rsidR="00BC7D99" w:rsidRPr="007C0298">
              <w:rPr>
                <w:i/>
              </w:rPr>
              <w:t>Yes, definitely/ Yes, to some extent/ No</w:t>
            </w:r>
            <w:r w:rsidR="00BC7D99">
              <w:t>)</w:t>
            </w:r>
          </w:p>
          <w:p w:rsidR="007C0298" w:rsidRPr="007C0298" w:rsidRDefault="007C0298" w:rsidP="007C0298">
            <w:pPr>
              <w:ind w:left="720"/>
              <w:rPr>
                <w:rFonts w:cs="Arial"/>
                <w:color w:val="000000"/>
              </w:rPr>
            </w:pPr>
            <w:r w:rsidRPr="007C0298">
              <w:rPr>
                <w:rFonts w:cs="Arial"/>
                <w:b/>
                <w:color w:val="000000"/>
              </w:rPr>
              <w:t xml:space="preserve">Question 9b: </w:t>
            </w:r>
            <w:r w:rsidRPr="007C0298">
              <w:rPr>
                <w:rFonts w:cs="Arial"/>
                <w:color w:val="000000"/>
              </w:rPr>
              <w:t>201</w:t>
            </w:r>
            <w:r w:rsidR="00BC7D99">
              <w:rPr>
                <w:rFonts w:cs="Arial"/>
                <w:color w:val="000000"/>
              </w:rPr>
              <w:t>7</w:t>
            </w:r>
            <w:r w:rsidRPr="007C0298">
              <w:rPr>
                <w:rFonts w:cs="Arial"/>
                <w:color w:val="000000"/>
              </w:rPr>
              <w:t xml:space="preserve"> </w:t>
            </w:r>
            <w:r w:rsidR="00BC7D99">
              <w:rPr>
                <w:rFonts w:cs="Arial"/>
                <w:color w:val="000000"/>
              </w:rPr>
              <w:t>Total number of responses (</w:t>
            </w:r>
            <w:r w:rsidR="00BC7D99">
              <w:rPr>
                <w:i/>
              </w:rPr>
              <w:t>Yes/</w:t>
            </w:r>
            <w:r w:rsidR="00BC7D99" w:rsidRPr="007C0298">
              <w:rPr>
                <w:i/>
              </w:rPr>
              <w:t>No</w:t>
            </w:r>
            <w:r w:rsidR="00BC7D99">
              <w:t>)</w:t>
            </w:r>
          </w:p>
          <w:p w:rsidR="007C0298" w:rsidRPr="007C0298" w:rsidRDefault="007C0298" w:rsidP="003B399C">
            <w:pPr>
              <w:ind w:left="720"/>
              <w:rPr>
                <w:rFonts w:cs="Arial"/>
                <w:color w:val="000000"/>
              </w:rPr>
            </w:pPr>
            <w:r w:rsidRPr="007C0298">
              <w:rPr>
                <w:rFonts w:cs="Arial"/>
                <w:b/>
                <w:color w:val="000000"/>
              </w:rPr>
              <w:t>Question 9c:</w:t>
            </w:r>
            <w:r w:rsidRPr="007C0298">
              <w:rPr>
                <w:rFonts w:cs="Arial"/>
                <w:color w:val="000000"/>
              </w:rPr>
              <w:t xml:space="preserve"> 201</w:t>
            </w:r>
            <w:r w:rsidR="00BC7D99">
              <w:rPr>
                <w:rFonts w:cs="Arial"/>
                <w:color w:val="000000"/>
              </w:rPr>
              <w:t>7</w:t>
            </w:r>
            <w:r w:rsidRPr="007C0298">
              <w:rPr>
                <w:rFonts w:cs="Arial"/>
                <w:color w:val="000000"/>
              </w:rPr>
              <w:t xml:space="preserve"> </w:t>
            </w:r>
            <w:r w:rsidR="00BC7D99">
              <w:rPr>
                <w:rFonts w:cs="Arial"/>
                <w:color w:val="000000"/>
              </w:rPr>
              <w:t>Total number of responses (</w:t>
            </w:r>
            <w:r w:rsidR="00BC7D99">
              <w:rPr>
                <w:i/>
              </w:rPr>
              <w:t>Yes/</w:t>
            </w:r>
            <w:r w:rsidR="00BC7D99" w:rsidRPr="007C0298">
              <w:rPr>
                <w:i/>
              </w:rPr>
              <w:t>No</w:t>
            </w:r>
            <w:r w:rsidR="00BC7D99">
              <w:t>)</w:t>
            </w:r>
          </w:p>
          <w:p w:rsidR="007C0298" w:rsidRPr="007C0298" w:rsidRDefault="007C0298" w:rsidP="007C0298">
            <w:pPr>
              <w:rPr>
                <w:rFonts w:cs="Arial"/>
                <w:color w:val="000000"/>
              </w:rPr>
            </w:pPr>
            <w:r w:rsidRPr="007C0298">
              <w:rPr>
                <w:rFonts w:cs="Arial"/>
                <w:color w:val="000000"/>
              </w:rPr>
              <w:t>Year 2</w:t>
            </w:r>
          </w:p>
          <w:p w:rsidR="007C0298" w:rsidRPr="007C0298" w:rsidRDefault="007C0298" w:rsidP="007C0298">
            <w:pPr>
              <w:ind w:left="720"/>
              <w:rPr>
                <w:rFonts w:cs="Arial"/>
                <w:color w:val="000000"/>
              </w:rPr>
            </w:pPr>
            <w:r w:rsidRPr="007C0298">
              <w:rPr>
                <w:rFonts w:cs="Arial"/>
                <w:color w:val="000000"/>
              </w:rPr>
              <w:t xml:space="preserve"> </w:t>
            </w:r>
            <w:r w:rsidRPr="007C0298">
              <w:rPr>
                <w:rFonts w:cs="Arial"/>
                <w:b/>
                <w:color w:val="000000"/>
              </w:rPr>
              <w:t>Question 9a</w:t>
            </w:r>
            <w:r w:rsidRPr="007C0298">
              <w:rPr>
                <w:rFonts w:cs="Arial"/>
                <w:color w:val="000000"/>
              </w:rPr>
              <w:t>: 201</w:t>
            </w:r>
            <w:r w:rsidR="00BC7D99">
              <w:rPr>
                <w:rFonts w:cs="Arial"/>
                <w:color w:val="000000"/>
              </w:rPr>
              <w:t>8</w:t>
            </w:r>
            <w:r w:rsidRPr="007C0298">
              <w:rPr>
                <w:rFonts w:cs="Arial"/>
                <w:color w:val="000000"/>
              </w:rPr>
              <w:t xml:space="preserve"> </w:t>
            </w:r>
            <w:r w:rsidR="00BC7D99">
              <w:rPr>
                <w:rFonts w:cs="Arial"/>
                <w:color w:val="000000"/>
              </w:rPr>
              <w:t>Total number of responses (</w:t>
            </w:r>
            <w:r w:rsidR="00BC7D99" w:rsidRPr="007C0298">
              <w:rPr>
                <w:i/>
              </w:rPr>
              <w:t>Yes, definitely/ Yes, to some extent/ No</w:t>
            </w:r>
            <w:r w:rsidR="00BC7D99">
              <w:t>)</w:t>
            </w:r>
          </w:p>
          <w:p w:rsidR="00132EFE" w:rsidRDefault="007C0298" w:rsidP="007C0298">
            <w:pPr>
              <w:ind w:left="720"/>
              <w:rPr>
                <w:lang w:val="en-US"/>
              </w:rPr>
            </w:pPr>
            <w:r w:rsidRPr="007C0298">
              <w:rPr>
                <w:rFonts w:cs="Arial"/>
                <w:b/>
                <w:color w:val="000000"/>
              </w:rPr>
              <w:t xml:space="preserve"> Question 9b: </w:t>
            </w:r>
            <w:r w:rsidRPr="007C0298">
              <w:rPr>
                <w:rFonts w:cs="Arial"/>
                <w:color w:val="000000"/>
              </w:rPr>
              <w:t>201</w:t>
            </w:r>
            <w:r w:rsidR="00BC7D99">
              <w:rPr>
                <w:rFonts w:cs="Arial"/>
                <w:color w:val="000000"/>
              </w:rPr>
              <w:t>8</w:t>
            </w:r>
            <w:r w:rsidRPr="007C0298">
              <w:rPr>
                <w:rFonts w:cs="Arial"/>
                <w:color w:val="000000"/>
              </w:rPr>
              <w:t xml:space="preserve"> </w:t>
            </w:r>
            <w:r w:rsidR="00BC7D99">
              <w:rPr>
                <w:rFonts w:cs="Arial"/>
                <w:color w:val="000000"/>
              </w:rPr>
              <w:t>Total number of responses (</w:t>
            </w:r>
            <w:r w:rsidR="00BC7D99">
              <w:rPr>
                <w:i/>
              </w:rPr>
              <w:t>Yes/</w:t>
            </w:r>
            <w:r w:rsidR="00BC7D99" w:rsidRPr="007C0298">
              <w:rPr>
                <w:i/>
              </w:rPr>
              <w:t>No</w:t>
            </w:r>
            <w:r w:rsidR="00BC7D99">
              <w:t>)</w:t>
            </w:r>
            <w:r w:rsidRPr="007C0298">
              <w:rPr>
                <w:rFonts w:cs="Arial"/>
                <w:b/>
                <w:color w:val="000000"/>
              </w:rPr>
              <w:t>Question 9c:</w:t>
            </w:r>
            <w:r w:rsidRPr="007C0298">
              <w:rPr>
                <w:rFonts w:cs="Arial"/>
                <w:color w:val="000000"/>
              </w:rPr>
              <w:t xml:space="preserve"> 201</w:t>
            </w:r>
            <w:r w:rsidR="00BC7D99">
              <w:rPr>
                <w:rFonts w:cs="Arial"/>
                <w:color w:val="000000"/>
              </w:rPr>
              <w:t>8</w:t>
            </w:r>
            <w:r w:rsidRPr="007C0298">
              <w:rPr>
                <w:rFonts w:cs="Arial"/>
                <w:color w:val="000000"/>
              </w:rPr>
              <w:t xml:space="preserve"> </w:t>
            </w:r>
            <w:r w:rsidR="00BC7D99">
              <w:rPr>
                <w:rFonts w:cs="Arial"/>
                <w:color w:val="000000"/>
              </w:rPr>
              <w:t>Total number of responses (</w:t>
            </w:r>
            <w:r w:rsidR="00BC7D99">
              <w:rPr>
                <w:i/>
              </w:rPr>
              <w:t>Yes/</w:t>
            </w:r>
            <w:r w:rsidR="00BC7D99" w:rsidRPr="007C0298">
              <w:rPr>
                <w:i/>
              </w:rPr>
              <w:t>No</w:t>
            </w:r>
            <w:r w:rsidR="00BC7D99">
              <w:t>)</w:t>
            </w:r>
          </w:p>
        </w:tc>
      </w:tr>
      <w:tr w:rsidR="008A4E55" w:rsidTr="00770155">
        <w:tc>
          <w:tcPr>
            <w:tcW w:w="2836" w:type="dxa"/>
          </w:tcPr>
          <w:p w:rsidR="008A4E55" w:rsidRPr="009962CF" w:rsidRDefault="00132EFE" w:rsidP="00CB65F3">
            <w:pPr>
              <w:rPr>
                <w:b/>
                <w:lang w:val="en-US"/>
              </w:rPr>
            </w:pPr>
            <w:r w:rsidRPr="009962CF">
              <w:rPr>
                <w:rFonts w:cs="Arial"/>
                <w:b/>
                <w:color w:val="000000"/>
              </w:rPr>
              <w:t>Rationale for inclusion</w:t>
            </w:r>
          </w:p>
        </w:tc>
        <w:tc>
          <w:tcPr>
            <w:tcW w:w="6520" w:type="dxa"/>
          </w:tcPr>
          <w:p w:rsidR="00F03BEF" w:rsidRDefault="00F03BEF" w:rsidP="00F03BEF">
            <w:r>
              <w:t xml:space="preserve">The Health &amp; Wellbeing CQUIN introduced in 2016 encourages providers to improve their role as an employer in looking after </w:t>
            </w:r>
            <w:proofErr w:type="gramStart"/>
            <w:r>
              <w:t>employees</w:t>
            </w:r>
            <w:proofErr w:type="gramEnd"/>
            <w:r>
              <w:t xml:space="preserve"> health and wellbeing. Part of this scheme provided the o</w:t>
            </w:r>
            <w:r w:rsidRPr="009F6929">
              <w:t>pt</w:t>
            </w:r>
            <w:r>
              <w:t>ion to introduce schemes focussing on mental health, physical activity and MSK –many of which are being introduced during the second half of 2016-17. The focus of this element of the CQUIN will shift from the introduction of schemes to measuring the impact that staff perceive from the changes – via improvements to the health and wellbeing questions within the NHS staff survey.</w:t>
            </w:r>
          </w:p>
          <w:p w:rsidR="00F03BEF" w:rsidRDefault="00F03BEF" w:rsidP="00F03BEF"/>
          <w:p w:rsidR="00F03BEF" w:rsidRDefault="00F03BEF" w:rsidP="00F03BEF">
            <w:r>
              <w:t xml:space="preserve">Estimates from Public Health England put the cost to the </w:t>
            </w:r>
            <w:r>
              <w:lastRenderedPageBreak/>
              <w:t>NHS of staff absence due to poor health at £2.4bn a year – around £1 in every £40 of the total budget. This figure excludes the cost of agency staff to fill in gaps, as well as the cost of treatment. As well as the economic benefits that could be achieved, evidence from the staff survey and elsewhere shows that improving staff health and wellbeing will lead to higher staff engagement, better staff retention and better clinical outcomes for patients.</w:t>
            </w:r>
          </w:p>
          <w:p w:rsidR="00F03BEF" w:rsidRDefault="00F03BEF" w:rsidP="00F03BEF"/>
          <w:p w:rsidR="008A4E55" w:rsidRPr="007C0298" w:rsidRDefault="00F03BEF" w:rsidP="00F03BEF">
            <w:r>
              <w:t>The Five Year Forward View made a commitment ‘to ensure the NHS as an employer sets a national example in the support it offers its own staff to stay healthy’. A key part of improving health and wellbeing for staff is giving them the opportunity to access schemes and initiatives that promote physical activity, provide them with mental health support and rapid access to physiotherapy where required. The role of board and clinical leadership in creating an environment where health and wellbeing of staff is actively promoted and encouraged.</w:t>
            </w:r>
          </w:p>
        </w:tc>
      </w:tr>
      <w:tr w:rsidR="008A4E55" w:rsidTr="00770155">
        <w:tc>
          <w:tcPr>
            <w:tcW w:w="2836" w:type="dxa"/>
          </w:tcPr>
          <w:p w:rsidR="008A4E55" w:rsidRPr="009962CF" w:rsidRDefault="00132EFE" w:rsidP="00CB65F3">
            <w:pPr>
              <w:rPr>
                <w:b/>
                <w:lang w:val="en-US"/>
              </w:rPr>
            </w:pPr>
            <w:r w:rsidRPr="009962CF">
              <w:rPr>
                <w:rFonts w:cs="Arial"/>
                <w:b/>
                <w:color w:val="000000"/>
              </w:rPr>
              <w:lastRenderedPageBreak/>
              <w:t>Data source</w:t>
            </w:r>
          </w:p>
        </w:tc>
        <w:tc>
          <w:tcPr>
            <w:tcW w:w="6520" w:type="dxa"/>
          </w:tcPr>
          <w:p w:rsidR="007C0298" w:rsidRPr="007C0298" w:rsidRDefault="007C0298" w:rsidP="007C0298">
            <w:r w:rsidRPr="007C0298">
              <w:t>The  NHS Annual Staff survey</w:t>
            </w:r>
          </w:p>
          <w:p w:rsidR="007C0298" w:rsidRPr="007C0298" w:rsidRDefault="007C0298" w:rsidP="007C0298"/>
          <w:p w:rsidR="007C0298" w:rsidRPr="007C0298" w:rsidRDefault="007C0298" w:rsidP="007C0298">
            <w:r w:rsidRPr="007C0298">
              <w:rPr>
                <w:b/>
              </w:rPr>
              <w:t>Question 9a</w:t>
            </w:r>
            <w:r w:rsidRPr="007C0298">
              <w:t xml:space="preserve">: Does your organisation take positive action on health and well-being? </w:t>
            </w:r>
            <w:r w:rsidRPr="007C0298">
              <w:rPr>
                <w:i/>
              </w:rPr>
              <w:t>Yes, definitely/ Yes, to some extent/ No</w:t>
            </w:r>
            <w:r w:rsidRPr="007C0298">
              <w:t xml:space="preserve"> response.</w:t>
            </w:r>
          </w:p>
          <w:p w:rsidR="007C0298" w:rsidRPr="007C0298" w:rsidRDefault="007C0298" w:rsidP="007C0298">
            <w:r w:rsidRPr="007C0298">
              <w:rPr>
                <w:b/>
              </w:rPr>
              <w:t xml:space="preserve">Question 9b: </w:t>
            </w:r>
            <w:r w:rsidRPr="007C0298">
              <w:t xml:space="preserve">In the last 12 months have you experienced musculoskeletal problems (MSK) as a result of work activities? </w:t>
            </w:r>
            <w:r w:rsidRPr="007C0298">
              <w:rPr>
                <w:i/>
              </w:rPr>
              <w:t>Yes/No</w:t>
            </w:r>
            <w:r w:rsidRPr="007C0298">
              <w:t xml:space="preserve"> response.</w:t>
            </w:r>
          </w:p>
          <w:p w:rsidR="008A4E55" w:rsidRDefault="007C0298" w:rsidP="007C0298">
            <w:pPr>
              <w:rPr>
                <w:lang w:val="en-US"/>
              </w:rPr>
            </w:pPr>
            <w:r w:rsidRPr="007C0298">
              <w:rPr>
                <w:b/>
              </w:rPr>
              <w:t>Question 9c:</w:t>
            </w:r>
            <w:r w:rsidRPr="007C0298">
              <w:t xml:space="preserve"> During the last 12 months have you felt unwell as a result of work related stress? </w:t>
            </w:r>
            <w:r w:rsidRPr="007C0298">
              <w:rPr>
                <w:i/>
              </w:rPr>
              <w:t>Yes/No</w:t>
            </w:r>
            <w:r w:rsidRPr="007C0298">
              <w:t xml:space="preserve"> response.</w:t>
            </w:r>
          </w:p>
        </w:tc>
      </w:tr>
      <w:tr w:rsidR="008A4E55" w:rsidTr="00770155">
        <w:tc>
          <w:tcPr>
            <w:tcW w:w="2836" w:type="dxa"/>
          </w:tcPr>
          <w:p w:rsidR="008A4E55" w:rsidRPr="009962CF" w:rsidRDefault="00D11826" w:rsidP="00CB65F3">
            <w:pPr>
              <w:rPr>
                <w:b/>
                <w:lang w:val="en-US"/>
              </w:rPr>
            </w:pPr>
            <w:r w:rsidRPr="009962CF">
              <w:rPr>
                <w:rFonts w:cs="Arial"/>
                <w:b/>
                <w:color w:val="000000"/>
              </w:rPr>
              <w:t>Frequency of data collection</w:t>
            </w:r>
          </w:p>
        </w:tc>
        <w:tc>
          <w:tcPr>
            <w:tcW w:w="6520" w:type="dxa"/>
          </w:tcPr>
          <w:p w:rsidR="008A4E55" w:rsidRDefault="00D11826" w:rsidP="00CB65F3">
            <w:pPr>
              <w:rPr>
                <w:lang w:val="en-US"/>
              </w:rPr>
            </w:pPr>
            <w:r w:rsidRPr="00D11826">
              <w:rPr>
                <w:lang w:val="en-US"/>
              </w:rPr>
              <w:t>Annual release of staff survey results</w:t>
            </w:r>
          </w:p>
        </w:tc>
      </w:tr>
      <w:tr w:rsidR="00D11826" w:rsidTr="00770155">
        <w:tc>
          <w:tcPr>
            <w:tcW w:w="2836" w:type="dxa"/>
          </w:tcPr>
          <w:p w:rsidR="00D11826" w:rsidRPr="009962CF" w:rsidRDefault="00D11826" w:rsidP="00D11826">
            <w:pPr>
              <w:rPr>
                <w:b/>
                <w:lang w:val="en-US"/>
              </w:rPr>
            </w:pPr>
            <w:r w:rsidRPr="009962CF">
              <w:rPr>
                <w:rFonts w:cs="Arial"/>
                <w:b/>
                <w:color w:val="000000"/>
              </w:rPr>
              <w:t>Organisation responsible for data collection</w:t>
            </w:r>
          </w:p>
        </w:tc>
        <w:tc>
          <w:tcPr>
            <w:tcW w:w="6520" w:type="dxa"/>
          </w:tcPr>
          <w:p w:rsidR="00D11826" w:rsidRDefault="00D11826" w:rsidP="00D11826">
            <w:pPr>
              <w:rPr>
                <w:lang w:val="en-US"/>
              </w:rPr>
            </w:pPr>
            <w:r w:rsidRPr="004B2EED">
              <w:rPr>
                <w:rFonts w:cs="Arial"/>
                <w:color w:val="000000"/>
              </w:rPr>
              <w:t>National NHS staff survey co-ordination centre</w:t>
            </w:r>
          </w:p>
        </w:tc>
      </w:tr>
      <w:tr w:rsidR="00D11826" w:rsidTr="00770155">
        <w:tc>
          <w:tcPr>
            <w:tcW w:w="2836" w:type="dxa"/>
          </w:tcPr>
          <w:p w:rsidR="00D11826" w:rsidRPr="009962CF" w:rsidRDefault="00D11826" w:rsidP="00CB65F3">
            <w:pPr>
              <w:rPr>
                <w:b/>
                <w:lang w:val="en-US"/>
              </w:rPr>
            </w:pPr>
            <w:r w:rsidRPr="009962CF">
              <w:rPr>
                <w:b/>
              </w:rPr>
              <w:t>Frequency of reporting to commissioner</w:t>
            </w:r>
          </w:p>
        </w:tc>
        <w:tc>
          <w:tcPr>
            <w:tcW w:w="6520" w:type="dxa"/>
          </w:tcPr>
          <w:p w:rsidR="00D11826" w:rsidRDefault="007C0298" w:rsidP="00CB65F3">
            <w:pPr>
              <w:rPr>
                <w:lang w:val="en-US"/>
              </w:rPr>
            </w:pPr>
            <w:r w:rsidRPr="007C0298">
              <w:t>On the publication of 2017 (year 1) &amp; 2018 (year 2) staff survey – expected to be released in February 2018 &amp; 2019 respectively</w:t>
            </w:r>
          </w:p>
        </w:tc>
      </w:tr>
      <w:tr w:rsidR="00D11826" w:rsidTr="00770155">
        <w:tc>
          <w:tcPr>
            <w:tcW w:w="2836" w:type="dxa"/>
          </w:tcPr>
          <w:p w:rsidR="00D11826" w:rsidRPr="009962CF" w:rsidRDefault="00D11826" w:rsidP="00CB65F3">
            <w:pPr>
              <w:rPr>
                <w:b/>
                <w:lang w:val="en-US"/>
              </w:rPr>
            </w:pPr>
            <w:r w:rsidRPr="009962CF">
              <w:rPr>
                <w:b/>
              </w:rPr>
              <w:t>Baseline period/date</w:t>
            </w:r>
          </w:p>
        </w:tc>
        <w:tc>
          <w:tcPr>
            <w:tcW w:w="6520" w:type="dxa"/>
          </w:tcPr>
          <w:p w:rsidR="0042572A" w:rsidRPr="0042572A" w:rsidRDefault="0042572A" w:rsidP="0042572A">
            <w:r w:rsidRPr="0042572A">
              <w:t>Year 1</w:t>
            </w:r>
            <w:r w:rsidR="002035D1">
              <w:t xml:space="preserve"> </w:t>
            </w:r>
            <w:r w:rsidRPr="0042572A">
              <w:t>- 2015 staff survey – released in 2016</w:t>
            </w:r>
          </w:p>
          <w:p w:rsidR="00D11826" w:rsidRDefault="0042572A" w:rsidP="0042572A">
            <w:pPr>
              <w:rPr>
                <w:lang w:val="en-US"/>
              </w:rPr>
            </w:pPr>
            <w:r w:rsidRPr="0042572A">
              <w:t>Year 2 – 2016 staff survey- released in 2017</w:t>
            </w:r>
            <w:r>
              <w:t xml:space="preserve"> </w:t>
            </w:r>
          </w:p>
        </w:tc>
      </w:tr>
      <w:tr w:rsidR="00D11826" w:rsidTr="00770155">
        <w:tc>
          <w:tcPr>
            <w:tcW w:w="2836" w:type="dxa"/>
          </w:tcPr>
          <w:p w:rsidR="00D11826" w:rsidRPr="009962CF" w:rsidRDefault="00D11826" w:rsidP="00D11826">
            <w:pPr>
              <w:rPr>
                <w:b/>
                <w:lang w:val="en-US"/>
              </w:rPr>
            </w:pPr>
            <w:r w:rsidRPr="009962CF">
              <w:rPr>
                <w:rFonts w:cs="Arial"/>
                <w:b/>
                <w:color w:val="000000"/>
              </w:rPr>
              <w:t>Baseline value</w:t>
            </w:r>
          </w:p>
        </w:tc>
        <w:tc>
          <w:tcPr>
            <w:tcW w:w="6520" w:type="dxa"/>
          </w:tcPr>
          <w:p w:rsidR="00D11826" w:rsidRDefault="00D11826" w:rsidP="00D11826">
            <w:pPr>
              <w:rPr>
                <w:lang w:val="en-US"/>
              </w:rPr>
            </w:pPr>
            <w:r w:rsidRPr="004B2EED">
              <w:rPr>
                <w:rFonts w:cs="Arial"/>
                <w:color w:val="000000"/>
              </w:rPr>
              <w:t>Individual trust performance aga</w:t>
            </w:r>
            <w:r>
              <w:rPr>
                <w:rFonts w:cs="Arial"/>
                <w:color w:val="000000"/>
              </w:rPr>
              <w:t>inst each staff survey question</w:t>
            </w:r>
          </w:p>
        </w:tc>
      </w:tr>
      <w:tr w:rsidR="00D11826" w:rsidTr="00770155">
        <w:tc>
          <w:tcPr>
            <w:tcW w:w="2836" w:type="dxa"/>
          </w:tcPr>
          <w:p w:rsidR="00D11826" w:rsidRPr="009962CF" w:rsidRDefault="00D11826" w:rsidP="00CB65F3">
            <w:pPr>
              <w:rPr>
                <w:b/>
                <w:lang w:val="en-US"/>
              </w:rPr>
            </w:pPr>
            <w:r w:rsidRPr="009962CF">
              <w:rPr>
                <w:b/>
              </w:rPr>
              <w:t>Final indicator period/date (on which payment is based)</w:t>
            </w:r>
          </w:p>
        </w:tc>
        <w:tc>
          <w:tcPr>
            <w:tcW w:w="6520" w:type="dxa"/>
          </w:tcPr>
          <w:p w:rsidR="007C0298" w:rsidRPr="007C0298" w:rsidRDefault="007C0298" w:rsidP="007C0298">
            <w:r w:rsidRPr="007C0298">
              <w:t>Year 1 -</w:t>
            </w:r>
            <w:r w:rsidR="002035D1">
              <w:t xml:space="preserve"> </w:t>
            </w:r>
            <w:r w:rsidRPr="007C0298">
              <w:t>Quarter 4, 2017/18</w:t>
            </w:r>
          </w:p>
          <w:p w:rsidR="00D11826" w:rsidRDefault="007C0298" w:rsidP="007C0298">
            <w:pPr>
              <w:rPr>
                <w:lang w:val="en-US"/>
              </w:rPr>
            </w:pPr>
            <w:r w:rsidRPr="007C0298">
              <w:t>Year 2 – Quarter 4 2018/19</w:t>
            </w:r>
          </w:p>
        </w:tc>
      </w:tr>
      <w:tr w:rsidR="00D11826" w:rsidTr="00770155">
        <w:tc>
          <w:tcPr>
            <w:tcW w:w="2836" w:type="dxa"/>
          </w:tcPr>
          <w:p w:rsidR="00D11826" w:rsidRPr="009962CF" w:rsidRDefault="00D11826" w:rsidP="00CB65F3">
            <w:pPr>
              <w:rPr>
                <w:b/>
                <w:lang w:val="en-US"/>
              </w:rPr>
            </w:pPr>
            <w:r w:rsidRPr="009962CF">
              <w:rPr>
                <w:b/>
              </w:rPr>
              <w:t>Final indicator value (payment threshold)</w:t>
            </w:r>
          </w:p>
        </w:tc>
        <w:tc>
          <w:tcPr>
            <w:tcW w:w="6520" w:type="dxa"/>
          </w:tcPr>
          <w:p w:rsidR="00D11826" w:rsidRDefault="00D11826" w:rsidP="005A133C">
            <w:pPr>
              <w:rPr>
                <w:lang w:val="en-US"/>
              </w:rPr>
            </w:pPr>
            <w:r w:rsidRPr="00A77A38">
              <w:t>Achievement of the 5</w:t>
            </w:r>
            <w:r w:rsidRPr="00AD69B8">
              <w:t xml:space="preserve">% </w:t>
            </w:r>
            <w:r w:rsidR="00952B5B" w:rsidRPr="00AD69B8">
              <w:t>point</w:t>
            </w:r>
            <w:r w:rsidR="0042572A" w:rsidRPr="00AD69B8">
              <w:t xml:space="preserve"> </w:t>
            </w:r>
            <w:r w:rsidRPr="00AD69B8">
              <w:t>improvement</w:t>
            </w:r>
            <w:r w:rsidRPr="00A77A38">
              <w:t xml:space="preserve"> in 2 of the 3 questions in the staff survey results</w:t>
            </w:r>
          </w:p>
        </w:tc>
      </w:tr>
      <w:tr w:rsidR="00D11826" w:rsidTr="00770155">
        <w:tc>
          <w:tcPr>
            <w:tcW w:w="2836" w:type="dxa"/>
          </w:tcPr>
          <w:p w:rsidR="00D11826" w:rsidRPr="009962CF" w:rsidRDefault="00D11826" w:rsidP="00CB65F3">
            <w:pPr>
              <w:rPr>
                <w:b/>
                <w:lang w:val="en-US"/>
              </w:rPr>
            </w:pPr>
            <w:r w:rsidRPr="009962CF">
              <w:rPr>
                <w:b/>
              </w:rPr>
              <w:t>Final indicator reporting date</w:t>
            </w:r>
          </w:p>
        </w:tc>
        <w:tc>
          <w:tcPr>
            <w:tcW w:w="6520" w:type="dxa"/>
          </w:tcPr>
          <w:p w:rsidR="007C0298" w:rsidRPr="007C0298" w:rsidRDefault="007C0298" w:rsidP="007C0298">
            <w:r w:rsidRPr="007C0298">
              <w:t>Year 1</w:t>
            </w:r>
            <w:r w:rsidR="005A133C">
              <w:t xml:space="preserve"> </w:t>
            </w:r>
            <w:r w:rsidR="005A133C" w:rsidRPr="007C0298">
              <w:t>–</w:t>
            </w:r>
            <w:r w:rsidRPr="007C0298">
              <w:t xml:space="preserve"> Publication of 2017 staff survey – expected in February 2018</w:t>
            </w:r>
          </w:p>
          <w:p w:rsidR="00D11826" w:rsidRDefault="007C0298" w:rsidP="007C0298">
            <w:pPr>
              <w:rPr>
                <w:lang w:val="en-US"/>
              </w:rPr>
            </w:pPr>
            <w:r w:rsidRPr="007C0298">
              <w:lastRenderedPageBreak/>
              <w:t>Year 2 – Publication of 2018 staff survey – expected in February 2019</w:t>
            </w:r>
          </w:p>
        </w:tc>
      </w:tr>
      <w:tr w:rsidR="00D11826" w:rsidTr="00770155">
        <w:tc>
          <w:tcPr>
            <w:tcW w:w="2836" w:type="dxa"/>
          </w:tcPr>
          <w:p w:rsidR="00D11826" w:rsidRPr="009962CF" w:rsidRDefault="00D11826" w:rsidP="00CB65F3">
            <w:pPr>
              <w:rPr>
                <w:b/>
                <w:lang w:val="en-US"/>
              </w:rPr>
            </w:pPr>
            <w:r w:rsidRPr="009962CF">
              <w:rPr>
                <w:b/>
              </w:rPr>
              <w:lastRenderedPageBreak/>
              <w:t>Are there rules for any agreed in-year milestones that result in payment?</w:t>
            </w:r>
          </w:p>
        </w:tc>
        <w:tc>
          <w:tcPr>
            <w:tcW w:w="6520" w:type="dxa"/>
          </w:tcPr>
          <w:p w:rsidR="00D11826" w:rsidRDefault="00D11826" w:rsidP="00CB65F3">
            <w:pPr>
              <w:rPr>
                <w:lang w:val="en-US"/>
              </w:rPr>
            </w:pPr>
            <w:r w:rsidRPr="00384DBC">
              <w:t>N/A</w:t>
            </w:r>
          </w:p>
        </w:tc>
      </w:tr>
      <w:tr w:rsidR="00D11826" w:rsidTr="00770155">
        <w:tc>
          <w:tcPr>
            <w:tcW w:w="2836" w:type="dxa"/>
          </w:tcPr>
          <w:p w:rsidR="00D11826" w:rsidRPr="009962CF" w:rsidRDefault="00D11826" w:rsidP="00CB65F3">
            <w:pPr>
              <w:rPr>
                <w:b/>
                <w:lang w:val="en-US"/>
              </w:rPr>
            </w:pPr>
            <w:r w:rsidRPr="009962CF">
              <w:rPr>
                <w:b/>
              </w:rPr>
              <w:t>Are there any rules for partial achievement of the indicator at the final indicator period/date?</w:t>
            </w:r>
          </w:p>
        </w:tc>
        <w:tc>
          <w:tcPr>
            <w:tcW w:w="6520" w:type="dxa"/>
          </w:tcPr>
          <w:p w:rsidR="00D11826" w:rsidRDefault="00D11826" w:rsidP="00CB65F3">
            <w:pPr>
              <w:rPr>
                <w:lang w:val="en-US"/>
              </w:rPr>
            </w:pPr>
            <w:r w:rsidRPr="00E97576">
              <w:t>Yes</w:t>
            </w:r>
          </w:p>
        </w:tc>
      </w:tr>
    </w:tbl>
    <w:p w:rsidR="008A4E55" w:rsidRPr="00CB65F3" w:rsidRDefault="008A4E55" w:rsidP="00CB65F3">
      <w:pPr>
        <w:rPr>
          <w:lang w:val="en-US"/>
        </w:rPr>
      </w:pPr>
    </w:p>
    <w:p w:rsidR="0030134B" w:rsidRDefault="0030134B" w:rsidP="005F5665">
      <w:pPr>
        <w:pStyle w:val="Heading4"/>
        <w:rPr>
          <w:lang w:eastAsia="en-GB"/>
        </w:rPr>
      </w:pPr>
      <w:bookmarkStart w:id="7" w:name="_Toc461714464"/>
      <w:bookmarkStart w:id="8" w:name="_Toc462224315"/>
      <w:bookmarkStart w:id="9" w:name="_Toc462303907"/>
      <w:r w:rsidRPr="0030134B">
        <w:rPr>
          <w:lang w:eastAsia="en-GB"/>
        </w:rPr>
        <w:t>Rules for partial achievement</w:t>
      </w:r>
      <w:bookmarkEnd w:id="7"/>
      <w:bookmarkEnd w:id="8"/>
      <w:bookmarkEnd w:id="9"/>
      <w:r w:rsidRPr="0030134B">
        <w:rPr>
          <w:lang w:eastAsia="en-GB"/>
        </w:rPr>
        <w:t xml:space="preserve"> of </w:t>
      </w:r>
      <w:r w:rsidR="005261F1">
        <w:rPr>
          <w:lang w:eastAsia="en-GB"/>
        </w:rPr>
        <w:t>indicator</w:t>
      </w:r>
      <w:r w:rsidRPr="0030134B">
        <w:rPr>
          <w:lang w:eastAsia="en-GB"/>
        </w:rPr>
        <w:t xml:space="preserve"> 1a</w:t>
      </w:r>
    </w:p>
    <w:p w:rsidR="005F5665" w:rsidRPr="005F5665" w:rsidRDefault="005F5665" w:rsidP="005F5665">
      <w:pPr>
        <w:rPr>
          <w:lang w:eastAsia="en-GB"/>
        </w:rPr>
      </w:pPr>
    </w:p>
    <w:p w:rsidR="007C0298" w:rsidRPr="007C0298" w:rsidRDefault="007C0298" w:rsidP="007C0298">
      <w:pPr>
        <w:rPr>
          <w:rFonts w:cs="Arial"/>
          <w:lang w:eastAsia="en-GB"/>
        </w:rPr>
      </w:pPr>
      <w:r w:rsidRPr="007C0298">
        <w:rPr>
          <w:rFonts w:cs="Arial"/>
          <w:lang w:eastAsia="en-GB"/>
        </w:rPr>
        <w:t xml:space="preserve">The partial </w:t>
      </w:r>
      <w:r w:rsidRPr="00AD69B8">
        <w:rPr>
          <w:rFonts w:cs="Arial"/>
          <w:lang w:eastAsia="en-GB"/>
        </w:rPr>
        <w:t xml:space="preserve">payment structure below will be applied to each question individually. For instance, a 5% </w:t>
      </w:r>
      <w:r w:rsidR="00952B5B" w:rsidRPr="00AD69B8">
        <w:rPr>
          <w:rFonts w:cs="Arial"/>
          <w:bCs w:val="0"/>
          <w:lang w:eastAsia="en-GB"/>
        </w:rPr>
        <w:t xml:space="preserve">point </w:t>
      </w:r>
      <w:r w:rsidRPr="00AD69B8">
        <w:rPr>
          <w:rFonts w:cs="Arial"/>
          <w:lang w:eastAsia="en-GB"/>
        </w:rPr>
        <w:t>improvement</w:t>
      </w:r>
      <w:r w:rsidRPr="007C0298">
        <w:rPr>
          <w:rFonts w:cs="Arial"/>
          <w:lang w:eastAsia="en-GB"/>
        </w:rPr>
        <w:t xml:space="preserve"> in question 9a and a 3% improvement in 9b would result in 75% payment of this indicator calculated by:</w:t>
      </w:r>
    </w:p>
    <w:p w:rsidR="007C0298" w:rsidRPr="007C0298" w:rsidRDefault="007C0298" w:rsidP="007C0298">
      <w:pPr>
        <w:rPr>
          <w:rFonts w:cs="Arial"/>
          <w:lang w:eastAsia="en-GB"/>
        </w:rPr>
      </w:pPr>
    </w:p>
    <w:p w:rsidR="007C0298" w:rsidRPr="007C0298" w:rsidRDefault="007C0298" w:rsidP="007C0298">
      <w:pPr>
        <w:numPr>
          <w:ilvl w:val="0"/>
          <w:numId w:val="6"/>
        </w:numPr>
        <w:rPr>
          <w:rFonts w:cs="Arial"/>
          <w:lang w:eastAsia="en-GB"/>
        </w:rPr>
      </w:pPr>
      <w:r w:rsidRPr="007C0298">
        <w:rPr>
          <w:rFonts w:cs="Arial"/>
          <w:lang w:eastAsia="en-GB"/>
        </w:rPr>
        <w:t>Q</w:t>
      </w:r>
      <w:r w:rsidR="002035D1">
        <w:rPr>
          <w:rFonts w:cs="Arial"/>
          <w:lang w:eastAsia="en-GB"/>
        </w:rPr>
        <w:t>uestio</w:t>
      </w:r>
      <w:r w:rsidRPr="007C0298">
        <w:rPr>
          <w:rFonts w:cs="Arial"/>
          <w:lang w:eastAsia="en-GB"/>
        </w:rPr>
        <w:t>n 9a – 50% indicator weighting x 100% payment for achieving 5% improvement = 50%</w:t>
      </w:r>
    </w:p>
    <w:p w:rsidR="007C0298" w:rsidRPr="007C0298" w:rsidRDefault="007C0298" w:rsidP="007C0298">
      <w:pPr>
        <w:numPr>
          <w:ilvl w:val="0"/>
          <w:numId w:val="6"/>
        </w:numPr>
        <w:rPr>
          <w:rFonts w:cs="Arial"/>
          <w:lang w:eastAsia="en-GB"/>
        </w:rPr>
      </w:pPr>
      <w:r w:rsidRPr="007C0298">
        <w:rPr>
          <w:rFonts w:cs="Arial"/>
          <w:lang w:eastAsia="en-GB"/>
        </w:rPr>
        <w:t>Q</w:t>
      </w:r>
      <w:r w:rsidR="002035D1">
        <w:rPr>
          <w:rFonts w:cs="Arial"/>
          <w:lang w:eastAsia="en-GB"/>
        </w:rPr>
        <w:t>uestio</w:t>
      </w:r>
      <w:r w:rsidRPr="007C0298">
        <w:rPr>
          <w:rFonts w:cs="Arial"/>
          <w:lang w:eastAsia="en-GB"/>
        </w:rPr>
        <w:t>n</w:t>
      </w:r>
      <w:r w:rsidR="005A133C">
        <w:rPr>
          <w:rFonts w:cs="Arial"/>
          <w:lang w:eastAsia="en-GB"/>
        </w:rPr>
        <w:t xml:space="preserve"> </w:t>
      </w:r>
      <w:r w:rsidRPr="007C0298">
        <w:rPr>
          <w:rFonts w:cs="Arial"/>
          <w:lang w:eastAsia="en-GB"/>
        </w:rPr>
        <w:t>9b – 50% indicator weighting x 50% payment for achieving 3% improvement = 25%</w:t>
      </w:r>
    </w:p>
    <w:p w:rsidR="007C0298" w:rsidRPr="007C0298" w:rsidRDefault="007C0298" w:rsidP="007C0298">
      <w:pPr>
        <w:rPr>
          <w:rFonts w:cs="Arial"/>
          <w:b/>
          <w:lang w:eastAsia="en-GB"/>
        </w:rPr>
      </w:pPr>
    </w:p>
    <w:p w:rsidR="007C0298" w:rsidRPr="007C0298" w:rsidRDefault="007C0298" w:rsidP="007C0298">
      <w:pPr>
        <w:rPr>
          <w:rFonts w:cs="Arial"/>
          <w:b/>
          <w:lang w:eastAsia="en-GB"/>
        </w:rPr>
      </w:pPr>
      <w:r w:rsidRPr="007C0298">
        <w:rPr>
          <w:rFonts w:cs="Arial"/>
          <w:b/>
          <w:lang w:eastAsia="en-GB"/>
        </w:rPr>
        <w:t>Total = 50%+25% = 75%</w:t>
      </w:r>
    </w:p>
    <w:p w:rsidR="0030134B" w:rsidRDefault="0030134B">
      <w:pPr>
        <w:rPr>
          <w:rFonts w:cs="Arial"/>
          <w:b/>
          <w:lang w:eastAsia="en-GB"/>
        </w:rPr>
      </w:pPr>
    </w:p>
    <w:tbl>
      <w:tblPr>
        <w:tblW w:w="9101" w:type="dxa"/>
        <w:tblInd w:w="108" w:type="dxa"/>
        <w:tblLook w:val="0000" w:firstRow="0" w:lastRow="0" w:firstColumn="0" w:lastColumn="0" w:noHBand="0" w:noVBand="0"/>
      </w:tblPr>
      <w:tblGrid>
        <w:gridCol w:w="4124"/>
        <w:gridCol w:w="4977"/>
      </w:tblGrid>
      <w:tr w:rsidR="0030134B" w:rsidRPr="0030134B" w:rsidTr="00CB65F3">
        <w:trPr>
          <w:trHeight w:val="718"/>
          <w:tblHeader/>
        </w:trPr>
        <w:tc>
          <w:tcPr>
            <w:tcW w:w="4124" w:type="dxa"/>
            <w:tcBorders>
              <w:top w:val="single" w:sz="4" w:space="0" w:color="auto"/>
              <w:left w:val="single" w:sz="4" w:space="0" w:color="auto"/>
              <w:bottom w:val="single" w:sz="4" w:space="0" w:color="auto"/>
              <w:right w:val="nil"/>
            </w:tcBorders>
            <w:shd w:val="clear" w:color="auto" w:fill="0070C0"/>
            <w:noWrap/>
          </w:tcPr>
          <w:p w:rsidR="0030134B" w:rsidRPr="0030134B" w:rsidRDefault="0030134B" w:rsidP="0030134B">
            <w:pPr>
              <w:rPr>
                <w:rFonts w:cs="Arial"/>
                <w:b/>
                <w:color w:val="FFFFFF" w:themeColor="background1"/>
                <w:lang w:eastAsia="en-GB"/>
              </w:rPr>
            </w:pPr>
            <w:r w:rsidRPr="0030134B">
              <w:rPr>
                <w:rFonts w:cs="Arial"/>
                <w:b/>
                <w:color w:val="FFFFFF" w:themeColor="background1"/>
                <w:lang w:eastAsia="en-GB"/>
              </w:rPr>
              <w:t>Final indicator value for the partial achievement threshold</w:t>
            </w:r>
          </w:p>
        </w:tc>
        <w:tc>
          <w:tcPr>
            <w:tcW w:w="4977" w:type="dxa"/>
            <w:tcBorders>
              <w:top w:val="single" w:sz="4" w:space="0" w:color="auto"/>
              <w:left w:val="single" w:sz="4" w:space="0" w:color="auto"/>
              <w:bottom w:val="single" w:sz="4" w:space="0" w:color="auto"/>
              <w:right w:val="single" w:sz="4" w:space="0" w:color="auto"/>
            </w:tcBorders>
            <w:shd w:val="clear" w:color="auto" w:fill="0070C0"/>
          </w:tcPr>
          <w:p w:rsidR="0030134B" w:rsidRPr="0030134B" w:rsidRDefault="0030134B" w:rsidP="0030134B">
            <w:pPr>
              <w:rPr>
                <w:rFonts w:cs="Arial"/>
                <w:b/>
                <w:color w:val="FFFFFF" w:themeColor="background1"/>
                <w:lang w:eastAsia="en-GB"/>
              </w:rPr>
            </w:pPr>
            <w:r w:rsidRPr="0030134B">
              <w:rPr>
                <w:rFonts w:cs="Arial"/>
                <w:b/>
                <w:color w:val="FFFFFF" w:themeColor="background1"/>
                <w:lang w:eastAsia="en-GB"/>
              </w:rPr>
              <w:t>% of CQUIN scheme available for meeting final indicator value</w:t>
            </w:r>
          </w:p>
        </w:tc>
      </w:tr>
      <w:tr w:rsidR="0030134B" w:rsidRPr="0030134B" w:rsidTr="00CB65F3">
        <w:trPr>
          <w:trHeight w:val="357"/>
        </w:trPr>
        <w:tc>
          <w:tcPr>
            <w:tcW w:w="4124" w:type="dxa"/>
            <w:tcBorders>
              <w:top w:val="nil"/>
              <w:left w:val="single" w:sz="4" w:space="0" w:color="auto"/>
              <w:bottom w:val="single" w:sz="4" w:space="0" w:color="auto"/>
              <w:right w:val="nil"/>
            </w:tcBorders>
          </w:tcPr>
          <w:p w:rsidR="0030134B" w:rsidRPr="00AD69B8" w:rsidRDefault="0030134B" w:rsidP="0030134B">
            <w:pPr>
              <w:rPr>
                <w:rFonts w:cs="Arial"/>
                <w:bCs w:val="0"/>
                <w:lang w:eastAsia="en-GB"/>
              </w:rPr>
            </w:pPr>
            <w:r w:rsidRPr="00AD69B8">
              <w:rPr>
                <w:rFonts w:cs="Arial"/>
                <w:lang w:eastAsia="en-GB"/>
              </w:rPr>
              <w:t xml:space="preserve">Less than 3% </w:t>
            </w:r>
            <w:r w:rsidR="00952B5B" w:rsidRPr="00AD69B8">
              <w:rPr>
                <w:rFonts w:cs="Arial"/>
                <w:bCs w:val="0"/>
                <w:lang w:eastAsia="en-GB"/>
              </w:rPr>
              <w:t xml:space="preserve">point </w:t>
            </w:r>
            <w:r w:rsidRPr="00AD69B8">
              <w:rPr>
                <w:rFonts w:cs="Arial"/>
                <w:lang w:eastAsia="en-GB"/>
              </w:rPr>
              <w:t>improvement</w:t>
            </w:r>
          </w:p>
        </w:tc>
        <w:tc>
          <w:tcPr>
            <w:tcW w:w="4977" w:type="dxa"/>
            <w:tcBorders>
              <w:top w:val="nil"/>
              <w:left w:val="single" w:sz="4" w:space="0" w:color="auto"/>
              <w:bottom w:val="single" w:sz="4" w:space="0" w:color="auto"/>
              <w:right w:val="single" w:sz="4" w:space="0" w:color="auto"/>
            </w:tcBorders>
          </w:tcPr>
          <w:p w:rsidR="0030134B" w:rsidRPr="0030134B" w:rsidRDefault="0030134B" w:rsidP="0030134B">
            <w:pPr>
              <w:rPr>
                <w:rFonts w:cs="Arial"/>
                <w:bCs w:val="0"/>
                <w:lang w:eastAsia="en-GB"/>
              </w:rPr>
            </w:pPr>
            <w:r w:rsidRPr="0030134B">
              <w:rPr>
                <w:rFonts w:cs="Arial"/>
                <w:lang w:eastAsia="en-GB"/>
              </w:rPr>
              <w:t>0% payment of weighting associated to staff survey results</w:t>
            </w:r>
          </w:p>
        </w:tc>
      </w:tr>
      <w:tr w:rsidR="0030134B" w:rsidRPr="0030134B" w:rsidTr="00CB65F3">
        <w:trPr>
          <w:trHeight w:val="357"/>
        </w:trPr>
        <w:tc>
          <w:tcPr>
            <w:tcW w:w="4124" w:type="dxa"/>
            <w:tcBorders>
              <w:top w:val="nil"/>
              <w:left w:val="single" w:sz="4" w:space="0" w:color="auto"/>
              <w:bottom w:val="single" w:sz="4" w:space="0" w:color="auto"/>
              <w:right w:val="nil"/>
            </w:tcBorders>
          </w:tcPr>
          <w:p w:rsidR="0030134B" w:rsidRPr="00AD69B8" w:rsidRDefault="0030134B" w:rsidP="0030134B">
            <w:pPr>
              <w:rPr>
                <w:rFonts w:cs="Arial"/>
                <w:b/>
                <w:bCs w:val="0"/>
              </w:rPr>
            </w:pPr>
            <w:r w:rsidRPr="00AD69B8">
              <w:rPr>
                <w:rFonts w:cs="Arial"/>
                <w:lang w:eastAsia="en-GB"/>
              </w:rPr>
              <w:t>3%</w:t>
            </w:r>
            <w:r w:rsidR="00D05782" w:rsidRPr="00AD69B8">
              <w:rPr>
                <w:rFonts w:cs="Arial"/>
                <w:lang w:eastAsia="en-GB"/>
              </w:rPr>
              <w:t xml:space="preserve"> </w:t>
            </w:r>
            <w:r w:rsidR="00D05782" w:rsidRPr="00AD69B8">
              <w:rPr>
                <w:rFonts w:cs="Arial"/>
                <w:bCs w:val="0"/>
                <w:lang w:eastAsia="en-GB"/>
              </w:rPr>
              <w:t xml:space="preserve">point </w:t>
            </w:r>
            <w:r w:rsidRPr="00AD69B8">
              <w:rPr>
                <w:rFonts w:cs="Arial"/>
                <w:lang w:eastAsia="en-GB"/>
              </w:rPr>
              <w:t xml:space="preserve">(or above) and less than 4% improvement </w:t>
            </w:r>
          </w:p>
        </w:tc>
        <w:tc>
          <w:tcPr>
            <w:tcW w:w="4977" w:type="dxa"/>
            <w:tcBorders>
              <w:top w:val="nil"/>
              <w:left w:val="single" w:sz="4" w:space="0" w:color="auto"/>
              <w:bottom w:val="single" w:sz="4" w:space="0" w:color="auto"/>
              <w:right w:val="single" w:sz="4" w:space="0" w:color="auto"/>
            </w:tcBorders>
          </w:tcPr>
          <w:p w:rsidR="0030134B" w:rsidRPr="0030134B" w:rsidRDefault="0030134B" w:rsidP="0030134B">
            <w:pPr>
              <w:rPr>
                <w:rFonts w:cs="Arial"/>
                <w:b/>
                <w:bCs w:val="0"/>
              </w:rPr>
            </w:pPr>
            <w:r w:rsidRPr="0030134B">
              <w:rPr>
                <w:rFonts w:cs="Arial"/>
                <w:lang w:eastAsia="en-GB"/>
              </w:rPr>
              <w:t>50% payment of weighting associated to staff survey results</w:t>
            </w:r>
          </w:p>
        </w:tc>
      </w:tr>
      <w:tr w:rsidR="0030134B" w:rsidRPr="0030134B" w:rsidTr="00CB65F3">
        <w:trPr>
          <w:trHeight w:val="357"/>
        </w:trPr>
        <w:tc>
          <w:tcPr>
            <w:tcW w:w="4124" w:type="dxa"/>
            <w:tcBorders>
              <w:top w:val="nil"/>
              <w:left w:val="single" w:sz="4" w:space="0" w:color="auto"/>
              <w:bottom w:val="single" w:sz="4" w:space="0" w:color="auto"/>
              <w:right w:val="nil"/>
            </w:tcBorders>
          </w:tcPr>
          <w:p w:rsidR="0030134B" w:rsidRPr="00AD69B8" w:rsidRDefault="0030134B" w:rsidP="0030134B">
            <w:pPr>
              <w:rPr>
                <w:rFonts w:cs="Arial"/>
                <w:b/>
                <w:bCs w:val="0"/>
              </w:rPr>
            </w:pPr>
            <w:r w:rsidRPr="00AD69B8">
              <w:rPr>
                <w:rFonts w:cs="Arial"/>
                <w:lang w:eastAsia="en-GB"/>
              </w:rPr>
              <w:t>4%</w:t>
            </w:r>
            <w:r w:rsidR="00D05782" w:rsidRPr="00AD69B8">
              <w:rPr>
                <w:rFonts w:cs="Arial"/>
                <w:lang w:eastAsia="en-GB"/>
              </w:rPr>
              <w:t xml:space="preserve"> </w:t>
            </w:r>
            <w:r w:rsidR="00D05782" w:rsidRPr="00AD69B8">
              <w:rPr>
                <w:rFonts w:cs="Arial"/>
                <w:bCs w:val="0"/>
                <w:lang w:eastAsia="en-GB"/>
              </w:rPr>
              <w:t xml:space="preserve">point </w:t>
            </w:r>
            <w:r w:rsidRPr="00AD69B8">
              <w:rPr>
                <w:rFonts w:cs="Arial"/>
                <w:lang w:eastAsia="en-GB"/>
              </w:rPr>
              <w:t xml:space="preserve">(or above) and less than 5% improvement </w:t>
            </w:r>
          </w:p>
        </w:tc>
        <w:tc>
          <w:tcPr>
            <w:tcW w:w="4977" w:type="dxa"/>
            <w:tcBorders>
              <w:top w:val="nil"/>
              <w:left w:val="single" w:sz="4" w:space="0" w:color="auto"/>
              <w:bottom w:val="single" w:sz="4" w:space="0" w:color="auto"/>
              <w:right w:val="single" w:sz="4" w:space="0" w:color="auto"/>
            </w:tcBorders>
          </w:tcPr>
          <w:p w:rsidR="0030134B" w:rsidRPr="0030134B" w:rsidRDefault="0030134B" w:rsidP="0030134B">
            <w:pPr>
              <w:rPr>
                <w:rFonts w:cs="Arial"/>
                <w:b/>
                <w:bCs w:val="0"/>
              </w:rPr>
            </w:pPr>
            <w:r w:rsidRPr="0030134B">
              <w:rPr>
                <w:rFonts w:cs="Arial"/>
                <w:lang w:eastAsia="en-GB"/>
              </w:rPr>
              <w:t>75% payment of weighting associated to staff survey results</w:t>
            </w:r>
          </w:p>
        </w:tc>
      </w:tr>
      <w:tr w:rsidR="0030134B" w:rsidRPr="0030134B" w:rsidTr="00CB65F3">
        <w:trPr>
          <w:trHeight w:val="357"/>
        </w:trPr>
        <w:tc>
          <w:tcPr>
            <w:tcW w:w="4124" w:type="dxa"/>
            <w:tcBorders>
              <w:top w:val="nil"/>
              <w:left w:val="single" w:sz="4" w:space="0" w:color="auto"/>
              <w:bottom w:val="single" w:sz="4" w:space="0" w:color="auto"/>
              <w:right w:val="nil"/>
            </w:tcBorders>
          </w:tcPr>
          <w:p w:rsidR="0030134B" w:rsidRPr="00AD69B8" w:rsidRDefault="0030134B" w:rsidP="0030134B">
            <w:pPr>
              <w:rPr>
                <w:rFonts w:cs="Arial"/>
                <w:bCs w:val="0"/>
              </w:rPr>
            </w:pPr>
            <w:r w:rsidRPr="00AD69B8">
              <w:rPr>
                <w:rFonts w:cs="Arial"/>
                <w:lang w:eastAsia="en-GB"/>
              </w:rPr>
              <w:t>5%</w:t>
            </w:r>
            <w:r w:rsidR="00D05782" w:rsidRPr="00AD69B8">
              <w:rPr>
                <w:rFonts w:cs="Arial"/>
                <w:bCs w:val="0"/>
                <w:lang w:eastAsia="en-GB"/>
              </w:rPr>
              <w:t xml:space="preserve"> point</w:t>
            </w:r>
            <w:r w:rsidRPr="00AD69B8">
              <w:rPr>
                <w:rFonts w:cs="Arial"/>
                <w:lang w:eastAsia="en-GB"/>
              </w:rPr>
              <w:t xml:space="preserve"> or greater improvement or achievement of uptake target </w:t>
            </w:r>
          </w:p>
        </w:tc>
        <w:tc>
          <w:tcPr>
            <w:tcW w:w="4977" w:type="dxa"/>
            <w:tcBorders>
              <w:top w:val="nil"/>
              <w:left w:val="single" w:sz="4" w:space="0" w:color="auto"/>
              <w:bottom w:val="single" w:sz="4" w:space="0" w:color="auto"/>
              <w:right w:val="single" w:sz="4" w:space="0" w:color="auto"/>
            </w:tcBorders>
          </w:tcPr>
          <w:p w:rsidR="0030134B" w:rsidRPr="0030134B" w:rsidRDefault="0030134B" w:rsidP="0030134B">
            <w:pPr>
              <w:rPr>
                <w:rFonts w:cs="Arial"/>
                <w:bCs w:val="0"/>
              </w:rPr>
            </w:pPr>
            <w:r w:rsidRPr="0030134B">
              <w:rPr>
                <w:rFonts w:cs="Arial"/>
                <w:lang w:eastAsia="en-GB"/>
              </w:rPr>
              <w:t>100% payment of weighting associated to staff survey results</w:t>
            </w:r>
          </w:p>
        </w:tc>
      </w:tr>
    </w:tbl>
    <w:p w:rsidR="0030134B" w:rsidRDefault="00D05782" w:rsidP="00AD69B8">
      <w:pPr>
        <w:rPr>
          <w:bCs w:val="0"/>
          <w:lang w:eastAsia="en-GB"/>
        </w:rPr>
      </w:pPr>
      <w:r>
        <w:rPr>
          <w:bCs w:val="0"/>
          <w:lang w:eastAsia="en-GB"/>
        </w:rPr>
        <w:br w:type="page"/>
      </w:r>
      <w:r w:rsidR="005F5665" w:rsidRPr="00FC6081">
        <w:rPr>
          <w:rFonts w:eastAsiaTheme="majorEastAsia" w:cstheme="majorBidi"/>
          <w:b/>
          <w:bCs w:val="0"/>
          <w:iCs/>
          <w:color w:val="A00054" w:themeColor="accent2"/>
        </w:rPr>
        <w:lastRenderedPageBreak/>
        <w:t>Indicator 1b Healthy food for NHS staff, visitors and patients</w:t>
      </w:r>
    </w:p>
    <w:p w:rsidR="005F5665" w:rsidRDefault="005F5665" w:rsidP="0030134B">
      <w:pPr>
        <w:rPr>
          <w:rFonts w:cs="Arial"/>
          <w:b/>
          <w:bCs w:val="0"/>
          <w:lang w:eastAsia="en-GB"/>
        </w:rPr>
      </w:pPr>
    </w:p>
    <w:tbl>
      <w:tblPr>
        <w:tblStyle w:val="TableGrid51"/>
        <w:tblW w:w="0" w:type="auto"/>
        <w:tblLook w:val="04A0" w:firstRow="1" w:lastRow="0" w:firstColumn="1" w:lastColumn="0" w:noHBand="0" w:noVBand="1"/>
        <w:tblCaption w:val="Indicator"/>
      </w:tblPr>
      <w:tblGrid>
        <w:gridCol w:w="2660"/>
        <w:gridCol w:w="6620"/>
      </w:tblGrid>
      <w:tr w:rsidR="005F5665" w:rsidRPr="005F5665" w:rsidTr="004363C2">
        <w:trPr>
          <w:tblHeader/>
        </w:trPr>
        <w:tc>
          <w:tcPr>
            <w:tcW w:w="9280" w:type="dxa"/>
            <w:gridSpan w:val="2"/>
            <w:shd w:val="clear" w:color="auto" w:fill="0070C0"/>
          </w:tcPr>
          <w:p w:rsidR="005F5665" w:rsidRPr="005F5665" w:rsidRDefault="005F5665" w:rsidP="00AD69B8">
            <w:pPr>
              <w:jc w:val="center"/>
            </w:pPr>
            <w:r w:rsidRPr="005F5665">
              <w:rPr>
                <w:rFonts w:cs="Arial"/>
                <w:b/>
                <w:color w:val="FFFFFF" w:themeColor="background1"/>
              </w:rPr>
              <w:t>Indicator</w:t>
            </w:r>
            <w:r>
              <w:rPr>
                <w:rFonts w:cs="Arial"/>
                <w:b/>
                <w:color w:val="FFFFFF" w:themeColor="background1"/>
              </w:rPr>
              <w:t xml:space="preserve"> 1b</w:t>
            </w:r>
          </w:p>
        </w:tc>
      </w:tr>
      <w:tr w:rsidR="005F5665" w:rsidRPr="005F5665" w:rsidTr="004363C2">
        <w:tc>
          <w:tcPr>
            <w:tcW w:w="2660" w:type="dxa"/>
          </w:tcPr>
          <w:p w:rsidR="005F5665" w:rsidRPr="009962CF" w:rsidRDefault="005F5665" w:rsidP="005F5665">
            <w:pPr>
              <w:rPr>
                <w:b/>
              </w:rPr>
            </w:pPr>
            <w:r w:rsidRPr="009962CF">
              <w:rPr>
                <w:rFonts w:cs="Arial"/>
                <w:b/>
                <w:color w:val="000000"/>
              </w:rPr>
              <w:t>Indicator name</w:t>
            </w:r>
          </w:p>
        </w:tc>
        <w:tc>
          <w:tcPr>
            <w:tcW w:w="6620" w:type="dxa"/>
          </w:tcPr>
          <w:p w:rsidR="005F5665" w:rsidRPr="005F5665" w:rsidRDefault="005F5665" w:rsidP="005F5665">
            <w:r w:rsidRPr="005F5665">
              <w:t>Indicator 1b: Healthy food for NHS staff, visitors and patients</w:t>
            </w:r>
          </w:p>
        </w:tc>
      </w:tr>
      <w:tr w:rsidR="005F5665" w:rsidRPr="005F5665" w:rsidTr="004363C2">
        <w:tc>
          <w:tcPr>
            <w:tcW w:w="2660" w:type="dxa"/>
          </w:tcPr>
          <w:p w:rsidR="005F5665" w:rsidRPr="009962CF" w:rsidRDefault="005F5665" w:rsidP="005F5665">
            <w:pPr>
              <w:rPr>
                <w:b/>
              </w:rPr>
            </w:pPr>
            <w:r w:rsidRPr="009962CF">
              <w:rPr>
                <w:rFonts w:cs="Arial"/>
                <w:b/>
                <w:color w:val="000000"/>
              </w:rPr>
              <w:t xml:space="preserve">Indicator weighting </w:t>
            </w:r>
            <w:r w:rsidRPr="009962CF">
              <w:rPr>
                <w:rFonts w:cs="Arial"/>
                <w:b/>
                <w:color w:val="000000"/>
              </w:rPr>
              <w:br/>
              <w:t>(% of CQUIN scheme available)</w:t>
            </w:r>
          </w:p>
        </w:tc>
        <w:tc>
          <w:tcPr>
            <w:tcW w:w="6620" w:type="dxa"/>
          </w:tcPr>
          <w:p w:rsidR="005F5665" w:rsidRPr="005F5665" w:rsidRDefault="005F5665" w:rsidP="005F5665">
            <w:pPr>
              <w:rPr>
                <w:rFonts w:cs="Arial"/>
                <w:bCs w:val="0"/>
                <w:color w:val="000000"/>
              </w:rPr>
            </w:pPr>
            <w:r w:rsidRPr="005F5665">
              <w:rPr>
                <w:rFonts w:cs="Arial"/>
                <w:color w:val="000000"/>
              </w:rPr>
              <w:t>33.3% of 0.</w:t>
            </w:r>
            <w:r w:rsidRPr="00AD69B8">
              <w:rPr>
                <w:rFonts w:cs="Arial"/>
                <w:color w:val="000000"/>
              </w:rPr>
              <w:t>25% (0.08</w:t>
            </w:r>
            <w:r w:rsidR="007335AA" w:rsidRPr="00AD69B8">
              <w:rPr>
                <w:rFonts w:cs="Arial"/>
                <w:color w:val="000000"/>
              </w:rPr>
              <w:t>33</w:t>
            </w:r>
            <w:r w:rsidR="007914AB" w:rsidRPr="00AD69B8">
              <w:rPr>
                <w:rFonts w:cs="Arial"/>
                <w:color w:val="000000"/>
              </w:rPr>
              <w:t>%</w:t>
            </w:r>
            <w:r w:rsidRPr="00AD69B8">
              <w:rPr>
                <w:rFonts w:cs="Arial"/>
                <w:color w:val="000000"/>
              </w:rPr>
              <w:t>)</w:t>
            </w:r>
          </w:p>
        </w:tc>
      </w:tr>
      <w:tr w:rsidR="005F5665" w:rsidRPr="005F5665" w:rsidTr="004363C2">
        <w:tc>
          <w:tcPr>
            <w:tcW w:w="2660" w:type="dxa"/>
          </w:tcPr>
          <w:p w:rsidR="005F5665" w:rsidRPr="009962CF" w:rsidRDefault="005F5665" w:rsidP="005F5665">
            <w:pPr>
              <w:rPr>
                <w:b/>
              </w:rPr>
            </w:pPr>
            <w:r w:rsidRPr="009962CF">
              <w:rPr>
                <w:rFonts w:cs="Arial"/>
                <w:b/>
                <w:color w:val="000000"/>
              </w:rPr>
              <w:t>Description of indicator</w:t>
            </w:r>
          </w:p>
        </w:tc>
        <w:tc>
          <w:tcPr>
            <w:tcW w:w="6620" w:type="dxa"/>
          </w:tcPr>
          <w:p w:rsidR="00EC02B9" w:rsidRPr="005A133C" w:rsidRDefault="00EC02B9" w:rsidP="005A133C">
            <w:pPr>
              <w:keepNext/>
              <w:contextualSpacing/>
              <w:rPr>
                <w:rFonts w:cs="Arial"/>
              </w:rPr>
            </w:pPr>
            <w:r w:rsidRPr="005A133C">
              <w:rPr>
                <w:rFonts w:cs="Arial"/>
              </w:rPr>
              <w:t>Providers will be expected to build on the 2016/17 CQUIN by:</w:t>
            </w:r>
          </w:p>
          <w:p w:rsidR="00EC02B9" w:rsidRDefault="00EC02B9" w:rsidP="00EC02B9">
            <w:pPr>
              <w:keepNext/>
              <w:contextualSpacing/>
              <w:rPr>
                <w:rFonts w:cs="Arial"/>
              </w:rPr>
            </w:pPr>
          </w:p>
          <w:p w:rsidR="00EC02B9" w:rsidRPr="001E190F" w:rsidRDefault="00EC02B9" w:rsidP="00EC02B9">
            <w:pPr>
              <w:keepNext/>
              <w:rPr>
                <w:rFonts w:cs="Arial"/>
              </w:rPr>
            </w:pPr>
            <w:r>
              <w:rPr>
                <w:rFonts w:cs="Arial"/>
              </w:rPr>
              <w:t>Firstly, m</w:t>
            </w:r>
            <w:r w:rsidRPr="001E190F">
              <w:rPr>
                <w:rFonts w:cs="Arial"/>
              </w:rPr>
              <w:t>aintaining the four changes that were required in the 2016/17 CQUIN in both 2017/18 &amp; 2018/19</w:t>
            </w:r>
          </w:p>
          <w:p w:rsidR="00EC02B9" w:rsidRPr="001E190F" w:rsidRDefault="00EC02B9" w:rsidP="00EC02B9">
            <w:pPr>
              <w:pStyle w:val="ListParagraph"/>
              <w:keepNext/>
              <w:rPr>
                <w:rFonts w:eastAsia="HGSMinchoE" w:cs="Arial"/>
                <w:szCs w:val="24"/>
              </w:rPr>
            </w:pPr>
          </w:p>
          <w:p w:rsidR="00EC02B9" w:rsidRPr="008A5601" w:rsidRDefault="00EC02B9" w:rsidP="00EC02B9">
            <w:pPr>
              <w:numPr>
                <w:ilvl w:val="0"/>
                <w:numId w:val="7"/>
              </w:numPr>
              <w:autoSpaceDE w:val="0"/>
              <w:autoSpaceDN w:val="0"/>
              <w:adjustRightInd w:val="0"/>
              <w:rPr>
                <w:rFonts w:ascii="Calibri" w:hAnsi="Calibri" w:cs="Calibri"/>
                <w:color w:val="000000"/>
              </w:rPr>
            </w:pPr>
            <w:r w:rsidRPr="00F7405A">
              <w:rPr>
                <w:rFonts w:cs="Arial"/>
                <w:color w:val="000000"/>
              </w:rPr>
              <w:t>The banning of price promotions</w:t>
            </w:r>
            <w:r w:rsidRPr="00F7405A">
              <w:rPr>
                <w:rFonts w:cs="Arial"/>
                <w:b/>
                <w:color w:val="000000"/>
              </w:rPr>
              <w:t xml:space="preserve"> </w:t>
            </w:r>
            <w:r w:rsidRPr="00F7405A">
              <w:rPr>
                <w:rFonts w:cs="Arial"/>
              </w:rPr>
              <w:t>on sugary drinks a</w:t>
            </w:r>
            <w:r>
              <w:rPr>
                <w:rFonts w:cs="Arial"/>
              </w:rPr>
              <w:t xml:space="preserve">nd foods high in fat, sugar or </w:t>
            </w:r>
            <w:r w:rsidRPr="00F7405A">
              <w:rPr>
                <w:rFonts w:cs="Arial"/>
              </w:rPr>
              <w:t>salt (HFSS)</w:t>
            </w:r>
            <w:r w:rsidR="00EB33AA">
              <w:rPr>
                <w:rStyle w:val="FootnoteReference"/>
                <w:rFonts w:cs="Arial"/>
              </w:rPr>
              <w:footnoteReference w:id="1"/>
            </w:r>
            <w:r w:rsidRPr="00F7405A">
              <w:rPr>
                <w:rFonts w:cs="Arial"/>
              </w:rPr>
              <w:t>.</w:t>
            </w:r>
          </w:p>
          <w:p w:rsidR="00EC02B9" w:rsidRDefault="00EC02B9" w:rsidP="00EC02B9">
            <w:pPr>
              <w:autoSpaceDE w:val="0"/>
              <w:autoSpaceDN w:val="0"/>
              <w:adjustRightInd w:val="0"/>
              <w:rPr>
                <w:rFonts w:cs="Arial"/>
              </w:rPr>
            </w:pPr>
            <w:r>
              <w:rPr>
                <w:rFonts w:cs="Arial"/>
              </w:rPr>
              <w:t>The following are common definitions and examples of price promotions:</w:t>
            </w:r>
          </w:p>
          <w:p w:rsidR="00EC02B9" w:rsidRPr="007778D3" w:rsidRDefault="00EC02B9" w:rsidP="00DF18AB">
            <w:pPr>
              <w:pStyle w:val="ListParagraph"/>
              <w:numPr>
                <w:ilvl w:val="2"/>
                <w:numId w:val="65"/>
              </w:numPr>
            </w:pPr>
            <w:r>
              <w:t>Discounted price: p</w:t>
            </w:r>
            <w:r w:rsidRPr="007778D3">
              <w:t>roviding the same quantity of a product for a reduced price (pence off deal)</w:t>
            </w:r>
            <w:r>
              <w:t>;</w:t>
            </w:r>
          </w:p>
          <w:p w:rsidR="00EC02B9" w:rsidRPr="007778D3" w:rsidRDefault="00EC02B9" w:rsidP="00DF18AB">
            <w:pPr>
              <w:pStyle w:val="ListParagraph"/>
              <w:numPr>
                <w:ilvl w:val="2"/>
                <w:numId w:val="65"/>
              </w:numPr>
            </w:pPr>
            <w:r>
              <w:t>Multi-buy discounting: for example b</w:t>
            </w:r>
            <w:r w:rsidRPr="007778D3">
              <w:t xml:space="preserve">uy </w:t>
            </w:r>
            <w:r>
              <w:rPr>
                <w:b/>
              </w:rPr>
              <w:t>one</w:t>
            </w:r>
            <w:r w:rsidRPr="007778D3">
              <w:rPr>
                <w:b/>
              </w:rPr>
              <w:t xml:space="preserve"> </w:t>
            </w:r>
            <w:r w:rsidRPr="007778D3">
              <w:t xml:space="preserve">get </w:t>
            </w:r>
            <w:r>
              <w:rPr>
                <w:b/>
              </w:rPr>
              <w:t>one</w:t>
            </w:r>
            <w:r w:rsidRPr="007778D3">
              <w:rPr>
                <w:b/>
              </w:rPr>
              <w:t xml:space="preserve"> </w:t>
            </w:r>
            <w:r w:rsidRPr="007778D3">
              <w:t>free</w:t>
            </w:r>
            <w:r>
              <w:t>;</w:t>
            </w:r>
          </w:p>
          <w:p w:rsidR="00EC02B9" w:rsidRPr="007778D3" w:rsidRDefault="00EC02B9" w:rsidP="00DF18AB">
            <w:pPr>
              <w:pStyle w:val="ListParagraph"/>
              <w:numPr>
                <w:ilvl w:val="2"/>
                <w:numId w:val="65"/>
              </w:numPr>
            </w:pPr>
            <w:r w:rsidRPr="007778D3">
              <w:t>Free item provided with a purchase (whereby the free item cannot be a product classified as HFSS)</w:t>
            </w:r>
            <w:r>
              <w:t>;</w:t>
            </w:r>
          </w:p>
          <w:p w:rsidR="00EC02B9" w:rsidRPr="007778D3" w:rsidRDefault="00EC02B9" w:rsidP="00DF18AB">
            <w:pPr>
              <w:pStyle w:val="ListParagraph"/>
              <w:numPr>
                <w:ilvl w:val="2"/>
                <w:numId w:val="65"/>
              </w:numPr>
            </w:pPr>
            <w:r w:rsidRPr="007778D3">
              <w:t>Price pack or bonus pack deal (for example 50% for free)</w:t>
            </w:r>
            <w:r>
              <w:t>; and</w:t>
            </w:r>
          </w:p>
          <w:p w:rsidR="00EC02B9" w:rsidRPr="007778D3" w:rsidRDefault="00EC02B9" w:rsidP="00DF18AB">
            <w:pPr>
              <w:pStyle w:val="ListParagraph"/>
              <w:numPr>
                <w:ilvl w:val="2"/>
                <w:numId w:val="65"/>
              </w:numPr>
            </w:pPr>
            <w:r w:rsidRPr="007778D3">
              <w:t>Meal deals (</w:t>
            </w:r>
            <w:r>
              <w:t>In 2016/17 this only applied to drinks sold in meal deals. In 2017/18 onwards no HFSS products will be able to be sold through meal deals</w:t>
            </w:r>
            <w:r w:rsidRPr="007778D3">
              <w:t>)</w:t>
            </w:r>
            <w:r>
              <w:t>.</w:t>
            </w:r>
            <w:r w:rsidRPr="007778D3">
              <w:t xml:space="preserve"> </w:t>
            </w:r>
          </w:p>
          <w:p w:rsidR="00EC02B9" w:rsidRPr="00F7405A" w:rsidRDefault="00EC02B9" w:rsidP="00EC02B9">
            <w:pPr>
              <w:autoSpaceDE w:val="0"/>
              <w:autoSpaceDN w:val="0"/>
              <w:adjustRightInd w:val="0"/>
              <w:rPr>
                <w:rFonts w:ascii="Calibri" w:hAnsi="Calibri" w:cs="Calibri"/>
                <w:color w:val="000000"/>
              </w:rPr>
            </w:pPr>
          </w:p>
          <w:p w:rsidR="00EC02B9" w:rsidRPr="001E190F" w:rsidRDefault="00EC02B9" w:rsidP="00EC02B9">
            <w:pPr>
              <w:numPr>
                <w:ilvl w:val="0"/>
                <w:numId w:val="7"/>
              </w:numPr>
              <w:contextualSpacing/>
              <w:rPr>
                <w:rFonts w:cs="Arial"/>
              </w:rPr>
            </w:pPr>
            <w:r w:rsidRPr="00F7405A">
              <w:rPr>
                <w:rFonts w:cs="Arial"/>
              </w:rPr>
              <w:t>The banning of advertisement</w:t>
            </w:r>
            <w:r w:rsidR="00114E58">
              <w:rPr>
                <w:rFonts w:cs="Arial"/>
              </w:rPr>
              <w:t>s</w:t>
            </w:r>
            <w:r w:rsidRPr="00F7405A">
              <w:rPr>
                <w:rFonts w:cs="Arial"/>
              </w:rPr>
              <w:t xml:space="preserve"> on NHS premises of sugary drinks </w:t>
            </w:r>
            <w:r>
              <w:rPr>
                <w:rFonts w:cs="Arial"/>
              </w:rPr>
              <w:t>and foods high in fat, sugar or</w:t>
            </w:r>
            <w:r w:rsidRPr="00F7405A">
              <w:rPr>
                <w:rFonts w:cs="Arial"/>
              </w:rPr>
              <w:t xml:space="preserve"> salt (HFSS); </w:t>
            </w:r>
          </w:p>
          <w:p w:rsidR="00EC02B9" w:rsidRDefault="00EC02B9" w:rsidP="00EC02B9">
            <w:pPr>
              <w:contextualSpacing/>
              <w:rPr>
                <w:rFonts w:cs="Arial"/>
              </w:rPr>
            </w:pPr>
            <w:r>
              <w:rPr>
                <w:rFonts w:cs="Arial"/>
              </w:rPr>
              <w:t xml:space="preserve">The following are common definitions and examples of </w:t>
            </w:r>
            <w:r w:rsidR="00114E58" w:rsidRPr="00F7405A">
              <w:rPr>
                <w:rFonts w:cs="Arial"/>
              </w:rPr>
              <w:t>advertisement</w:t>
            </w:r>
            <w:r w:rsidR="00114E58">
              <w:rPr>
                <w:rFonts w:cs="Arial"/>
              </w:rPr>
              <w:t>s</w:t>
            </w:r>
            <w:r>
              <w:rPr>
                <w:rFonts w:cs="Arial"/>
              </w:rPr>
              <w:t>:</w:t>
            </w:r>
          </w:p>
          <w:p w:rsidR="00EC02B9" w:rsidRPr="007778D3" w:rsidRDefault="00EC02B9" w:rsidP="00DF18AB">
            <w:pPr>
              <w:numPr>
                <w:ilvl w:val="1"/>
                <w:numId w:val="66"/>
              </w:numPr>
            </w:pPr>
            <w:r w:rsidRPr="007778D3">
              <w:t>Checkout counter dividers</w:t>
            </w:r>
          </w:p>
          <w:p w:rsidR="00EC02B9" w:rsidRPr="007778D3" w:rsidRDefault="00EC02B9" w:rsidP="00DF18AB">
            <w:pPr>
              <w:numPr>
                <w:ilvl w:val="1"/>
                <w:numId w:val="66"/>
              </w:numPr>
            </w:pPr>
            <w:r w:rsidRPr="007778D3">
              <w:t>Floor graphics</w:t>
            </w:r>
          </w:p>
          <w:p w:rsidR="00EC02B9" w:rsidRPr="007778D3" w:rsidRDefault="00EC02B9" w:rsidP="00DF18AB">
            <w:pPr>
              <w:numPr>
                <w:ilvl w:val="1"/>
                <w:numId w:val="66"/>
              </w:numPr>
            </w:pPr>
            <w:r w:rsidRPr="007778D3">
              <w:t>End of aisle signage</w:t>
            </w:r>
          </w:p>
          <w:p w:rsidR="00EC02B9" w:rsidRPr="001E190F" w:rsidRDefault="00EC02B9" w:rsidP="00DF18AB">
            <w:pPr>
              <w:numPr>
                <w:ilvl w:val="1"/>
                <w:numId w:val="66"/>
              </w:numPr>
            </w:pPr>
            <w:r w:rsidRPr="007778D3">
              <w:t>Posters and banners</w:t>
            </w:r>
          </w:p>
          <w:p w:rsidR="00EC02B9" w:rsidRDefault="00EC02B9" w:rsidP="00EC02B9">
            <w:pPr>
              <w:numPr>
                <w:ilvl w:val="0"/>
                <w:numId w:val="7"/>
              </w:numPr>
              <w:contextualSpacing/>
              <w:rPr>
                <w:rFonts w:cs="Arial"/>
              </w:rPr>
            </w:pPr>
            <w:r w:rsidRPr="00F7405A">
              <w:rPr>
                <w:rFonts w:cs="Arial"/>
              </w:rPr>
              <w:t xml:space="preserve">The banning of sugary drinks and foods high in fat, sugar </w:t>
            </w:r>
            <w:r>
              <w:rPr>
                <w:rFonts w:cs="Arial"/>
              </w:rPr>
              <w:t>or</w:t>
            </w:r>
            <w:r w:rsidRPr="00F7405A">
              <w:rPr>
                <w:rFonts w:cs="Arial"/>
              </w:rPr>
              <w:t xml:space="preserve"> salt (HFSS) from checkouts;</w:t>
            </w:r>
          </w:p>
          <w:p w:rsidR="00EC02B9" w:rsidRDefault="00EC02B9" w:rsidP="00EC02B9">
            <w:pPr>
              <w:contextualSpacing/>
              <w:rPr>
                <w:rFonts w:cs="Arial"/>
              </w:rPr>
            </w:pPr>
            <w:r>
              <w:rPr>
                <w:rFonts w:cs="Arial"/>
              </w:rPr>
              <w:t>The following are common definitions and examples of checkouts;</w:t>
            </w:r>
          </w:p>
          <w:p w:rsidR="00EC02B9" w:rsidRPr="007778D3" w:rsidRDefault="00EC02B9" w:rsidP="00DF18AB">
            <w:pPr>
              <w:pStyle w:val="ListParagraph"/>
              <w:numPr>
                <w:ilvl w:val="0"/>
                <w:numId w:val="67"/>
              </w:numPr>
            </w:pPr>
            <w:r w:rsidRPr="007778D3">
              <w:lastRenderedPageBreak/>
              <w:t>Points of purcha</w:t>
            </w:r>
            <w:r>
              <w:t>se including checkouts and self-</w:t>
            </w:r>
            <w:r w:rsidRPr="007778D3">
              <w:t>checkouts</w:t>
            </w:r>
          </w:p>
          <w:p w:rsidR="00EC02B9" w:rsidRDefault="00EC02B9" w:rsidP="00DF18AB">
            <w:pPr>
              <w:pStyle w:val="ListParagraph"/>
              <w:numPr>
                <w:ilvl w:val="0"/>
                <w:numId w:val="67"/>
              </w:numPr>
            </w:pPr>
            <w:r w:rsidRPr="007778D3">
              <w:t>Areas immediately behind the checkout</w:t>
            </w:r>
          </w:p>
          <w:p w:rsidR="00EC02B9" w:rsidRDefault="00EC02B9" w:rsidP="00EC02B9">
            <w:pPr>
              <w:contextualSpacing/>
              <w:rPr>
                <w:rFonts w:cs="Arial"/>
              </w:rPr>
            </w:pPr>
            <w:r>
              <w:rPr>
                <w:rFonts w:cs="Arial"/>
              </w:rPr>
              <w:t>a</w:t>
            </w:r>
            <w:r w:rsidRPr="00F7405A">
              <w:rPr>
                <w:rFonts w:cs="Arial"/>
              </w:rPr>
              <w:t>nd</w:t>
            </w:r>
            <w:r>
              <w:rPr>
                <w:rFonts w:cs="Arial"/>
              </w:rPr>
              <w:t>;</w:t>
            </w:r>
            <w:r w:rsidRPr="00F7405A">
              <w:rPr>
                <w:rFonts w:cs="Arial"/>
              </w:rPr>
              <w:t xml:space="preserve"> </w:t>
            </w:r>
          </w:p>
          <w:p w:rsidR="00EC02B9" w:rsidRPr="00F7405A" w:rsidRDefault="00EC02B9" w:rsidP="00EC02B9">
            <w:pPr>
              <w:contextualSpacing/>
              <w:rPr>
                <w:rFonts w:cs="Arial"/>
              </w:rPr>
            </w:pPr>
          </w:p>
          <w:p w:rsidR="00EC02B9" w:rsidRPr="00F7405A" w:rsidRDefault="00EC02B9" w:rsidP="00EC02B9">
            <w:pPr>
              <w:numPr>
                <w:ilvl w:val="0"/>
                <w:numId w:val="7"/>
              </w:numPr>
              <w:contextualSpacing/>
              <w:rPr>
                <w:rFonts w:cs="Arial"/>
              </w:rPr>
            </w:pPr>
            <w:r w:rsidRPr="00F7405A">
              <w:rPr>
                <w:rFonts w:cs="Arial"/>
              </w:rPr>
              <w:t>Ensuring that healthy options are available at any point including for those staff working night shifts.</w:t>
            </w:r>
            <w:r>
              <w:rPr>
                <w:rFonts w:cs="Arial"/>
              </w:rPr>
              <w:t xml:space="preserve"> We will share best practice examples and will work nationally with food suppliers throughout the next year to help develop a set of solutions to tackle this issue.</w:t>
            </w:r>
          </w:p>
          <w:p w:rsidR="00EC02B9" w:rsidRPr="00F7405A" w:rsidRDefault="00EC02B9" w:rsidP="00EC02B9">
            <w:pPr>
              <w:rPr>
                <w:rFonts w:cs="Arial"/>
              </w:rPr>
            </w:pPr>
          </w:p>
          <w:p w:rsidR="00EC02B9" w:rsidRPr="001E190F" w:rsidRDefault="00EC02B9" w:rsidP="00EC02B9">
            <w:pPr>
              <w:keepNext/>
              <w:rPr>
                <w:color w:val="000000" w:themeColor="text1"/>
              </w:rPr>
            </w:pPr>
            <w:r>
              <w:rPr>
                <w:color w:val="000000" w:themeColor="text1"/>
              </w:rPr>
              <w:t>Secondly, i</w:t>
            </w:r>
            <w:r w:rsidRPr="001E190F">
              <w:rPr>
                <w:color w:val="000000" w:themeColor="text1"/>
              </w:rPr>
              <w:t>ntroducing three new changes to food and drink provision:</w:t>
            </w:r>
          </w:p>
          <w:p w:rsidR="00EC02B9" w:rsidRDefault="00EC02B9" w:rsidP="00EC02B9">
            <w:pPr>
              <w:keepNext/>
              <w:rPr>
                <w:color w:val="000000" w:themeColor="text1"/>
              </w:rPr>
            </w:pPr>
          </w:p>
          <w:p w:rsidR="00EC02B9" w:rsidRPr="005A133C" w:rsidRDefault="00EC02B9" w:rsidP="00EC02B9">
            <w:pPr>
              <w:keepNext/>
              <w:rPr>
                <w:color w:val="000000" w:themeColor="text1"/>
              </w:rPr>
            </w:pPr>
            <w:r w:rsidRPr="005A133C">
              <w:rPr>
                <w:color w:val="000000" w:themeColor="text1"/>
              </w:rPr>
              <w:t>In Year One (2017/18)</w:t>
            </w:r>
          </w:p>
          <w:p w:rsidR="00EC02B9" w:rsidRPr="005A133C" w:rsidRDefault="00EC02B9" w:rsidP="00EC02B9">
            <w:pPr>
              <w:keepNext/>
              <w:rPr>
                <w:color w:val="000000" w:themeColor="text1"/>
              </w:rPr>
            </w:pPr>
          </w:p>
          <w:p w:rsidR="00EC02B9" w:rsidRPr="005A133C" w:rsidRDefault="00EC02B9" w:rsidP="00DF18AB">
            <w:pPr>
              <w:pStyle w:val="ListParagraph"/>
              <w:keepNext/>
              <w:numPr>
                <w:ilvl w:val="0"/>
                <w:numId w:val="115"/>
              </w:numPr>
              <w:tabs>
                <w:tab w:val="left" w:pos="1026"/>
              </w:tabs>
              <w:rPr>
                <w:color w:val="000000" w:themeColor="text1"/>
              </w:rPr>
            </w:pPr>
            <w:r w:rsidRPr="005A133C">
              <w:rPr>
                <w:color w:val="000000" w:themeColor="text1"/>
              </w:rPr>
              <w:t xml:space="preserve">70% of drinks lines stocked must be sugar free (less than 5 grams of sugar per 100ml). In addition to the usual definition of SSBs it also includes energy drinks, fruit juices (with added sugar content of over 5g) and milk based drinks (with sugar content of over 10grams per 100ml).  </w:t>
            </w:r>
          </w:p>
          <w:p w:rsidR="00EC02B9" w:rsidRPr="005A133C" w:rsidRDefault="00EC02B9" w:rsidP="00EC02B9">
            <w:pPr>
              <w:pStyle w:val="ListParagraph"/>
              <w:keepNext/>
              <w:tabs>
                <w:tab w:val="left" w:pos="1026"/>
              </w:tabs>
              <w:ind w:left="1451"/>
              <w:rPr>
                <w:color w:val="000000" w:themeColor="text1"/>
              </w:rPr>
            </w:pPr>
          </w:p>
          <w:p w:rsidR="00EC02B9" w:rsidRPr="005A133C" w:rsidRDefault="00EC02B9" w:rsidP="00DF18AB">
            <w:pPr>
              <w:pStyle w:val="ListParagraph"/>
              <w:keepNext/>
              <w:numPr>
                <w:ilvl w:val="0"/>
                <w:numId w:val="115"/>
              </w:numPr>
              <w:tabs>
                <w:tab w:val="left" w:pos="1026"/>
              </w:tabs>
              <w:rPr>
                <w:color w:val="000000" w:themeColor="text1"/>
              </w:rPr>
            </w:pPr>
            <w:r w:rsidRPr="005A133C">
              <w:rPr>
                <w:color w:val="000000" w:themeColor="text1"/>
              </w:rPr>
              <w:t xml:space="preserve">60% of confectionery and sweets do not exceed 250 kcal. </w:t>
            </w:r>
          </w:p>
          <w:p w:rsidR="00EC02B9" w:rsidRPr="005A133C" w:rsidRDefault="00EC02B9" w:rsidP="00EC02B9">
            <w:pPr>
              <w:keepNext/>
              <w:tabs>
                <w:tab w:val="left" w:pos="1026"/>
              </w:tabs>
              <w:rPr>
                <w:color w:val="000000" w:themeColor="text1"/>
              </w:rPr>
            </w:pPr>
          </w:p>
          <w:p w:rsidR="00EC02B9" w:rsidRPr="005A133C" w:rsidRDefault="00EC02B9" w:rsidP="00DF18AB">
            <w:pPr>
              <w:pStyle w:val="ListParagraph"/>
              <w:keepNext/>
              <w:numPr>
                <w:ilvl w:val="0"/>
                <w:numId w:val="115"/>
              </w:numPr>
              <w:tabs>
                <w:tab w:val="left" w:pos="1026"/>
              </w:tabs>
              <w:rPr>
                <w:color w:val="000000" w:themeColor="text1"/>
              </w:rPr>
            </w:pPr>
            <w:r w:rsidRPr="005A133C">
              <w:rPr>
                <w:color w:val="000000" w:themeColor="text1"/>
              </w:rPr>
              <w:t>At least 60% of pre-packed sandwiches and other savoury pre-packed meals (wraps, salads, pasta salads) available contain 400kcal (1680 kJ) or less per serving and do not exceed 5.0g saturated fat per 100g</w:t>
            </w:r>
            <w:r w:rsidRPr="005A133C">
              <w:rPr>
                <w:color w:val="000000" w:themeColor="text1"/>
              </w:rPr>
              <w:footnoteReference w:id="2"/>
            </w:r>
          </w:p>
          <w:p w:rsidR="00EC02B9" w:rsidRPr="005A133C" w:rsidRDefault="00EC02B9" w:rsidP="000E28AE">
            <w:pPr>
              <w:rPr>
                <w:color w:val="000000" w:themeColor="text1"/>
              </w:rPr>
            </w:pPr>
          </w:p>
          <w:p w:rsidR="00EC02B9" w:rsidRPr="005A133C" w:rsidRDefault="00EC02B9" w:rsidP="00EC02B9">
            <w:pPr>
              <w:keepNext/>
              <w:tabs>
                <w:tab w:val="left" w:pos="1026"/>
              </w:tabs>
              <w:rPr>
                <w:color w:val="000000" w:themeColor="text1"/>
              </w:rPr>
            </w:pPr>
            <w:r w:rsidRPr="005A133C">
              <w:rPr>
                <w:color w:val="000000" w:themeColor="text1"/>
              </w:rPr>
              <w:t>In Year two (2018/19):</w:t>
            </w:r>
          </w:p>
          <w:p w:rsidR="00EC02B9" w:rsidRPr="005A133C" w:rsidRDefault="00EC02B9" w:rsidP="00EC02B9">
            <w:pPr>
              <w:keepNext/>
              <w:tabs>
                <w:tab w:val="left" w:pos="1026"/>
              </w:tabs>
              <w:rPr>
                <w:color w:val="000000" w:themeColor="text1"/>
              </w:rPr>
            </w:pPr>
            <w:r w:rsidRPr="005A133C">
              <w:rPr>
                <w:color w:val="000000" w:themeColor="text1"/>
              </w:rPr>
              <w:t>The same three areas will be kept but a further shift in percentages will be required</w:t>
            </w:r>
          </w:p>
          <w:p w:rsidR="00EC02B9" w:rsidRPr="005A133C" w:rsidRDefault="00EC02B9" w:rsidP="00EC02B9">
            <w:pPr>
              <w:keepNext/>
              <w:tabs>
                <w:tab w:val="left" w:pos="1026"/>
              </w:tabs>
              <w:rPr>
                <w:color w:val="000000" w:themeColor="text1"/>
              </w:rPr>
            </w:pPr>
          </w:p>
          <w:p w:rsidR="00EC02B9" w:rsidRPr="005A133C" w:rsidRDefault="00EC02B9" w:rsidP="00DF18AB">
            <w:pPr>
              <w:pStyle w:val="ListParagraph"/>
              <w:keepNext/>
              <w:numPr>
                <w:ilvl w:val="0"/>
                <w:numId w:val="116"/>
              </w:numPr>
              <w:tabs>
                <w:tab w:val="left" w:pos="1026"/>
              </w:tabs>
              <w:rPr>
                <w:color w:val="000000" w:themeColor="text1"/>
              </w:rPr>
            </w:pPr>
            <w:r w:rsidRPr="005A133C">
              <w:rPr>
                <w:color w:val="000000" w:themeColor="text1"/>
              </w:rPr>
              <w:t xml:space="preserve">80% of drinks lines stocked must be sugar free (less than 5 grams of sugar per 100ml). In addition to the usual definition of SSBs it also includes energy drinks, fruit juices (with added sugar content of over 5g) and milk based drinks (with sugar content of over 10grams per 100ml).  </w:t>
            </w:r>
          </w:p>
          <w:p w:rsidR="00EC02B9" w:rsidRPr="005A133C" w:rsidRDefault="00EC02B9" w:rsidP="00EC02B9">
            <w:pPr>
              <w:pStyle w:val="ListParagraph"/>
              <w:keepNext/>
              <w:tabs>
                <w:tab w:val="left" w:pos="1026"/>
              </w:tabs>
              <w:ind w:left="1451"/>
              <w:rPr>
                <w:color w:val="000000" w:themeColor="text1"/>
              </w:rPr>
            </w:pPr>
          </w:p>
          <w:p w:rsidR="00EC02B9" w:rsidRPr="005A133C" w:rsidRDefault="00EC02B9" w:rsidP="00DF18AB">
            <w:pPr>
              <w:pStyle w:val="ListParagraph"/>
              <w:keepNext/>
              <w:numPr>
                <w:ilvl w:val="0"/>
                <w:numId w:val="116"/>
              </w:numPr>
              <w:tabs>
                <w:tab w:val="left" w:pos="1026"/>
              </w:tabs>
              <w:rPr>
                <w:color w:val="000000" w:themeColor="text1"/>
              </w:rPr>
            </w:pPr>
            <w:r w:rsidRPr="005A133C">
              <w:rPr>
                <w:color w:val="000000" w:themeColor="text1"/>
              </w:rPr>
              <w:t xml:space="preserve">80% of confectionery and sweets do not exceed 250 kcal. </w:t>
            </w:r>
          </w:p>
          <w:p w:rsidR="00EC02B9" w:rsidRPr="005A133C" w:rsidRDefault="00EC02B9" w:rsidP="00EC02B9">
            <w:pPr>
              <w:keepNext/>
              <w:tabs>
                <w:tab w:val="left" w:pos="1026"/>
              </w:tabs>
              <w:rPr>
                <w:color w:val="000000" w:themeColor="text1"/>
              </w:rPr>
            </w:pPr>
          </w:p>
          <w:p w:rsidR="00EC02B9" w:rsidRPr="00437150" w:rsidRDefault="00EC02B9" w:rsidP="00EC02B9">
            <w:pPr>
              <w:pStyle w:val="ListParagraph"/>
              <w:keepNext/>
              <w:numPr>
                <w:ilvl w:val="0"/>
                <w:numId w:val="116"/>
              </w:numPr>
              <w:tabs>
                <w:tab w:val="left" w:pos="1026"/>
              </w:tabs>
              <w:rPr>
                <w:color w:val="000000" w:themeColor="text1"/>
              </w:rPr>
            </w:pPr>
            <w:r w:rsidRPr="005A133C">
              <w:rPr>
                <w:color w:val="000000" w:themeColor="text1"/>
              </w:rPr>
              <w:t>At least 75% of pre-packed sandwiches and other savoury pre-packed meals (wraps, salads, pasta salads) available contain 400kcal (1680 kJ) or less per serving and do not exceed 5.0g saturated fat per 100g</w:t>
            </w:r>
            <w:r w:rsidRPr="005A133C">
              <w:rPr>
                <w:color w:val="000000" w:themeColor="text1"/>
              </w:rPr>
              <w:footnoteReference w:id="3"/>
            </w:r>
          </w:p>
        </w:tc>
      </w:tr>
      <w:tr w:rsidR="005F5665" w:rsidRPr="005F5665" w:rsidTr="004363C2">
        <w:tc>
          <w:tcPr>
            <w:tcW w:w="2660" w:type="dxa"/>
          </w:tcPr>
          <w:p w:rsidR="005F5665" w:rsidRPr="009962CF" w:rsidRDefault="005F5665" w:rsidP="005F5665">
            <w:pPr>
              <w:rPr>
                <w:b/>
              </w:rPr>
            </w:pPr>
            <w:r w:rsidRPr="009962CF">
              <w:rPr>
                <w:rFonts w:cs="Arial"/>
                <w:b/>
                <w:color w:val="000000"/>
              </w:rPr>
              <w:lastRenderedPageBreak/>
              <w:t>Numerator</w:t>
            </w:r>
          </w:p>
        </w:tc>
        <w:tc>
          <w:tcPr>
            <w:tcW w:w="6620" w:type="dxa"/>
          </w:tcPr>
          <w:p w:rsidR="005F5665" w:rsidRPr="005F5665" w:rsidRDefault="005F5665" w:rsidP="005F5665">
            <w:pPr>
              <w:keepNext/>
              <w:rPr>
                <w:rFonts w:cs="Arial"/>
                <w:bCs w:val="0"/>
                <w:color w:val="000000"/>
              </w:rPr>
            </w:pPr>
            <w:r w:rsidRPr="005F5665">
              <w:rPr>
                <w:rFonts w:cs="Arial"/>
                <w:color w:val="000000"/>
              </w:rPr>
              <w:t>N/A</w:t>
            </w:r>
          </w:p>
        </w:tc>
      </w:tr>
      <w:tr w:rsidR="005F5665" w:rsidRPr="005F5665" w:rsidTr="004363C2">
        <w:tc>
          <w:tcPr>
            <w:tcW w:w="2660" w:type="dxa"/>
          </w:tcPr>
          <w:p w:rsidR="005F5665" w:rsidRPr="009962CF" w:rsidRDefault="005F5665" w:rsidP="005F5665">
            <w:pPr>
              <w:rPr>
                <w:b/>
              </w:rPr>
            </w:pPr>
            <w:r w:rsidRPr="009962CF">
              <w:rPr>
                <w:rFonts w:cs="Arial"/>
                <w:b/>
                <w:color w:val="000000"/>
              </w:rPr>
              <w:t>Denominator</w:t>
            </w:r>
          </w:p>
        </w:tc>
        <w:tc>
          <w:tcPr>
            <w:tcW w:w="6620" w:type="dxa"/>
          </w:tcPr>
          <w:p w:rsidR="005F5665" w:rsidRPr="005F5665" w:rsidRDefault="005F5665" w:rsidP="005F5665">
            <w:pPr>
              <w:keepNext/>
              <w:rPr>
                <w:rFonts w:cs="Arial"/>
                <w:bCs w:val="0"/>
                <w:color w:val="000000"/>
              </w:rPr>
            </w:pPr>
            <w:r w:rsidRPr="005F5665">
              <w:rPr>
                <w:rFonts w:cs="Arial"/>
                <w:color w:val="000000"/>
              </w:rPr>
              <w:t>N/A</w:t>
            </w:r>
          </w:p>
        </w:tc>
      </w:tr>
      <w:tr w:rsidR="005F5665" w:rsidRPr="005F5665" w:rsidTr="004363C2">
        <w:tc>
          <w:tcPr>
            <w:tcW w:w="2660" w:type="dxa"/>
          </w:tcPr>
          <w:p w:rsidR="005F5665" w:rsidRPr="009962CF" w:rsidRDefault="005F5665" w:rsidP="005F5665">
            <w:pPr>
              <w:rPr>
                <w:b/>
              </w:rPr>
            </w:pPr>
            <w:r w:rsidRPr="009962CF">
              <w:rPr>
                <w:rFonts w:cs="Arial"/>
                <w:b/>
                <w:color w:val="000000"/>
              </w:rPr>
              <w:t>Rationale for inclusion</w:t>
            </w:r>
          </w:p>
        </w:tc>
        <w:tc>
          <w:tcPr>
            <w:tcW w:w="6620" w:type="dxa"/>
          </w:tcPr>
          <w:p w:rsidR="007C2325" w:rsidRPr="007C2325" w:rsidRDefault="007C2325" w:rsidP="007C2325">
            <w:pPr>
              <w:rPr>
                <w:rFonts w:cstheme="minorHAnsi"/>
              </w:rPr>
            </w:pPr>
            <w:r w:rsidRPr="007C2325">
              <w:rPr>
                <w:rFonts w:cstheme="minorHAnsi"/>
              </w:rPr>
              <w:t>Any Provider who does not sell food or drink on their site will not be eligible for the CQUIN. In these cases the weighting for this part (1b) will be added equally to parts 1a and 1c.</w:t>
            </w:r>
          </w:p>
          <w:p w:rsidR="007C2325" w:rsidRPr="007C2325" w:rsidRDefault="007C2325" w:rsidP="007C2325">
            <w:pPr>
              <w:rPr>
                <w:rFonts w:cstheme="minorHAnsi"/>
              </w:rPr>
            </w:pPr>
          </w:p>
          <w:p w:rsidR="005F5665" w:rsidRDefault="007C2325" w:rsidP="007C2325">
            <w:pPr>
              <w:rPr>
                <w:rFonts w:cstheme="minorHAnsi"/>
              </w:rPr>
            </w:pPr>
            <w:r w:rsidRPr="007C2325">
              <w:rPr>
                <w:rFonts w:cstheme="minorHAnsi"/>
              </w:rPr>
              <w:t>PHE’s report “Sugar reduction – The evidence for action” published in October 2015 outlined the clear evidence behind focussing on improving the quality of food on offer across the country. Almost 25% of adults in England are obese, with significant numbers also being overweight. Treating obesity and its consequences alone currently co</w:t>
            </w:r>
            <w:r w:rsidR="00114E58">
              <w:rPr>
                <w:rFonts w:cstheme="minorHAnsi"/>
              </w:rPr>
              <w:t xml:space="preserve">sts the NHS £5.1bn every year. </w:t>
            </w:r>
            <w:r w:rsidRPr="007C2325">
              <w:rPr>
                <w:rFonts w:cstheme="minorHAnsi"/>
              </w:rPr>
              <w:t>Sugar intakes of all population groups are above the recommendations, contributing between 12 to 15% of energy tending to be highest among the most disadvantaged who also experience a higher prevalence of tooth decay and obesity and its health consequences. Consumption of sugar and sugar sweetened drinks. It is important for the NHS to start leading the way on tackling some of these issues, starting with the food and drink that is provided &amp; promoted in hospitals.</w:t>
            </w:r>
          </w:p>
          <w:p w:rsidR="00EC02B9" w:rsidRDefault="00EC02B9" w:rsidP="007C2325">
            <w:pPr>
              <w:rPr>
                <w:rFonts w:cstheme="minorHAnsi"/>
              </w:rPr>
            </w:pPr>
          </w:p>
          <w:p w:rsidR="00EC02B9" w:rsidRPr="005F5665" w:rsidRDefault="00EC02B9" w:rsidP="007C2325">
            <w:pPr>
              <w:rPr>
                <w:bCs w:val="0"/>
                <w:szCs w:val="23"/>
              </w:rPr>
            </w:pPr>
            <w:r w:rsidRPr="005A133C">
              <w:rPr>
                <w:rFonts w:cstheme="minorHAnsi"/>
              </w:rPr>
              <w:t>NHS England will continue with their work at a national level with the major food suppliers on NHS premises to ensure that NHS providers are supported to take action across all food and drink outlets on their premises.</w:t>
            </w:r>
          </w:p>
        </w:tc>
      </w:tr>
      <w:tr w:rsidR="005F5665" w:rsidRPr="005F5665" w:rsidTr="004363C2">
        <w:tc>
          <w:tcPr>
            <w:tcW w:w="2660" w:type="dxa"/>
          </w:tcPr>
          <w:p w:rsidR="005F5665" w:rsidRPr="009962CF" w:rsidRDefault="005F5665" w:rsidP="005F5665">
            <w:pPr>
              <w:rPr>
                <w:b/>
              </w:rPr>
            </w:pPr>
            <w:r w:rsidRPr="009962CF">
              <w:rPr>
                <w:rFonts w:cs="Arial"/>
                <w:b/>
                <w:color w:val="000000"/>
              </w:rPr>
              <w:t>Data source</w:t>
            </w:r>
          </w:p>
        </w:tc>
        <w:tc>
          <w:tcPr>
            <w:tcW w:w="6620" w:type="dxa"/>
          </w:tcPr>
          <w:p w:rsidR="005F5665" w:rsidRPr="005F5665" w:rsidRDefault="007E4182" w:rsidP="005F5665">
            <w:pPr>
              <w:keepNext/>
              <w:tabs>
                <w:tab w:val="left" w:pos="2074"/>
              </w:tabs>
            </w:pPr>
            <w:r w:rsidRPr="007E4182">
              <w:t>Provider data source</w:t>
            </w:r>
          </w:p>
        </w:tc>
      </w:tr>
      <w:tr w:rsidR="005F5665" w:rsidRPr="005F5665" w:rsidTr="004363C2">
        <w:tc>
          <w:tcPr>
            <w:tcW w:w="2660" w:type="dxa"/>
          </w:tcPr>
          <w:p w:rsidR="005F5665" w:rsidRPr="009962CF" w:rsidRDefault="005F5665" w:rsidP="005F5665">
            <w:pPr>
              <w:rPr>
                <w:b/>
              </w:rPr>
            </w:pPr>
            <w:r w:rsidRPr="009962CF">
              <w:rPr>
                <w:rFonts w:cs="Arial"/>
                <w:b/>
                <w:color w:val="000000"/>
              </w:rPr>
              <w:t>Frequency of data collection</w:t>
            </w:r>
          </w:p>
        </w:tc>
        <w:tc>
          <w:tcPr>
            <w:tcW w:w="6620" w:type="dxa"/>
          </w:tcPr>
          <w:p w:rsidR="005F5665" w:rsidRPr="005F5665" w:rsidRDefault="005F5665" w:rsidP="005F5665">
            <w:r w:rsidRPr="005F5665">
              <w:t>End of Quarter 4</w:t>
            </w:r>
          </w:p>
        </w:tc>
      </w:tr>
      <w:tr w:rsidR="005F5665" w:rsidRPr="005F5665" w:rsidTr="004363C2">
        <w:tc>
          <w:tcPr>
            <w:tcW w:w="2660" w:type="dxa"/>
          </w:tcPr>
          <w:p w:rsidR="005F5665" w:rsidRPr="009962CF" w:rsidRDefault="005F5665" w:rsidP="005F5665">
            <w:pPr>
              <w:rPr>
                <w:b/>
              </w:rPr>
            </w:pPr>
            <w:r w:rsidRPr="009962CF">
              <w:rPr>
                <w:rFonts w:cs="Arial"/>
                <w:b/>
                <w:color w:val="000000"/>
              </w:rPr>
              <w:t>Organisation responsible for data collection</w:t>
            </w:r>
          </w:p>
        </w:tc>
        <w:tc>
          <w:tcPr>
            <w:tcW w:w="6620" w:type="dxa"/>
          </w:tcPr>
          <w:p w:rsidR="00EA48B0" w:rsidRDefault="00EA48B0" w:rsidP="00EA48B0">
            <w:r>
              <w:t>Evidence should be provided that shows a substantive change has been moved in shifting to healthier products</w:t>
            </w:r>
          </w:p>
          <w:p w:rsidR="00EA48B0" w:rsidRDefault="00EA48B0" w:rsidP="00DF18AB">
            <w:pPr>
              <w:pStyle w:val="ListParagraph"/>
              <w:numPr>
                <w:ilvl w:val="0"/>
                <w:numId w:val="85"/>
              </w:numPr>
            </w:pPr>
            <w:r>
              <w:t>Reduction in % of sugar/salt products displayed:</w:t>
            </w:r>
          </w:p>
          <w:p w:rsidR="00EA48B0" w:rsidRDefault="00EA48B0" w:rsidP="00DF18AB">
            <w:pPr>
              <w:pStyle w:val="ListParagraph"/>
              <w:numPr>
                <w:ilvl w:val="0"/>
                <w:numId w:val="85"/>
              </w:numPr>
            </w:pPr>
            <w:r>
              <w:t>Increase in healthier alternatives</w:t>
            </w:r>
          </w:p>
          <w:p w:rsidR="00EA48B0" w:rsidRDefault="00EA48B0" w:rsidP="00DF18AB">
            <w:pPr>
              <w:pStyle w:val="ListParagraph"/>
              <w:numPr>
                <w:ilvl w:val="0"/>
                <w:numId w:val="85"/>
              </w:numPr>
            </w:pPr>
            <w:r>
              <w:t>Avoidance of overt promotion</w:t>
            </w:r>
          </w:p>
          <w:p w:rsidR="00EA48B0" w:rsidRDefault="00EA48B0" w:rsidP="00EA48B0">
            <w:r>
              <w:t>However the exact detail of reporting should be agreed locally so that it can be adapted to the local situation (for instance it may differ depending on the scale and types of outlets on premises)</w:t>
            </w:r>
            <w:r w:rsidR="00437150">
              <w:t>.</w:t>
            </w:r>
            <w:r>
              <w:t xml:space="preserve"> </w:t>
            </w:r>
          </w:p>
          <w:p w:rsidR="00EA48B0" w:rsidRDefault="00EA48B0" w:rsidP="00EA48B0"/>
          <w:p w:rsidR="00EA48B0" w:rsidRDefault="00EA48B0" w:rsidP="00EA48B0">
            <w:r>
              <w:t xml:space="preserve">Each provider must evidence to commissioners that they </w:t>
            </w:r>
            <w:r>
              <w:lastRenderedPageBreak/>
              <w:t>have maintained the changes in 2016/17 and introduced the 2017/18 changes by providing at least the following evidence:</w:t>
            </w:r>
          </w:p>
          <w:p w:rsidR="00EA48B0" w:rsidRDefault="00EA48B0" w:rsidP="00DF18AB">
            <w:pPr>
              <w:pStyle w:val="ListParagraph"/>
              <w:numPr>
                <w:ilvl w:val="0"/>
                <w:numId w:val="86"/>
              </w:numPr>
              <w:ind w:left="360"/>
            </w:pPr>
            <w:r>
              <w:t>A signed document between the NHS Trust and any external food supplier committing to keeping the changes</w:t>
            </w:r>
          </w:p>
          <w:p w:rsidR="005F5665" w:rsidRPr="005F5665" w:rsidRDefault="00EA48B0" w:rsidP="00DF18AB">
            <w:pPr>
              <w:pStyle w:val="ListParagraph"/>
              <w:numPr>
                <w:ilvl w:val="0"/>
                <w:numId w:val="68"/>
              </w:numPr>
              <w:ind w:left="360"/>
            </w:pPr>
            <w:r>
              <w:t>Evidence for improvements provided to a public facing board meeting</w:t>
            </w:r>
          </w:p>
        </w:tc>
      </w:tr>
      <w:tr w:rsidR="005F5665" w:rsidRPr="005F5665" w:rsidTr="004363C2">
        <w:tc>
          <w:tcPr>
            <w:tcW w:w="2660" w:type="dxa"/>
          </w:tcPr>
          <w:p w:rsidR="005F5665" w:rsidRPr="009962CF" w:rsidRDefault="005F5665" w:rsidP="005F5665">
            <w:pPr>
              <w:rPr>
                <w:b/>
              </w:rPr>
            </w:pPr>
            <w:r w:rsidRPr="009962CF">
              <w:rPr>
                <w:rFonts w:cs="Arial"/>
                <w:b/>
                <w:color w:val="000000"/>
              </w:rPr>
              <w:lastRenderedPageBreak/>
              <w:t>Frequency of reporting to commissioner</w:t>
            </w:r>
          </w:p>
        </w:tc>
        <w:tc>
          <w:tcPr>
            <w:tcW w:w="6620" w:type="dxa"/>
          </w:tcPr>
          <w:p w:rsidR="005F5665" w:rsidRPr="005F5665" w:rsidRDefault="005F5665" w:rsidP="005F5665">
            <w:r w:rsidRPr="005F5665">
              <w:t>End of Quarter 4</w:t>
            </w:r>
          </w:p>
        </w:tc>
      </w:tr>
      <w:tr w:rsidR="005F5665" w:rsidRPr="005F5665" w:rsidTr="004363C2">
        <w:tc>
          <w:tcPr>
            <w:tcW w:w="2660" w:type="dxa"/>
          </w:tcPr>
          <w:p w:rsidR="005F5665" w:rsidRPr="009962CF" w:rsidRDefault="005F5665" w:rsidP="005F5665">
            <w:pPr>
              <w:rPr>
                <w:b/>
              </w:rPr>
            </w:pPr>
            <w:r w:rsidRPr="009962CF">
              <w:rPr>
                <w:rFonts w:cs="Arial"/>
                <w:b/>
                <w:color w:val="000000"/>
              </w:rPr>
              <w:t>Baseline period/date</w:t>
            </w:r>
          </w:p>
        </w:tc>
        <w:tc>
          <w:tcPr>
            <w:tcW w:w="6620" w:type="dxa"/>
          </w:tcPr>
          <w:p w:rsidR="005F5665" w:rsidRPr="005F5665" w:rsidRDefault="005F5665" w:rsidP="005F5665">
            <w:r w:rsidRPr="005F5665">
              <w:t>N/A</w:t>
            </w:r>
          </w:p>
        </w:tc>
      </w:tr>
      <w:tr w:rsidR="005F5665" w:rsidRPr="005F5665" w:rsidTr="004363C2">
        <w:tc>
          <w:tcPr>
            <w:tcW w:w="2660" w:type="dxa"/>
          </w:tcPr>
          <w:p w:rsidR="005F5665" w:rsidRPr="009962CF" w:rsidRDefault="005F5665" w:rsidP="005F5665">
            <w:pPr>
              <w:rPr>
                <w:b/>
              </w:rPr>
            </w:pPr>
            <w:r w:rsidRPr="009962CF">
              <w:rPr>
                <w:rFonts w:cs="Arial"/>
                <w:b/>
                <w:color w:val="000000"/>
              </w:rPr>
              <w:t>Baseline value</w:t>
            </w:r>
          </w:p>
        </w:tc>
        <w:tc>
          <w:tcPr>
            <w:tcW w:w="6620" w:type="dxa"/>
          </w:tcPr>
          <w:p w:rsidR="005F5665" w:rsidRPr="005F5665" w:rsidRDefault="005F5665" w:rsidP="005F5665">
            <w:r w:rsidRPr="005F5665">
              <w:t>N/A</w:t>
            </w:r>
          </w:p>
        </w:tc>
      </w:tr>
      <w:tr w:rsidR="005F5665" w:rsidRPr="005F5665" w:rsidTr="004363C2">
        <w:tc>
          <w:tcPr>
            <w:tcW w:w="2660" w:type="dxa"/>
          </w:tcPr>
          <w:p w:rsidR="005F5665" w:rsidRPr="009962CF" w:rsidRDefault="005F5665" w:rsidP="005F5665">
            <w:pPr>
              <w:rPr>
                <w:b/>
              </w:rPr>
            </w:pPr>
            <w:r w:rsidRPr="009962CF">
              <w:rPr>
                <w:rFonts w:cs="Arial"/>
                <w:b/>
                <w:color w:val="000000"/>
              </w:rPr>
              <w:t>Final indicator period/date (on which payment is based)</w:t>
            </w:r>
          </w:p>
        </w:tc>
        <w:tc>
          <w:tcPr>
            <w:tcW w:w="6620" w:type="dxa"/>
          </w:tcPr>
          <w:p w:rsidR="00EC02B9" w:rsidRPr="00D42637" w:rsidRDefault="00EC02B9" w:rsidP="00EC02B9">
            <w:r w:rsidRPr="00D42637">
              <w:t>Year 1</w:t>
            </w:r>
            <w:r w:rsidR="00D42637" w:rsidRPr="00D42637">
              <w:t xml:space="preserve"> </w:t>
            </w:r>
            <w:r w:rsidR="00437150">
              <w:t xml:space="preserve">- </w:t>
            </w:r>
            <w:r w:rsidRPr="00D42637">
              <w:t>End of Q4 2017/18</w:t>
            </w:r>
          </w:p>
          <w:p w:rsidR="005F5665" w:rsidRPr="005F5665" w:rsidRDefault="00EC02B9" w:rsidP="00EC02B9">
            <w:r w:rsidRPr="00D42637">
              <w:t>Year 2</w:t>
            </w:r>
            <w:r w:rsidR="00D42637" w:rsidRPr="00D42637">
              <w:t xml:space="preserve"> </w:t>
            </w:r>
            <w:r w:rsidRPr="00D42637">
              <w:t>- End of Q4 2018/19</w:t>
            </w:r>
          </w:p>
        </w:tc>
      </w:tr>
      <w:tr w:rsidR="005F5665" w:rsidRPr="005F5665" w:rsidTr="004363C2">
        <w:tc>
          <w:tcPr>
            <w:tcW w:w="2660" w:type="dxa"/>
          </w:tcPr>
          <w:p w:rsidR="005F5665" w:rsidRPr="009962CF" w:rsidRDefault="005F5665" w:rsidP="005F5665">
            <w:pPr>
              <w:rPr>
                <w:b/>
              </w:rPr>
            </w:pPr>
            <w:r w:rsidRPr="009962CF">
              <w:rPr>
                <w:rFonts w:cs="Arial"/>
                <w:b/>
                <w:color w:val="000000"/>
              </w:rPr>
              <w:t>Final indicator value (payment threshold)</w:t>
            </w:r>
          </w:p>
        </w:tc>
        <w:tc>
          <w:tcPr>
            <w:tcW w:w="6620" w:type="dxa"/>
          </w:tcPr>
          <w:p w:rsidR="005F5665" w:rsidRPr="005F5665" w:rsidRDefault="005F5665" w:rsidP="005F5665">
            <w:pPr>
              <w:rPr>
                <w:rFonts w:cs="Arial"/>
                <w:bCs w:val="0"/>
                <w:color w:val="000000"/>
              </w:rPr>
            </w:pPr>
            <w:r w:rsidRPr="005F5665">
              <w:t>To be determined locally</w:t>
            </w:r>
          </w:p>
        </w:tc>
      </w:tr>
      <w:tr w:rsidR="005F5665" w:rsidRPr="005F5665" w:rsidTr="004363C2">
        <w:tc>
          <w:tcPr>
            <w:tcW w:w="2660" w:type="dxa"/>
          </w:tcPr>
          <w:p w:rsidR="005F5665" w:rsidRPr="009962CF" w:rsidRDefault="005F5665" w:rsidP="005F5665">
            <w:pPr>
              <w:rPr>
                <w:b/>
              </w:rPr>
            </w:pPr>
            <w:r w:rsidRPr="009962CF">
              <w:rPr>
                <w:rFonts w:cs="Arial"/>
                <w:b/>
                <w:color w:val="000000"/>
              </w:rPr>
              <w:t>Final indicator reporting date</w:t>
            </w:r>
          </w:p>
        </w:tc>
        <w:tc>
          <w:tcPr>
            <w:tcW w:w="6620" w:type="dxa"/>
          </w:tcPr>
          <w:p w:rsidR="005F5665" w:rsidRPr="005F5665" w:rsidRDefault="00992B1B" w:rsidP="005F5665">
            <w:r w:rsidRPr="00992B1B">
              <w:rPr>
                <w:rFonts w:cs="Arial"/>
              </w:rPr>
              <w:t>As soon as possible after Q4 2017/18</w:t>
            </w:r>
          </w:p>
        </w:tc>
      </w:tr>
      <w:tr w:rsidR="005F5665" w:rsidRPr="005F5665" w:rsidTr="004363C2">
        <w:tc>
          <w:tcPr>
            <w:tcW w:w="2660" w:type="dxa"/>
          </w:tcPr>
          <w:p w:rsidR="005F5665" w:rsidRPr="009962CF" w:rsidRDefault="005F5665" w:rsidP="005F5665">
            <w:pPr>
              <w:rPr>
                <w:b/>
              </w:rPr>
            </w:pPr>
            <w:r w:rsidRPr="009962CF">
              <w:rPr>
                <w:rFonts w:cs="Arial"/>
                <w:b/>
                <w:color w:val="000000"/>
              </w:rPr>
              <w:t>Are there rules for any agreed in-year milestones that result in payment?</w:t>
            </w:r>
          </w:p>
        </w:tc>
        <w:tc>
          <w:tcPr>
            <w:tcW w:w="6620" w:type="dxa"/>
          </w:tcPr>
          <w:p w:rsidR="005F5665" w:rsidRPr="005F5665" w:rsidRDefault="005F5665" w:rsidP="005F5665">
            <w:r w:rsidRPr="005F5665">
              <w:t>No</w:t>
            </w:r>
          </w:p>
        </w:tc>
      </w:tr>
      <w:tr w:rsidR="005F5665" w:rsidRPr="005F5665" w:rsidTr="004363C2">
        <w:tc>
          <w:tcPr>
            <w:tcW w:w="2660" w:type="dxa"/>
          </w:tcPr>
          <w:p w:rsidR="005F5665" w:rsidRPr="009962CF" w:rsidRDefault="005F5665" w:rsidP="005F5665">
            <w:pPr>
              <w:rPr>
                <w:rFonts w:cs="Arial"/>
                <w:b/>
                <w:bCs w:val="0"/>
                <w:color w:val="000000"/>
              </w:rPr>
            </w:pPr>
            <w:r w:rsidRPr="009962CF">
              <w:rPr>
                <w:rFonts w:cs="Arial"/>
                <w:b/>
                <w:color w:val="000000"/>
              </w:rPr>
              <w:t>Are there any rules for partial achievement of the indicator at the final indicator period/date?</w:t>
            </w:r>
          </w:p>
        </w:tc>
        <w:tc>
          <w:tcPr>
            <w:tcW w:w="6620" w:type="dxa"/>
          </w:tcPr>
          <w:p w:rsidR="005F5665" w:rsidRPr="005F5665" w:rsidRDefault="005F5665" w:rsidP="005F5665">
            <w:pPr>
              <w:rPr>
                <w:rFonts w:eastAsia="Calibri" w:cs="Arial"/>
                <w:bCs w:val="0"/>
              </w:rPr>
            </w:pPr>
            <w:r w:rsidRPr="005F5665">
              <w:rPr>
                <w:rFonts w:eastAsia="Calibri" w:cs="Arial"/>
              </w:rPr>
              <w:t>Yes</w:t>
            </w:r>
          </w:p>
        </w:tc>
      </w:tr>
    </w:tbl>
    <w:p w:rsidR="0030134B" w:rsidRDefault="0030134B" w:rsidP="0030134B">
      <w:pPr>
        <w:rPr>
          <w:rFonts w:cs="Arial"/>
          <w:b/>
          <w:bCs w:val="0"/>
          <w:lang w:eastAsia="en-GB"/>
        </w:rPr>
      </w:pPr>
    </w:p>
    <w:p w:rsidR="009134B2" w:rsidRDefault="009134B2">
      <w:pPr>
        <w:rPr>
          <w:rFonts w:eastAsiaTheme="majorEastAsia" w:cstheme="majorBidi"/>
          <w:b/>
          <w:bCs w:val="0"/>
          <w:iCs/>
          <w:color w:val="A00054" w:themeColor="accent2"/>
        </w:rPr>
      </w:pPr>
      <w:bookmarkStart w:id="10" w:name="_Toc461714465"/>
      <w:bookmarkStart w:id="11" w:name="_Toc462224316"/>
      <w:bookmarkStart w:id="12" w:name="_Toc462303908"/>
      <w:r>
        <w:br w:type="page"/>
      </w:r>
    </w:p>
    <w:p w:rsidR="005F5665" w:rsidRDefault="005F5665" w:rsidP="005F5665">
      <w:pPr>
        <w:pStyle w:val="Heading4"/>
      </w:pPr>
      <w:r w:rsidRPr="005F5665">
        <w:lastRenderedPageBreak/>
        <w:t>Rules for partial achievement</w:t>
      </w:r>
      <w:bookmarkEnd w:id="10"/>
      <w:bookmarkEnd w:id="11"/>
      <w:bookmarkEnd w:id="12"/>
      <w:r w:rsidRPr="005F5665">
        <w:t xml:space="preserve"> of indicator 1b</w:t>
      </w:r>
    </w:p>
    <w:p w:rsidR="005F5665" w:rsidRPr="005F5665" w:rsidRDefault="005F5665" w:rsidP="005F5665"/>
    <w:tbl>
      <w:tblPr>
        <w:tblW w:w="8931" w:type="dxa"/>
        <w:tblInd w:w="108" w:type="dxa"/>
        <w:tblLook w:val="0000" w:firstRow="0" w:lastRow="0" w:firstColumn="0" w:lastColumn="0" w:noHBand="0" w:noVBand="0"/>
      </w:tblPr>
      <w:tblGrid>
        <w:gridCol w:w="4179"/>
        <w:gridCol w:w="4752"/>
      </w:tblGrid>
      <w:tr w:rsidR="005F5665" w:rsidRPr="005F5665" w:rsidTr="00114E58">
        <w:trPr>
          <w:trHeight w:val="711"/>
          <w:tblHeader/>
        </w:trPr>
        <w:tc>
          <w:tcPr>
            <w:tcW w:w="4179" w:type="dxa"/>
            <w:tcBorders>
              <w:top w:val="single" w:sz="4" w:space="0" w:color="auto"/>
              <w:left w:val="single" w:sz="4" w:space="0" w:color="auto"/>
              <w:bottom w:val="single" w:sz="4" w:space="0" w:color="auto"/>
              <w:right w:val="nil"/>
            </w:tcBorders>
            <w:shd w:val="clear" w:color="auto" w:fill="0070C0"/>
            <w:noWrap/>
          </w:tcPr>
          <w:p w:rsidR="005F5665" w:rsidRPr="005F5665" w:rsidRDefault="005F5665" w:rsidP="005F5665">
            <w:pPr>
              <w:rPr>
                <w:rFonts w:cs="Arial"/>
                <w:b/>
                <w:color w:val="FFFFFF" w:themeColor="background1"/>
                <w:lang w:eastAsia="en-GB"/>
              </w:rPr>
            </w:pPr>
            <w:r w:rsidRPr="005F5665">
              <w:rPr>
                <w:rFonts w:cs="Arial"/>
                <w:b/>
                <w:color w:val="FFFFFF" w:themeColor="background1"/>
                <w:lang w:eastAsia="en-GB"/>
              </w:rPr>
              <w:t>Final indicator value for the partial achievement threshold</w:t>
            </w:r>
          </w:p>
        </w:tc>
        <w:tc>
          <w:tcPr>
            <w:tcW w:w="4752" w:type="dxa"/>
            <w:tcBorders>
              <w:top w:val="single" w:sz="4" w:space="0" w:color="auto"/>
              <w:left w:val="single" w:sz="4" w:space="0" w:color="auto"/>
              <w:bottom w:val="single" w:sz="4" w:space="0" w:color="auto"/>
              <w:right w:val="single" w:sz="4" w:space="0" w:color="auto"/>
            </w:tcBorders>
            <w:shd w:val="clear" w:color="auto" w:fill="0070C0"/>
          </w:tcPr>
          <w:p w:rsidR="005F5665" w:rsidRPr="005F5665" w:rsidRDefault="005F5665" w:rsidP="005F5665">
            <w:pPr>
              <w:rPr>
                <w:rFonts w:cs="Arial"/>
                <w:b/>
                <w:color w:val="FFFFFF" w:themeColor="background1"/>
                <w:lang w:eastAsia="en-GB"/>
              </w:rPr>
            </w:pPr>
            <w:r w:rsidRPr="005F5665">
              <w:rPr>
                <w:rFonts w:cs="Arial"/>
                <w:b/>
                <w:color w:val="FFFFFF" w:themeColor="background1"/>
                <w:lang w:eastAsia="en-GB"/>
              </w:rPr>
              <w:t>% of CQUIN scheme available for meeting final indicator value</w:t>
            </w:r>
          </w:p>
        </w:tc>
      </w:tr>
      <w:tr w:rsidR="005F5665" w:rsidRPr="005F5665" w:rsidTr="00114E58">
        <w:trPr>
          <w:trHeight w:val="353"/>
        </w:trPr>
        <w:tc>
          <w:tcPr>
            <w:tcW w:w="4179" w:type="dxa"/>
            <w:tcBorders>
              <w:top w:val="nil"/>
              <w:left w:val="single" w:sz="4" w:space="0" w:color="auto"/>
              <w:bottom w:val="single" w:sz="4" w:space="0" w:color="auto"/>
              <w:right w:val="nil"/>
            </w:tcBorders>
          </w:tcPr>
          <w:p w:rsidR="005F5665" w:rsidRDefault="002E2C19" w:rsidP="005F5665">
            <w:pPr>
              <w:rPr>
                <w:rFonts w:cs="Arial"/>
                <w:lang w:eastAsia="en-GB"/>
              </w:rPr>
            </w:pPr>
            <w:r w:rsidRPr="000E28AE">
              <w:rPr>
                <w:rFonts w:cs="Arial"/>
                <w:lang w:eastAsia="en-GB"/>
              </w:rPr>
              <w:t xml:space="preserve">2017/18 - </w:t>
            </w:r>
            <w:r w:rsidR="005F5665" w:rsidRPr="005F5665">
              <w:rPr>
                <w:rFonts w:cs="Arial"/>
                <w:lang w:eastAsia="en-GB"/>
              </w:rPr>
              <w:t xml:space="preserve">2016/17 changes maintained </w:t>
            </w:r>
          </w:p>
          <w:p w:rsidR="002E2C19" w:rsidRPr="000E28AE" w:rsidRDefault="002E2C19" w:rsidP="005F5665">
            <w:pPr>
              <w:rPr>
                <w:rFonts w:cs="Arial"/>
                <w:lang w:eastAsia="en-GB"/>
              </w:rPr>
            </w:pPr>
            <w:r w:rsidRPr="000E28AE">
              <w:rPr>
                <w:rFonts w:cs="Arial"/>
                <w:lang w:eastAsia="en-GB"/>
              </w:rPr>
              <w:t>2018/19 - 2016/17 changes maintained</w:t>
            </w:r>
          </w:p>
        </w:tc>
        <w:tc>
          <w:tcPr>
            <w:tcW w:w="4752" w:type="dxa"/>
            <w:tcBorders>
              <w:top w:val="nil"/>
              <w:left w:val="single" w:sz="4" w:space="0" w:color="auto"/>
              <w:bottom w:val="single" w:sz="4" w:space="0" w:color="auto"/>
              <w:right w:val="single" w:sz="4" w:space="0" w:color="auto"/>
            </w:tcBorders>
          </w:tcPr>
          <w:p w:rsidR="005F5665" w:rsidRPr="005F5665" w:rsidRDefault="005F5665" w:rsidP="005F5665">
            <w:pPr>
              <w:rPr>
                <w:rFonts w:cs="Arial"/>
                <w:b/>
                <w:bCs w:val="0"/>
              </w:rPr>
            </w:pPr>
            <w:r w:rsidRPr="005F5665">
              <w:rPr>
                <w:rFonts w:cs="Arial"/>
                <w:lang w:eastAsia="en-GB"/>
              </w:rPr>
              <w:t>50% payment</w:t>
            </w:r>
          </w:p>
        </w:tc>
      </w:tr>
      <w:tr w:rsidR="005F5665" w:rsidRPr="005F5665" w:rsidTr="00114E58">
        <w:trPr>
          <w:trHeight w:val="353"/>
        </w:trPr>
        <w:tc>
          <w:tcPr>
            <w:tcW w:w="4179" w:type="dxa"/>
            <w:tcBorders>
              <w:top w:val="nil"/>
              <w:left w:val="single" w:sz="4" w:space="0" w:color="auto"/>
              <w:bottom w:val="single" w:sz="4" w:space="0" w:color="auto"/>
              <w:right w:val="nil"/>
            </w:tcBorders>
          </w:tcPr>
          <w:p w:rsidR="002E2C19" w:rsidRPr="000E28AE" w:rsidRDefault="002E2C19" w:rsidP="005F5665">
            <w:pPr>
              <w:rPr>
                <w:rFonts w:cs="Arial"/>
                <w:lang w:eastAsia="en-GB"/>
              </w:rPr>
            </w:pPr>
            <w:r w:rsidRPr="000E28AE">
              <w:rPr>
                <w:rFonts w:cs="Arial"/>
                <w:lang w:eastAsia="en-GB"/>
              </w:rPr>
              <w:t>2017/18 - Year 1 changes introduced</w:t>
            </w:r>
          </w:p>
          <w:p w:rsidR="005F5665" w:rsidRPr="000E28AE" w:rsidRDefault="002E2C19" w:rsidP="002E2C19">
            <w:pPr>
              <w:rPr>
                <w:rFonts w:cs="Arial"/>
                <w:lang w:eastAsia="en-GB"/>
              </w:rPr>
            </w:pPr>
            <w:r w:rsidRPr="000E28AE">
              <w:rPr>
                <w:rFonts w:cs="Arial"/>
                <w:lang w:eastAsia="en-GB"/>
              </w:rPr>
              <w:t>2018/19 - Year 2 changes introduced</w:t>
            </w:r>
          </w:p>
        </w:tc>
        <w:tc>
          <w:tcPr>
            <w:tcW w:w="4752" w:type="dxa"/>
            <w:tcBorders>
              <w:top w:val="nil"/>
              <w:left w:val="single" w:sz="4" w:space="0" w:color="auto"/>
              <w:bottom w:val="single" w:sz="4" w:space="0" w:color="auto"/>
              <w:right w:val="single" w:sz="4" w:space="0" w:color="auto"/>
            </w:tcBorders>
          </w:tcPr>
          <w:p w:rsidR="005F5665" w:rsidRPr="005F5665" w:rsidRDefault="005F5665" w:rsidP="005F5665">
            <w:pPr>
              <w:rPr>
                <w:rFonts w:cs="Arial"/>
                <w:b/>
                <w:bCs w:val="0"/>
              </w:rPr>
            </w:pPr>
            <w:r w:rsidRPr="005F5665">
              <w:rPr>
                <w:rFonts w:cs="Arial"/>
                <w:lang w:eastAsia="en-GB"/>
              </w:rPr>
              <w:t xml:space="preserve">50 % payment </w:t>
            </w:r>
          </w:p>
        </w:tc>
      </w:tr>
      <w:tr w:rsidR="005F5665" w:rsidRPr="005F5665" w:rsidTr="00114E58">
        <w:trPr>
          <w:trHeight w:val="353"/>
        </w:trPr>
        <w:tc>
          <w:tcPr>
            <w:tcW w:w="4179" w:type="dxa"/>
            <w:tcBorders>
              <w:top w:val="nil"/>
              <w:left w:val="single" w:sz="4" w:space="0" w:color="auto"/>
              <w:bottom w:val="single" w:sz="4" w:space="0" w:color="auto"/>
              <w:right w:val="nil"/>
            </w:tcBorders>
          </w:tcPr>
          <w:p w:rsidR="002E2C19" w:rsidRDefault="002E2C19" w:rsidP="005F5665">
            <w:pPr>
              <w:rPr>
                <w:rFonts w:cs="Arial"/>
                <w:lang w:eastAsia="en-GB"/>
              </w:rPr>
            </w:pPr>
          </w:p>
          <w:p w:rsidR="00000DD5" w:rsidRPr="000E28AE" w:rsidRDefault="00000DD5" w:rsidP="002E2C19">
            <w:pPr>
              <w:rPr>
                <w:rFonts w:cs="Arial"/>
                <w:lang w:eastAsia="en-GB"/>
              </w:rPr>
            </w:pPr>
            <w:r w:rsidRPr="000E28AE">
              <w:rPr>
                <w:rFonts w:cs="Arial"/>
                <w:lang w:eastAsia="en-GB"/>
              </w:rPr>
              <w:t xml:space="preserve">2017/18 - </w:t>
            </w:r>
            <w:r w:rsidR="002E2C19" w:rsidRPr="000E28AE">
              <w:rPr>
                <w:rFonts w:cs="Arial"/>
                <w:lang w:eastAsia="en-GB"/>
              </w:rPr>
              <w:t xml:space="preserve">2016/17 changes maintained and </w:t>
            </w:r>
            <w:r w:rsidRPr="000E28AE">
              <w:rPr>
                <w:rFonts w:cs="Arial"/>
                <w:lang w:eastAsia="en-GB"/>
              </w:rPr>
              <w:t>Year 1 changes introduced</w:t>
            </w:r>
          </w:p>
          <w:p w:rsidR="00000DD5" w:rsidRPr="000E28AE" w:rsidRDefault="00000DD5" w:rsidP="002E2C19">
            <w:pPr>
              <w:rPr>
                <w:rFonts w:cs="Arial"/>
                <w:lang w:eastAsia="en-GB"/>
              </w:rPr>
            </w:pPr>
          </w:p>
          <w:p w:rsidR="002E2C19" w:rsidRPr="000E28AE" w:rsidRDefault="00000DD5" w:rsidP="002E2C19">
            <w:pPr>
              <w:rPr>
                <w:rFonts w:cs="Arial"/>
                <w:lang w:eastAsia="en-GB"/>
              </w:rPr>
            </w:pPr>
            <w:r w:rsidRPr="000E28AE">
              <w:rPr>
                <w:rFonts w:cs="Arial"/>
                <w:lang w:eastAsia="en-GB"/>
              </w:rPr>
              <w:t>2018/19 –</w:t>
            </w:r>
            <w:r w:rsidR="002E2C19" w:rsidRPr="000E28AE">
              <w:rPr>
                <w:rFonts w:cs="Arial"/>
                <w:lang w:eastAsia="en-GB"/>
              </w:rPr>
              <w:t xml:space="preserve"> </w:t>
            </w:r>
            <w:r w:rsidRPr="000E28AE">
              <w:rPr>
                <w:rFonts w:cs="Arial"/>
                <w:lang w:eastAsia="en-GB"/>
              </w:rPr>
              <w:t xml:space="preserve">2016/17 changes maintained and </w:t>
            </w:r>
            <w:r w:rsidR="002E2C19" w:rsidRPr="000E28AE">
              <w:rPr>
                <w:rFonts w:cs="Arial"/>
                <w:lang w:eastAsia="en-GB"/>
              </w:rPr>
              <w:t xml:space="preserve">Year 2 </w:t>
            </w:r>
          </w:p>
          <w:p w:rsidR="002E2C19" w:rsidRPr="000E28AE" w:rsidRDefault="002E2C19" w:rsidP="002E2C19">
            <w:pPr>
              <w:rPr>
                <w:rFonts w:cs="Arial"/>
                <w:lang w:eastAsia="en-GB"/>
              </w:rPr>
            </w:pPr>
            <w:r w:rsidRPr="000E28AE">
              <w:rPr>
                <w:rFonts w:cs="Arial"/>
                <w:lang w:eastAsia="en-GB"/>
              </w:rPr>
              <w:t>changes introduced</w:t>
            </w:r>
          </w:p>
        </w:tc>
        <w:tc>
          <w:tcPr>
            <w:tcW w:w="4752" w:type="dxa"/>
            <w:tcBorders>
              <w:top w:val="nil"/>
              <w:left w:val="single" w:sz="4" w:space="0" w:color="auto"/>
              <w:bottom w:val="single" w:sz="4" w:space="0" w:color="auto"/>
              <w:right w:val="single" w:sz="4" w:space="0" w:color="auto"/>
            </w:tcBorders>
          </w:tcPr>
          <w:p w:rsidR="005F5665" w:rsidRPr="005F5665" w:rsidRDefault="005F5665" w:rsidP="005F5665">
            <w:pPr>
              <w:rPr>
                <w:rFonts w:cs="Arial"/>
                <w:bCs w:val="0"/>
              </w:rPr>
            </w:pPr>
            <w:r w:rsidRPr="005F5665">
              <w:rPr>
                <w:rFonts w:cs="Arial"/>
                <w:lang w:eastAsia="en-GB"/>
              </w:rPr>
              <w:t xml:space="preserve">100% payment </w:t>
            </w:r>
          </w:p>
        </w:tc>
      </w:tr>
    </w:tbl>
    <w:p w:rsidR="005F5665" w:rsidRDefault="005F5665" w:rsidP="0030134B">
      <w:pPr>
        <w:rPr>
          <w:rFonts w:cs="Arial"/>
          <w:b/>
          <w:bCs w:val="0"/>
          <w:lang w:eastAsia="en-GB"/>
        </w:rPr>
      </w:pPr>
    </w:p>
    <w:p w:rsidR="00C02AC7" w:rsidRDefault="00C02AC7" w:rsidP="00C02AC7">
      <w:pPr>
        <w:pStyle w:val="Heading4"/>
        <w:rPr>
          <w:lang w:eastAsia="en-GB"/>
        </w:rPr>
      </w:pPr>
      <w:r>
        <w:rPr>
          <w:bCs/>
          <w:lang w:eastAsia="en-GB"/>
        </w:rPr>
        <w:t>Indicator</w:t>
      </w:r>
      <w:r w:rsidRPr="00C02AC7">
        <w:rPr>
          <w:lang w:eastAsia="en-GB"/>
        </w:rPr>
        <w:t xml:space="preserve"> </w:t>
      </w:r>
      <w:r>
        <w:rPr>
          <w:bCs/>
          <w:lang w:eastAsia="en-GB"/>
        </w:rPr>
        <w:t>1</w:t>
      </w:r>
      <w:r w:rsidRPr="00C02AC7">
        <w:rPr>
          <w:lang w:eastAsia="en-GB"/>
        </w:rPr>
        <w:t>c Improving the Uptake of Flu Vaccinations for Front Line Clinical Staff</w:t>
      </w:r>
    </w:p>
    <w:p w:rsidR="00C02AC7" w:rsidRDefault="00C02AC7" w:rsidP="00C02AC7">
      <w:pPr>
        <w:rPr>
          <w:lang w:eastAsia="en-GB"/>
        </w:rPr>
      </w:pPr>
    </w:p>
    <w:tbl>
      <w:tblPr>
        <w:tblStyle w:val="TableGrid1"/>
        <w:tblW w:w="0" w:type="auto"/>
        <w:tblLook w:val="04A0" w:firstRow="1" w:lastRow="0" w:firstColumn="1" w:lastColumn="0" w:noHBand="0" w:noVBand="1"/>
        <w:tblCaption w:val="Indicator"/>
      </w:tblPr>
      <w:tblGrid>
        <w:gridCol w:w="2660"/>
        <w:gridCol w:w="6379"/>
      </w:tblGrid>
      <w:tr w:rsidR="00C02AC7" w:rsidRPr="00C02AC7" w:rsidTr="00992B1B">
        <w:trPr>
          <w:tblHeader/>
        </w:trPr>
        <w:tc>
          <w:tcPr>
            <w:tcW w:w="9039" w:type="dxa"/>
            <w:gridSpan w:val="2"/>
            <w:shd w:val="clear" w:color="auto" w:fill="0070C0"/>
          </w:tcPr>
          <w:p w:rsidR="00C02AC7" w:rsidRPr="00C02AC7" w:rsidRDefault="00C02AC7" w:rsidP="00AD69B8">
            <w:pPr>
              <w:jc w:val="center"/>
            </w:pPr>
            <w:r w:rsidRPr="00C02AC7">
              <w:rPr>
                <w:rFonts w:cs="Arial"/>
                <w:b/>
                <w:color w:val="FFFFFF" w:themeColor="background1"/>
              </w:rPr>
              <w:t>Indicator</w:t>
            </w:r>
            <w:r w:rsidR="005261F1">
              <w:rPr>
                <w:rFonts w:cs="Arial"/>
                <w:b/>
                <w:color w:val="FFFFFF" w:themeColor="background1"/>
              </w:rPr>
              <w:t xml:space="preserve"> 1c</w:t>
            </w:r>
            <w:r w:rsidR="00A84BC2">
              <w:rPr>
                <w:rFonts w:cs="Arial"/>
                <w:b/>
                <w:color w:val="FFFFFF" w:themeColor="background1"/>
              </w:rPr>
              <w:t xml:space="preserve"> </w:t>
            </w:r>
          </w:p>
        </w:tc>
      </w:tr>
      <w:tr w:rsidR="00C02AC7" w:rsidRPr="00C02AC7" w:rsidTr="004363C2">
        <w:tc>
          <w:tcPr>
            <w:tcW w:w="2660" w:type="dxa"/>
          </w:tcPr>
          <w:p w:rsidR="00C02AC7" w:rsidRPr="00352B3E" w:rsidRDefault="00C02AC7" w:rsidP="00C02AC7">
            <w:pPr>
              <w:rPr>
                <w:b/>
              </w:rPr>
            </w:pPr>
            <w:r w:rsidRPr="00352B3E">
              <w:rPr>
                <w:rFonts w:cs="Arial"/>
                <w:b/>
                <w:color w:val="000000"/>
              </w:rPr>
              <w:t>Indicator name</w:t>
            </w:r>
          </w:p>
        </w:tc>
        <w:tc>
          <w:tcPr>
            <w:tcW w:w="6379" w:type="dxa"/>
          </w:tcPr>
          <w:p w:rsidR="00C02AC7" w:rsidRPr="009134B2" w:rsidRDefault="00C02AC7" w:rsidP="009134B2">
            <w:pPr>
              <w:keepNext/>
              <w:rPr>
                <w:rFonts w:cs="Arial"/>
                <w:bCs w:val="0"/>
              </w:rPr>
            </w:pPr>
            <w:r w:rsidRPr="00C02AC7">
              <w:rPr>
                <w:rFonts w:cs="Arial"/>
              </w:rPr>
              <w:t xml:space="preserve">Improving the uptake of flu vaccinations for frontline clinical staff </w:t>
            </w:r>
            <w:r w:rsidR="00114E58">
              <w:rPr>
                <w:rFonts w:cs="Arial"/>
              </w:rPr>
              <w:t>within Providers.</w:t>
            </w:r>
          </w:p>
        </w:tc>
      </w:tr>
      <w:tr w:rsidR="00C02AC7" w:rsidRPr="00C02AC7" w:rsidTr="004363C2">
        <w:tc>
          <w:tcPr>
            <w:tcW w:w="2660" w:type="dxa"/>
          </w:tcPr>
          <w:p w:rsidR="00C02AC7" w:rsidRPr="00352B3E" w:rsidRDefault="00C02AC7" w:rsidP="00C02AC7">
            <w:pPr>
              <w:rPr>
                <w:b/>
              </w:rPr>
            </w:pPr>
            <w:r w:rsidRPr="00352B3E">
              <w:rPr>
                <w:rFonts w:cs="Arial"/>
                <w:b/>
                <w:color w:val="000000"/>
              </w:rPr>
              <w:t xml:space="preserve">Indicator weighting </w:t>
            </w:r>
            <w:r w:rsidRPr="00352B3E">
              <w:rPr>
                <w:rFonts w:cs="Arial"/>
                <w:b/>
                <w:color w:val="000000"/>
              </w:rPr>
              <w:br/>
              <w:t>(% of CQUIN scheme available)</w:t>
            </w:r>
          </w:p>
        </w:tc>
        <w:tc>
          <w:tcPr>
            <w:tcW w:w="6379" w:type="dxa"/>
          </w:tcPr>
          <w:p w:rsidR="00C02AC7" w:rsidRPr="00C02AC7" w:rsidRDefault="00C02AC7" w:rsidP="00C02AC7">
            <w:r w:rsidRPr="00C02AC7">
              <w:rPr>
                <w:rFonts w:cs="Arial"/>
                <w:color w:val="000000"/>
              </w:rPr>
              <w:t>33.3% of 0.</w:t>
            </w:r>
            <w:r w:rsidRPr="00AD69B8">
              <w:rPr>
                <w:rFonts w:cs="Arial"/>
                <w:color w:val="000000"/>
              </w:rPr>
              <w:t>25% (0.08</w:t>
            </w:r>
            <w:r w:rsidR="007335AA" w:rsidRPr="00AD69B8">
              <w:rPr>
                <w:rFonts w:cs="Arial"/>
                <w:color w:val="000000"/>
              </w:rPr>
              <w:t>33</w:t>
            </w:r>
            <w:r w:rsidR="007914AB" w:rsidRPr="00AD69B8">
              <w:rPr>
                <w:rFonts w:cs="Arial"/>
                <w:color w:val="000000"/>
              </w:rPr>
              <w:t>%</w:t>
            </w:r>
            <w:r w:rsidRPr="00AD69B8">
              <w:rPr>
                <w:rFonts w:cs="Arial"/>
                <w:color w:val="000000"/>
              </w:rPr>
              <w:t>)</w:t>
            </w:r>
          </w:p>
        </w:tc>
      </w:tr>
      <w:tr w:rsidR="00C02AC7" w:rsidRPr="00C02AC7" w:rsidTr="004363C2">
        <w:tc>
          <w:tcPr>
            <w:tcW w:w="2660" w:type="dxa"/>
          </w:tcPr>
          <w:p w:rsidR="00C02AC7" w:rsidRPr="00352B3E" w:rsidRDefault="00C02AC7" w:rsidP="00C02AC7">
            <w:pPr>
              <w:rPr>
                <w:b/>
              </w:rPr>
            </w:pPr>
            <w:r w:rsidRPr="00352B3E">
              <w:rPr>
                <w:rFonts w:cs="Arial"/>
                <w:b/>
                <w:color w:val="000000"/>
              </w:rPr>
              <w:t>Description of indicator</w:t>
            </w:r>
          </w:p>
        </w:tc>
        <w:tc>
          <w:tcPr>
            <w:tcW w:w="6379" w:type="dxa"/>
          </w:tcPr>
          <w:p w:rsidR="00992B1B" w:rsidRPr="00992B1B" w:rsidRDefault="00D11CB8" w:rsidP="00D11CB8">
            <w:pPr>
              <w:contextualSpacing/>
            </w:pPr>
            <w:r>
              <w:t xml:space="preserve">Year </w:t>
            </w:r>
            <w:r w:rsidR="00992B1B" w:rsidRPr="00992B1B">
              <w:t>1</w:t>
            </w:r>
            <w:r>
              <w:t xml:space="preserve"> - </w:t>
            </w:r>
            <w:r w:rsidR="00992B1B" w:rsidRPr="00992B1B">
              <w:t>Achieving an uptake of flu vaccinations by frontline clinical staff of 70%</w:t>
            </w:r>
          </w:p>
          <w:p w:rsidR="00C02AC7" w:rsidRPr="00C02AC7" w:rsidRDefault="00992B1B" w:rsidP="00D11CB8">
            <w:pPr>
              <w:contextualSpacing/>
            </w:pPr>
            <w:r w:rsidRPr="00992B1B">
              <w:t>Year 2</w:t>
            </w:r>
            <w:r w:rsidR="004F001F">
              <w:t xml:space="preserve"> </w:t>
            </w:r>
            <w:r w:rsidR="00D11CB8">
              <w:t>-</w:t>
            </w:r>
            <w:r w:rsidRPr="00992B1B">
              <w:t xml:space="preserve"> Achieving an uptake of flu vaccinations by frontline clinical staff of 75%</w:t>
            </w:r>
          </w:p>
        </w:tc>
      </w:tr>
      <w:tr w:rsidR="00C02AC7" w:rsidRPr="00C02AC7" w:rsidTr="004363C2">
        <w:tc>
          <w:tcPr>
            <w:tcW w:w="2660" w:type="dxa"/>
          </w:tcPr>
          <w:p w:rsidR="00C02AC7" w:rsidRPr="00352B3E" w:rsidRDefault="00C02AC7" w:rsidP="00C02AC7">
            <w:pPr>
              <w:rPr>
                <w:b/>
              </w:rPr>
            </w:pPr>
            <w:r w:rsidRPr="00352B3E">
              <w:rPr>
                <w:rFonts w:cs="Arial"/>
                <w:b/>
                <w:color w:val="000000"/>
              </w:rPr>
              <w:t>Numerator</w:t>
            </w:r>
          </w:p>
        </w:tc>
        <w:tc>
          <w:tcPr>
            <w:tcW w:w="6379" w:type="dxa"/>
          </w:tcPr>
          <w:p w:rsidR="00C02AC7" w:rsidRDefault="00C02AC7" w:rsidP="00C02AC7">
            <w:pPr>
              <w:rPr>
                <w:rFonts w:cs="Arial"/>
                <w:color w:val="000000"/>
              </w:rPr>
            </w:pPr>
            <w:r w:rsidRPr="00C02AC7">
              <w:rPr>
                <w:rFonts w:cs="Arial"/>
                <w:color w:val="000000"/>
              </w:rPr>
              <w:t>Number of front line healthcare workers (permanent staff and those on fixed contracts) who have received their flu vaccination by February 28</w:t>
            </w:r>
            <w:r w:rsidRPr="00C02AC7">
              <w:rPr>
                <w:rFonts w:cs="Arial"/>
                <w:color w:val="000000"/>
                <w:vertAlign w:val="superscript"/>
              </w:rPr>
              <w:t>th</w:t>
            </w:r>
            <w:r w:rsidRPr="00C02AC7">
              <w:rPr>
                <w:rFonts w:cs="Arial"/>
                <w:color w:val="000000"/>
              </w:rPr>
              <w:t xml:space="preserve"> 2018</w:t>
            </w:r>
            <w:r w:rsidR="00992B1B">
              <w:rPr>
                <w:rFonts w:cs="Arial"/>
                <w:color w:val="000000"/>
              </w:rPr>
              <w:t>.</w:t>
            </w:r>
          </w:p>
          <w:p w:rsidR="00C73CA0" w:rsidRDefault="00C73CA0" w:rsidP="00C02AC7">
            <w:pPr>
              <w:rPr>
                <w:rFonts w:cs="Arial"/>
                <w:color w:val="000000"/>
              </w:rPr>
            </w:pPr>
          </w:p>
          <w:p w:rsidR="00C73CA0" w:rsidRPr="009134B2" w:rsidRDefault="00C73CA0" w:rsidP="00C02AC7">
            <w:pPr>
              <w:rPr>
                <w:rFonts w:cs="Arial"/>
                <w:bCs w:val="0"/>
                <w:color w:val="000000"/>
              </w:rPr>
            </w:pPr>
            <w:r>
              <w:rPr>
                <w:rFonts w:cs="Arial"/>
                <w:bCs w:val="0"/>
                <w:color w:val="000000"/>
              </w:rPr>
              <w:t>I</w:t>
            </w:r>
            <w:r w:rsidRPr="00C73CA0">
              <w:rPr>
                <w:rFonts w:cs="Arial"/>
                <w:bCs w:val="0"/>
                <w:color w:val="000000"/>
              </w:rPr>
              <w:t xml:space="preserve">f organisations believe a significant proportion of staff </w:t>
            </w:r>
            <w:proofErr w:type="gramStart"/>
            <w:r w:rsidRPr="00C73CA0">
              <w:rPr>
                <w:rFonts w:cs="Arial"/>
                <w:bCs w:val="0"/>
                <w:color w:val="000000"/>
              </w:rPr>
              <w:t>are</w:t>
            </w:r>
            <w:proofErr w:type="gramEnd"/>
            <w:r w:rsidRPr="00C73CA0">
              <w:rPr>
                <w:rFonts w:cs="Arial"/>
                <w:bCs w:val="0"/>
                <w:color w:val="000000"/>
              </w:rPr>
              <w:t xml:space="preserve"> receiving their flu vaccines from other providers, they can include this in their returns if they wish to create an auditable scheme to demonstrate it</w:t>
            </w:r>
            <w:r>
              <w:rPr>
                <w:rFonts w:cs="Arial"/>
                <w:bCs w:val="0"/>
                <w:color w:val="000000"/>
              </w:rPr>
              <w:t>.</w:t>
            </w:r>
          </w:p>
        </w:tc>
      </w:tr>
      <w:tr w:rsidR="00C02AC7" w:rsidRPr="00C02AC7" w:rsidTr="004363C2">
        <w:tc>
          <w:tcPr>
            <w:tcW w:w="2660" w:type="dxa"/>
          </w:tcPr>
          <w:p w:rsidR="00C02AC7" w:rsidRPr="00352B3E" w:rsidRDefault="00C02AC7" w:rsidP="00C02AC7">
            <w:pPr>
              <w:rPr>
                <w:b/>
              </w:rPr>
            </w:pPr>
            <w:r w:rsidRPr="00352B3E">
              <w:rPr>
                <w:rFonts w:cs="Arial"/>
                <w:b/>
                <w:color w:val="000000"/>
              </w:rPr>
              <w:t>Denominator</w:t>
            </w:r>
          </w:p>
        </w:tc>
        <w:tc>
          <w:tcPr>
            <w:tcW w:w="6379" w:type="dxa"/>
          </w:tcPr>
          <w:p w:rsidR="00C02AC7" w:rsidRPr="009134B2" w:rsidRDefault="00C02AC7" w:rsidP="00C02AC7">
            <w:pPr>
              <w:rPr>
                <w:rFonts w:cs="Arial"/>
                <w:bCs w:val="0"/>
                <w:color w:val="000000"/>
              </w:rPr>
            </w:pPr>
            <w:r w:rsidRPr="00C02AC7">
              <w:rPr>
                <w:rFonts w:cs="Arial"/>
                <w:color w:val="000000"/>
              </w:rPr>
              <w:t xml:space="preserve">Total number of front line healthcare workers </w:t>
            </w:r>
            <w:r w:rsidRPr="00C02AC7">
              <w:rPr>
                <w:rFonts w:cs="Arial"/>
                <w:color w:val="000000"/>
                <w:vertAlign w:val="superscript"/>
              </w:rPr>
              <w:footnoteReference w:id="4"/>
            </w:r>
          </w:p>
        </w:tc>
      </w:tr>
      <w:tr w:rsidR="00C02AC7" w:rsidRPr="00C02AC7" w:rsidTr="004363C2">
        <w:tc>
          <w:tcPr>
            <w:tcW w:w="2660" w:type="dxa"/>
          </w:tcPr>
          <w:p w:rsidR="00C02AC7" w:rsidRPr="00352B3E" w:rsidRDefault="00C02AC7" w:rsidP="00C02AC7">
            <w:pPr>
              <w:rPr>
                <w:b/>
              </w:rPr>
            </w:pPr>
            <w:r w:rsidRPr="00352B3E">
              <w:rPr>
                <w:rFonts w:cs="Arial"/>
                <w:b/>
                <w:color w:val="000000"/>
              </w:rPr>
              <w:t>Rationale for inclusion</w:t>
            </w:r>
          </w:p>
        </w:tc>
        <w:tc>
          <w:tcPr>
            <w:tcW w:w="6379" w:type="dxa"/>
          </w:tcPr>
          <w:p w:rsidR="00992B1B" w:rsidRPr="00992B1B" w:rsidRDefault="00992B1B" w:rsidP="00992B1B">
            <w:pPr>
              <w:rPr>
                <w:szCs w:val="23"/>
              </w:rPr>
            </w:pPr>
            <w:r w:rsidRPr="00992B1B">
              <w:rPr>
                <w:szCs w:val="23"/>
              </w:rPr>
              <w:t>Frontline healthcare workers are more likely to be exposed to the influenza virus, particularly during winter months when some of their patients will be infected. It has been estimated that up to one in four healthcare workers may become infected with influenza during a mild influenza season</w:t>
            </w:r>
            <w:r w:rsidR="004F001F">
              <w:rPr>
                <w:szCs w:val="23"/>
              </w:rPr>
              <w:t xml:space="preserve"> </w:t>
            </w:r>
            <w:r w:rsidRPr="00992B1B">
              <w:rPr>
                <w:szCs w:val="23"/>
              </w:rPr>
              <w:t xml:space="preserve">- a much higher incidence than </w:t>
            </w:r>
            <w:r w:rsidRPr="00992B1B">
              <w:rPr>
                <w:szCs w:val="23"/>
              </w:rPr>
              <w:lastRenderedPageBreak/>
              <w:t xml:space="preserve">expected in the general population. </w:t>
            </w:r>
          </w:p>
          <w:p w:rsidR="00992B1B" w:rsidRPr="00992B1B" w:rsidRDefault="00992B1B" w:rsidP="00992B1B">
            <w:pPr>
              <w:rPr>
                <w:szCs w:val="23"/>
              </w:rPr>
            </w:pPr>
          </w:p>
          <w:p w:rsidR="00992B1B" w:rsidRPr="00992B1B" w:rsidRDefault="00992B1B" w:rsidP="00992B1B">
            <w:pPr>
              <w:rPr>
                <w:szCs w:val="23"/>
              </w:rPr>
            </w:pPr>
            <w:r w:rsidRPr="00992B1B">
              <w:rPr>
                <w:szCs w:val="23"/>
              </w:rPr>
              <w:t>Influenza is also a highly transmissible infection. The patient population found in hospital is much more vulnerable to severe effects. Healthcare workers may transmit illness to patients even if they are mildly infected.</w:t>
            </w:r>
          </w:p>
          <w:p w:rsidR="00992B1B" w:rsidRPr="00992B1B" w:rsidRDefault="00992B1B" w:rsidP="00992B1B">
            <w:pPr>
              <w:rPr>
                <w:szCs w:val="23"/>
              </w:rPr>
            </w:pPr>
          </w:p>
          <w:p w:rsidR="00992B1B" w:rsidRPr="00992B1B" w:rsidRDefault="00992B1B" w:rsidP="00992B1B">
            <w:pPr>
              <w:rPr>
                <w:szCs w:val="23"/>
              </w:rPr>
            </w:pPr>
            <w:r w:rsidRPr="00992B1B">
              <w:rPr>
                <w:szCs w:val="23"/>
              </w:rPr>
              <w:t xml:space="preserve">The green book recommends that healthcare workers directly involved in patient care are vaccinated annually. It is also encouraged by the General Medical Council and by the British Medical Association. </w:t>
            </w:r>
          </w:p>
          <w:p w:rsidR="00992B1B" w:rsidRPr="00992B1B" w:rsidRDefault="00992B1B" w:rsidP="00992B1B">
            <w:pPr>
              <w:rPr>
                <w:szCs w:val="23"/>
              </w:rPr>
            </w:pPr>
          </w:p>
          <w:p w:rsidR="00C02AC7" w:rsidRPr="00992B1B" w:rsidRDefault="00992B1B" w:rsidP="004F001F">
            <w:pPr>
              <w:autoSpaceDE w:val="0"/>
              <w:autoSpaceDN w:val="0"/>
              <w:adjustRightInd w:val="0"/>
              <w:rPr>
                <w:szCs w:val="23"/>
              </w:rPr>
            </w:pPr>
            <w:r w:rsidRPr="00992B1B">
              <w:rPr>
                <w:szCs w:val="23"/>
              </w:rPr>
              <w:t>Specifically the green book states “Employers need to be able to demonstrate that an effective employee immunisation programme is in place, and they have an obligation to arrange and pay for this service. It is recommended that immunisation programmes are managed by occupational health services with appropriately qualified specialists. This chapter deals primarily with the immunisation of healthcare and laboratory staff; other occupations are covered in the relevant chapters.”</w:t>
            </w:r>
            <w:r w:rsidRPr="00992B1B">
              <w:rPr>
                <w:szCs w:val="23"/>
                <w:vertAlign w:val="superscript"/>
              </w:rPr>
              <w:footnoteReference w:id="5"/>
            </w:r>
          </w:p>
        </w:tc>
      </w:tr>
      <w:tr w:rsidR="00C02AC7" w:rsidRPr="00C02AC7" w:rsidTr="004363C2">
        <w:tc>
          <w:tcPr>
            <w:tcW w:w="2660" w:type="dxa"/>
          </w:tcPr>
          <w:p w:rsidR="00C02AC7" w:rsidRPr="00352B3E" w:rsidRDefault="00C02AC7" w:rsidP="00C02AC7">
            <w:pPr>
              <w:rPr>
                <w:b/>
              </w:rPr>
            </w:pPr>
            <w:r w:rsidRPr="00352B3E">
              <w:rPr>
                <w:rFonts w:cs="Arial"/>
                <w:b/>
                <w:color w:val="000000"/>
              </w:rPr>
              <w:lastRenderedPageBreak/>
              <w:t>Data source</w:t>
            </w:r>
          </w:p>
        </w:tc>
        <w:tc>
          <w:tcPr>
            <w:tcW w:w="6379" w:type="dxa"/>
          </w:tcPr>
          <w:p w:rsidR="00C02AC7" w:rsidRPr="009D451F" w:rsidRDefault="00C02AC7" w:rsidP="009D451F">
            <w:pPr>
              <w:keepNext/>
              <w:rPr>
                <w:rFonts w:cs="Arial"/>
                <w:b/>
                <w:bCs w:val="0"/>
                <w:color w:val="000000"/>
              </w:rPr>
            </w:pPr>
            <w:r w:rsidRPr="00C02AC7">
              <w:rPr>
                <w:rFonts w:cs="Arial"/>
                <w:color w:val="000000"/>
              </w:rPr>
              <w:t xml:space="preserve">Providers to submit </w:t>
            </w:r>
            <w:r w:rsidRPr="00C02AC7">
              <w:rPr>
                <w:rFonts w:cs="Arial"/>
              </w:rPr>
              <w:t xml:space="preserve">cumulative data monthly on the </w:t>
            </w:r>
            <w:proofErr w:type="spellStart"/>
            <w:r w:rsidRPr="00C02AC7">
              <w:rPr>
                <w:rFonts w:cs="Arial"/>
              </w:rPr>
              <w:t>ImmForm</w:t>
            </w:r>
            <w:proofErr w:type="spellEnd"/>
            <w:r w:rsidRPr="00C02AC7">
              <w:rPr>
                <w:rFonts w:cs="Arial"/>
              </w:rPr>
              <w:t xml:space="preserve"> website</w:t>
            </w:r>
          </w:p>
        </w:tc>
      </w:tr>
      <w:tr w:rsidR="00C02AC7" w:rsidRPr="00C02AC7" w:rsidTr="004363C2">
        <w:tc>
          <w:tcPr>
            <w:tcW w:w="2660" w:type="dxa"/>
          </w:tcPr>
          <w:p w:rsidR="00C02AC7" w:rsidRPr="00352B3E" w:rsidRDefault="00C02AC7" w:rsidP="00C02AC7">
            <w:pPr>
              <w:rPr>
                <w:b/>
              </w:rPr>
            </w:pPr>
            <w:r w:rsidRPr="00352B3E">
              <w:rPr>
                <w:rFonts w:cs="Arial"/>
                <w:b/>
                <w:color w:val="000000"/>
              </w:rPr>
              <w:t>Frequency of data collection</w:t>
            </w:r>
          </w:p>
        </w:tc>
        <w:tc>
          <w:tcPr>
            <w:tcW w:w="6379" w:type="dxa"/>
          </w:tcPr>
          <w:p w:rsidR="00C02AC7" w:rsidRPr="00C02AC7" w:rsidRDefault="00C02AC7" w:rsidP="00C02AC7">
            <w:pPr>
              <w:rPr>
                <w:rFonts w:cs="Arial"/>
                <w:bCs w:val="0"/>
                <w:color w:val="000000"/>
              </w:rPr>
            </w:pPr>
            <w:r w:rsidRPr="00C02AC7">
              <w:rPr>
                <w:rFonts w:cs="Arial"/>
                <w:color w:val="000000"/>
              </w:rPr>
              <w:t xml:space="preserve">Monthly </w:t>
            </w:r>
          </w:p>
          <w:p w:rsidR="00C02AC7" w:rsidRPr="00C02AC7" w:rsidRDefault="00C02AC7" w:rsidP="00C02AC7"/>
        </w:tc>
      </w:tr>
      <w:tr w:rsidR="00C02AC7" w:rsidRPr="00C02AC7" w:rsidTr="004363C2">
        <w:tc>
          <w:tcPr>
            <w:tcW w:w="2660" w:type="dxa"/>
          </w:tcPr>
          <w:p w:rsidR="00C02AC7" w:rsidRPr="00352B3E" w:rsidRDefault="00C02AC7" w:rsidP="00C02AC7">
            <w:pPr>
              <w:rPr>
                <w:b/>
              </w:rPr>
            </w:pPr>
            <w:r w:rsidRPr="00352B3E">
              <w:rPr>
                <w:rFonts w:cs="Arial"/>
                <w:b/>
                <w:color w:val="000000"/>
              </w:rPr>
              <w:t>Organisation responsible for data collection</w:t>
            </w:r>
          </w:p>
        </w:tc>
        <w:tc>
          <w:tcPr>
            <w:tcW w:w="6379" w:type="dxa"/>
          </w:tcPr>
          <w:p w:rsidR="00C02AC7" w:rsidRPr="00C02AC7" w:rsidRDefault="00C02AC7" w:rsidP="00C02AC7">
            <w:r w:rsidRPr="00C02AC7">
              <w:rPr>
                <w:rFonts w:cs="Arial"/>
                <w:color w:val="000000"/>
              </w:rPr>
              <w:t>Provider</w:t>
            </w:r>
          </w:p>
        </w:tc>
      </w:tr>
      <w:tr w:rsidR="00C02AC7" w:rsidRPr="00C02AC7" w:rsidTr="004363C2">
        <w:tc>
          <w:tcPr>
            <w:tcW w:w="2660" w:type="dxa"/>
          </w:tcPr>
          <w:p w:rsidR="00C02AC7" w:rsidRPr="00352B3E" w:rsidRDefault="00C02AC7" w:rsidP="00C02AC7">
            <w:pPr>
              <w:rPr>
                <w:b/>
              </w:rPr>
            </w:pPr>
            <w:r w:rsidRPr="00352B3E">
              <w:rPr>
                <w:rFonts w:cs="Arial"/>
                <w:b/>
                <w:color w:val="000000"/>
              </w:rPr>
              <w:t>Frequency of reporting to commissioner</w:t>
            </w:r>
          </w:p>
        </w:tc>
        <w:tc>
          <w:tcPr>
            <w:tcW w:w="6379" w:type="dxa"/>
          </w:tcPr>
          <w:p w:rsidR="00992B1B" w:rsidRPr="00992B1B" w:rsidRDefault="00992B1B" w:rsidP="00D11CB8">
            <w:pPr>
              <w:jc w:val="both"/>
            </w:pPr>
            <w:r w:rsidRPr="00992B1B">
              <w:t>Year 1</w:t>
            </w:r>
            <w:r w:rsidR="00D11CB8">
              <w:t xml:space="preserve"> -</w:t>
            </w:r>
            <w:r w:rsidRPr="00992B1B">
              <w:t>March 2018</w:t>
            </w:r>
          </w:p>
          <w:p w:rsidR="00C02AC7" w:rsidRPr="00C02AC7" w:rsidRDefault="00D11CB8" w:rsidP="00D11CB8">
            <w:pPr>
              <w:jc w:val="both"/>
            </w:pPr>
            <w:r>
              <w:rPr>
                <w:rFonts w:cs="Arial"/>
                <w:color w:val="000000"/>
              </w:rPr>
              <w:t>Year 2 -</w:t>
            </w:r>
            <w:r w:rsidR="00992B1B" w:rsidRPr="00992B1B">
              <w:rPr>
                <w:rFonts w:cs="Arial"/>
                <w:color w:val="000000"/>
              </w:rPr>
              <w:t>March 2019</w:t>
            </w:r>
          </w:p>
        </w:tc>
      </w:tr>
      <w:tr w:rsidR="00C02AC7" w:rsidRPr="00C02AC7" w:rsidTr="004363C2">
        <w:tc>
          <w:tcPr>
            <w:tcW w:w="2660" w:type="dxa"/>
          </w:tcPr>
          <w:p w:rsidR="00C02AC7" w:rsidRPr="00352B3E" w:rsidRDefault="00C02AC7" w:rsidP="00C02AC7">
            <w:pPr>
              <w:rPr>
                <w:b/>
              </w:rPr>
            </w:pPr>
            <w:r w:rsidRPr="00352B3E">
              <w:rPr>
                <w:rFonts w:cs="Arial"/>
                <w:b/>
                <w:color w:val="000000"/>
              </w:rPr>
              <w:t>Baseline period/date</w:t>
            </w:r>
          </w:p>
        </w:tc>
        <w:tc>
          <w:tcPr>
            <w:tcW w:w="6379" w:type="dxa"/>
          </w:tcPr>
          <w:p w:rsidR="00C02AC7" w:rsidRPr="009D451F" w:rsidRDefault="00C02AC7" w:rsidP="00C02AC7">
            <w:pPr>
              <w:rPr>
                <w:rFonts w:cs="Arial"/>
                <w:bCs w:val="0"/>
                <w:color w:val="000000"/>
              </w:rPr>
            </w:pPr>
            <w:r w:rsidRPr="00C02AC7">
              <w:rPr>
                <w:rFonts w:cs="Arial"/>
                <w:color w:val="000000"/>
              </w:rPr>
              <w:t>N/A</w:t>
            </w:r>
          </w:p>
        </w:tc>
      </w:tr>
      <w:tr w:rsidR="00C02AC7" w:rsidRPr="00C02AC7" w:rsidTr="004363C2">
        <w:tc>
          <w:tcPr>
            <w:tcW w:w="2660" w:type="dxa"/>
          </w:tcPr>
          <w:p w:rsidR="00C02AC7" w:rsidRPr="00352B3E" w:rsidRDefault="00C02AC7" w:rsidP="00C02AC7">
            <w:pPr>
              <w:rPr>
                <w:b/>
              </w:rPr>
            </w:pPr>
            <w:r w:rsidRPr="00352B3E">
              <w:rPr>
                <w:rFonts w:cs="Arial"/>
                <w:b/>
                <w:color w:val="000000"/>
              </w:rPr>
              <w:t>Baseline value</w:t>
            </w:r>
          </w:p>
        </w:tc>
        <w:tc>
          <w:tcPr>
            <w:tcW w:w="6379" w:type="dxa"/>
          </w:tcPr>
          <w:p w:rsidR="00C02AC7" w:rsidRPr="00C02AC7" w:rsidRDefault="00C02AC7" w:rsidP="00C02AC7">
            <w:r w:rsidRPr="00C02AC7">
              <w:rPr>
                <w:rFonts w:cs="Arial"/>
                <w:color w:val="000000"/>
              </w:rPr>
              <w:t>N/A</w:t>
            </w:r>
          </w:p>
        </w:tc>
      </w:tr>
      <w:tr w:rsidR="00C02AC7" w:rsidRPr="00C02AC7" w:rsidTr="004363C2">
        <w:tc>
          <w:tcPr>
            <w:tcW w:w="2660" w:type="dxa"/>
          </w:tcPr>
          <w:p w:rsidR="00C02AC7" w:rsidRPr="00352B3E" w:rsidRDefault="00C02AC7" w:rsidP="00C02AC7">
            <w:pPr>
              <w:rPr>
                <w:b/>
              </w:rPr>
            </w:pPr>
            <w:r w:rsidRPr="00352B3E">
              <w:rPr>
                <w:rFonts w:cs="Arial"/>
                <w:b/>
                <w:color w:val="000000"/>
              </w:rPr>
              <w:t>Final indicator period/date (on which payment is based)</w:t>
            </w:r>
          </w:p>
        </w:tc>
        <w:tc>
          <w:tcPr>
            <w:tcW w:w="6379" w:type="dxa"/>
          </w:tcPr>
          <w:p w:rsidR="00992B1B" w:rsidRPr="00992B1B" w:rsidRDefault="00992B1B" w:rsidP="00992B1B">
            <w:pPr>
              <w:rPr>
                <w:rFonts w:cs="Arial"/>
                <w:color w:val="000000"/>
              </w:rPr>
            </w:pPr>
            <w:r w:rsidRPr="00992B1B">
              <w:rPr>
                <w:rFonts w:cs="Arial"/>
                <w:color w:val="000000"/>
              </w:rPr>
              <w:t>Year 1-March 2018</w:t>
            </w:r>
          </w:p>
          <w:p w:rsidR="00C02AC7" w:rsidRPr="00C02AC7" w:rsidRDefault="00992B1B" w:rsidP="00992B1B">
            <w:r>
              <w:rPr>
                <w:rFonts w:cs="Arial"/>
                <w:color w:val="000000"/>
              </w:rPr>
              <w:t>Year 2</w:t>
            </w:r>
            <w:r w:rsidR="00D11CB8">
              <w:rPr>
                <w:rFonts w:cs="Arial"/>
                <w:color w:val="000000"/>
              </w:rPr>
              <w:t>-</w:t>
            </w:r>
            <w:r w:rsidRPr="00992B1B">
              <w:rPr>
                <w:rFonts w:cs="Arial"/>
                <w:color w:val="000000"/>
              </w:rPr>
              <w:t>March 2019</w:t>
            </w:r>
          </w:p>
        </w:tc>
      </w:tr>
      <w:tr w:rsidR="00C02AC7" w:rsidRPr="00C02AC7" w:rsidTr="004363C2">
        <w:tc>
          <w:tcPr>
            <w:tcW w:w="2660" w:type="dxa"/>
          </w:tcPr>
          <w:p w:rsidR="00C02AC7" w:rsidRPr="00352B3E" w:rsidRDefault="00C02AC7" w:rsidP="00C02AC7">
            <w:pPr>
              <w:rPr>
                <w:b/>
              </w:rPr>
            </w:pPr>
            <w:r w:rsidRPr="00352B3E">
              <w:rPr>
                <w:rFonts w:cs="Arial"/>
                <w:b/>
                <w:color w:val="000000"/>
              </w:rPr>
              <w:t>Final indicator value (payment threshold)</w:t>
            </w:r>
          </w:p>
        </w:tc>
        <w:tc>
          <w:tcPr>
            <w:tcW w:w="6379" w:type="dxa"/>
          </w:tcPr>
          <w:p w:rsidR="00992B1B" w:rsidRPr="00992B1B" w:rsidRDefault="00992B1B" w:rsidP="00992B1B">
            <w:r w:rsidRPr="00992B1B">
              <w:t>Year 1 – A 70% uptake of flu vaccinations by frontline healthcare workers</w:t>
            </w:r>
          </w:p>
          <w:p w:rsidR="00C02AC7" w:rsidRPr="00C02AC7" w:rsidRDefault="00992B1B" w:rsidP="00992B1B">
            <w:pPr>
              <w:rPr>
                <w:rFonts w:cs="Arial"/>
                <w:bCs w:val="0"/>
                <w:color w:val="000000"/>
              </w:rPr>
            </w:pPr>
            <w:r w:rsidRPr="00992B1B">
              <w:rPr>
                <w:rFonts w:cs="Arial"/>
                <w:color w:val="000000"/>
              </w:rPr>
              <w:t>Year 2 - A 75% uptake of the flu vaccinations by frontline healthcare workers</w:t>
            </w:r>
          </w:p>
        </w:tc>
      </w:tr>
      <w:tr w:rsidR="00C02AC7" w:rsidRPr="00C02AC7" w:rsidTr="004363C2">
        <w:tc>
          <w:tcPr>
            <w:tcW w:w="2660" w:type="dxa"/>
          </w:tcPr>
          <w:p w:rsidR="00C02AC7" w:rsidRPr="00352B3E" w:rsidRDefault="00C02AC7" w:rsidP="00C02AC7">
            <w:pPr>
              <w:rPr>
                <w:b/>
              </w:rPr>
            </w:pPr>
            <w:r w:rsidRPr="00352B3E">
              <w:rPr>
                <w:rFonts w:cs="Arial"/>
                <w:b/>
                <w:color w:val="000000"/>
              </w:rPr>
              <w:t>Final indicator reporting date</w:t>
            </w:r>
          </w:p>
        </w:tc>
        <w:tc>
          <w:tcPr>
            <w:tcW w:w="6379" w:type="dxa"/>
          </w:tcPr>
          <w:p w:rsidR="00C02AC7" w:rsidRPr="00C02AC7" w:rsidRDefault="00C02AC7" w:rsidP="00C02AC7">
            <w:pPr>
              <w:keepNext/>
              <w:contextualSpacing/>
            </w:pPr>
            <w:r w:rsidRPr="00C02AC7">
              <w:t>As soon as possible after Q4 2017/18</w:t>
            </w:r>
          </w:p>
        </w:tc>
      </w:tr>
      <w:tr w:rsidR="00C02AC7" w:rsidRPr="00C02AC7" w:rsidTr="004363C2">
        <w:tc>
          <w:tcPr>
            <w:tcW w:w="2660" w:type="dxa"/>
          </w:tcPr>
          <w:p w:rsidR="00C02AC7" w:rsidRPr="00352B3E" w:rsidRDefault="00C02AC7" w:rsidP="00C02AC7">
            <w:pPr>
              <w:rPr>
                <w:b/>
              </w:rPr>
            </w:pPr>
            <w:r w:rsidRPr="00352B3E">
              <w:rPr>
                <w:rFonts w:cs="Arial"/>
                <w:b/>
                <w:color w:val="000000"/>
              </w:rPr>
              <w:t xml:space="preserve">Are there rules for any agreed in-year </w:t>
            </w:r>
            <w:r w:rsidRPr="00352B3E">
              <w:rPr>
                <w:rFonts w:cs="Arial"/>
                <w:b/>
                <w:color w:val="000000"/>
              </w:rPr>
              <w:lastRenderedPageBreak/>
              <w:t>milestones that result in payment?</w:t>
            </w:r>
          </w:p>
        </w:tc>
        <w:tc>
          <w:tcPr>
            <w:tcW w:w="6379" w:type="dxa"/>
          </w:tcPr>
          <w:p w:rsidR="00C02AC7" w:rsidRPr="00C02AC7" w:rsidRDefault="00C02AC7" w:rsidP="00C02AC7">
            <w:r w:rsidRPr="00C02AC7">
              <w:rPr>
                <w:rFonts w:eastAsia="Calibri" w:cs="Arial"/>
              </w:rPr>
              <w:lastRenderedPageBreak/>
              <w:t>N/A</w:t>
            </w:r>
          </w:p>
        </w:tc>
      </w:tr>
      <w:tr w:rsidR="00C02AC7" w:rsidRPr="00C02AC7" w:rsidTr="004363C2">
        <w:tc>
          <w:tcPr>
            <w:tcW w:w="2660" w:type="dxa"/>
          </w:tcPr>
          <w:p w:rsidR="00C02AC7" w:rsidRPr="00352B3E" w:rsidRDefault="00C02AC7" w:rsidP="00C02AC7">
            <w:pPr>
              <w:rPr>
                <w:rFonts w:cs="Arial"/>
                <w:b/>
                <w:bCs w:val="0"/>
                <w:color w:val="000000"/>
              </w:rPr>
            </w:pPr>
            <w:r w:rsidRPr="00352B3E">
              <w:rPr>
                <w:rFonts w:cs="Arial"/>
                <w:b/>
                <w:color w:val="000000"/>
              </w:rPr>
              <w:lastRenderedPageBreak/>
              <w:t>Are there any rules for partial achievement of the indicator at the final indicator period/date?</w:t>
            </w:r>
          </w:p>
        </w:tc>
        <w:tc>
          <w:tcPr>
            <w:tcW w:w="6379" w:type="dxa"/>
          </w:tcPr>
          <w:p w:rsidR="00C02AC7" w:rsidRPr="00C02AC7" w:rsidRDefault="00C02AC7" w:rsidP="00C02AC7">
            <w:pPr>
              <w:rPr>
                <w:rFonts w:eastAsia="Calibri" w:cs="Arial"/>
                <w:bCs w:val="0"/>
              </w:rPr>
            </w:pPr>
            <w:r w:rsidRPr="00C02AC7">
              <w:rPr>
                <w:rFonts w:cs="Arial"/>
                <w:color w:val="000000"/>
              </w:rPr>
              <w:t>Yes - see partial payment section</w:t>
            </w:r>
          </w:p>
        </w:tc>
      </w:tr>
    </w:tbl>
    <w:p w:rsidR="009134B2" w:rsidRDefault="009134B2">
      <w:pPr>
        <w:rPr>
          <w:rFonts w:eastAsiaTheme="majorEastAsia" w:cstheme="majorBidi"/>
          <w:b/>
          <w:bCs w:val="0"/>
          <w:iCs/>
          <w:color w:val="A00054" w:themeColor="accent2"/>
          <w:lang w:eastAsia="en-GB"/>
        </w:rPr>
      </w:pPr>
    </w:p>
    <w:p w:rsidR="005261F1" w:rsidRDefault="005261F1" w:rsidP="005261F1">
      <w:pPr>
        <w:pStyle w:val="Heading4"/>
        <w:rPr>
          <w:lang w:eastAsia="en-GB"/>
        </w:rPr>
      </w:pPr>
      <w:r w:rsidRPr="005261F1">
        <w:rPr>
          <w:lang w:eastAsia="en-GB"/>
        </w:rPr>
        <w:t>Rules for partial achievement</w:t>
      </w:r>
      <w:r>
        <w:rPr>
          <w:lang w:eastAsia="en-GB"/>
        </w:rPr>
        <w:t xml:space="preserve"> of indicator 1c</w:t>
      </w:r>
      <w:r w:rsidR="00992B1B">
        <w:rPr>
          <w:lang w:eastAsia="en-GB"/>
        </w:rPr>
        <w:t xml:space="preserve"> – Year 1</w:t>
      </w:r>
    </w:p>
    <w:p w:rsidR="005261F1" w:rsidRPr="005261F1" w:rsidRDefault="005261F1" w:rsidP="005261F1">
      <w:pPr>
        <w:rPr>
          <w:lang w:eastAsia="en-GB"/>
        </w:rPr>
      </w:pPr>
    </w:p>
    <w:tbl>
      <w:tblPr>
        <w:tblW w:w="9050" w:type="dxa"/>
        <w:tblInd w:w="-34" w:type="dxa"/>
        <w:tblLook w:val="0000" w:firstRow="0" w:lastRow="0" w:firstColumn="0" w:lastColumn="0" w:noHBand="0" w:noVBand="0"/>
      </w:tblPr>
      <w:tblGrid>
        <w:gridCol w:w="4231"/>
        <w:gridCol w:w="4819"/>
      </w:tblGrid>
      <w:tr w:rsidR="005261F1" w:rsidRPr="00F7405A" w:rsidTr="00703457">
        <w:trPr>
          <w:trHeight w:val="708"/>
          <w:tblHeader/>
        </w:trPr>
        <w:tc>
          <w:tcPr>
            <w:tcW w:w="4231" w:type="dxa"/>
            <w:tcBorders>
              <w:top w:val="single" w:sz="4" w:space="0" w:color="auto"/>
              <w:left w:val="single" w:sz="4" w:space="0" w:color="auto"/>
              <w:bottom w:val="single" w:sz="4" w:space="0" w:color="auto"/>
              <w:right w:val="nil"/>
            </w:tcBorders>
            <w:shd w:val="clear" w:color="auto" w:fill="0070C0"/>
            <w:noWrap/>
          </w:tcPr>
          <w:p w:rsidR="005261F1" w:rsidRPr="00F7405A" w:rsidRDefault="005261F1" w:rsidP="00703457">
            <w:pPr>
              <w:rPr>
                <w:rFonts w:cs="Arial"/>
                <w:b/>
                <w:color w:val="FFFFFF" w:themeColor="background1"/>
                <w:lang w:eastAsia="en-GB"/>
              </w:rPr>
            </w:pPr>
            <w:r w:rsidRPr="00F7405A">
              <w:rPr>
                <w:rFonts w:cs="Arial"/>
                <w:b/>
                <w:color w:val="FFFFFF" w:themeColor="background1"/>
                <w:lang w:eastAsia="en-GB"/>
              </w:rPr>
              <w:t>Final indicator value for the partial achievement threshold</w:t>
            </w:r>
          </w:p>
        </w:tc>
        <w:tc>
          <w:tcPr>
            <w:tcW w:w="4819" w:type="dxa"/>
            <w:tcBorders>
              <w:top w:val="single" w:sz="4" w:space="0" w:color="auto"/>
              <w:left w:val="single" w:sz="4" w:space="0" w:color="auto"/>
              <w:bottom w:val="single" w:sz="4" w:space="0" w:color="auto"/>
              <w:right w:val="single" w:sz="4" w:space="0" w:color="auto"/>
            </w:tcBorders>
            <w:shd w:val="clear" w:color="auto" w:fill="0070C0"/>
          </w:tcPr>
          <w:p w:rsidR="005261F1" w:rsidRPr="00F7405A" w:rsidRDefault="005261F1" w:rsidP="00703457">
            <w:pPr>
              <w:rPr>
                <w:rFonts w:cs="Arial"/>
                <w:b/>
                <w:color w:val="FFFFFF" w:themeColor="background1"/>
                <w:lang w:eastAsia="en-GB"/>
              </w:rPr>
            </w:pPr>
            <w:r w:rsidRPr="00F7405A">
              <w:rPr>
                <w:rFonts w:cs="Arial"/>
                <w:b/>
                <w:color w:val="FFFFFF" w:themeColor="background1"/>
                <w:lang w:eastAsia="en-GB"/>
              </w:rPr>
              <w:t>% of CQUIN scheme available for meeting final indicator value</w:t>
            </w:r>
          </w:p>
        </w:tc>
      </w:tr>
      <w:tr w:rsidR="007A6491" w:rsidRPr="00F7405A" w:rsidTr="00703457">
        <w:trPr>
          <w:trHeight w:val="352"/>
        </w:trPr>
        <w:tc>
          <w:tcPr>
            <w:tcW w:w="4231" w:type="dxa"/>
            <w:tcBorders>
              <w:top w:val="nil"/>
              <w:left w:val="single" w:sz="4" w:space="0" w:color="auto"/>
              <w:bottom w:val="single" w:sz="4" w:space="0" w:color="auto"/>
              <w:right w:val="nil"/>
            </w:tcBorders>
          </w:tcPr>
          <w:p w:rsidR="007A6491" w:rsidRPr="00F7405A" w:rsidRDefault="007A6491" w:rsidP="00703457">
            <w:pPr>
              <w:rPr>
                <w:rFonts w:cs="Arial"/>
                <w:bCs w:val="0"/>
                <w:lang w:eastAsia="en-GB"/>
              </w:rPr>
            </w:pPr>
            <w:r>
              <w:rPr>
                <w:rFonts w:cs="Arial"/>
                <w:lang w:eastAsia="en-GB"/>
              </w:rPr>
              <w:t>50% or less</w:t>
            </w:r>
          </w:p>
        </w:tc>
        <w:tc>
          <w:tcPr>
            <w:tcW w:w="4819" w:type="dxa"/>
            <w:tcBorders>
              <w:top w:val="nil"/>
              <w:left w:val="single" w:sz="4" w:space="0" w:color="auto"/>
              <w:bottom w:val="single" w:sz="4" w:space="0" w:color="auto"/>
              <w:right w:val="single" w:sz="4" w:space="0" w:color="auto"/>
            </w:tcBorders>
          </w:tcPr>
          <w:p w:rsidR="007A6491" w:rsidRPr="00F7405A" w:rsidRDefault="007A6491" w:rsidP="00703457">
            <w:pPr>
              <w:rPr>
                <w:rFonts w:cs="Arial"/>
                <w:bCs w:val="0"/>
                <w:lang w:eastAsia="en-GB"/>
              </w:rPr>
            </w:pPr>
            <w:r>
              <w:rPr>
                <w:rFonts w:cs="Arial"/>
                <w:lang w:eastAsia="en-GB"/>
              </w:rPr>
              <w:t>No payment</w:t>
            </w:r>
          </w:p>
        </w:tc>
      </w:tr>
      <w:tr w:rsidR="007A6491" w:rsidRPr="00F7405A" w:rsidTr="00703457">
        <w:trPr>
          <w:trHeight w:val="352"/>
        </w:trPr>
        <w:tc>
          <w:tcPr>
            <w:tcW w:w="4231" w:type="dxa"/>
            <w:tcBorders>
              <w:top w:val="nil"/>
              <w:left w:val="single" w:sz="4" w:space="0" w:color="auto"/>
              <w:bottom w:val="single" w:sz="4" w:space="0" w:color="auto"/>
              <w:right w:val="nil"/>
            </w:tcBorders>
          </w:tcPr>
          <w:p w:rsidR="007A6491" w:rsidRPr="00F7405A" w:rsidRDefault="007A6491" w:rsidP="006A0823">
            <w:pPr>
              <w:rPr>
                <w:rFonts w:cs="Arial"/>
                <w:bCs w:val="0"/>
                <w:lang w:eastAsia="en-GB"/>
              </w:rPr>
            </w:pPr>
            <w:r>
              <w:rPr>
                <w:rFonts w:cs="Arial"/>
                <w:lang w:eastAsia="en-GB"/>
              </w:rPr>
              <w:t xml:space="preserve">50% up to 60% </w:t>
            </w:r>
          </w:p>
        </w:tc>
        <w:tc>
          <w:tcPr>
            <w:tcW w:w="4819" w:type="dxa"/>
            <w:tcBorders>
              <w:top w:val="nil"/>
              <w:left w:val="single" w:sz="4" w:space="0" w:color="auto"/>
              <w:bottom w:val="single" w:sz="4" w:space="0" w:color="auto"/>
              <w:right w:val="single" w:sz="4" w:space="0" w:color="auto"/>
            </w:tcBorders>
          </w:tcPr>
          <w:p w:rsidR="007A6491" w:rsidRPr="00F7405A" w:rsidRDefault="007A6491" w:rsidP="00703457">
            <w:pPr>
              <w:rPr>
                <w:rFonts w:cs="Arial"/>
                <w:bCs w:val="0"/>
                <w:lang w:eastAsia="en-GB"/>
              </w:rPr>
            </w:pPr>
            <w:r>
              <w:rPr>
                <w:rFonts w:cs="Arial"/>
                <w:lang w:eastAsia="en-GB"/>
              </w:rPr>
              <w:t>25% payment</w:t>
            </w:r>
          </w:p>
        </w:tc>
      </w:tr>
      <w:tr w:rsidR="007A6491" w:rsidRPr="00F7405A" w:rsidTr="00703457">
        <w:trPr>
          <w:trHeight w:val="352"/>
        </w:trPr>
        <w:tc>
          <w:tcPr>
            <w:tcW w:w="4231" w:type="dxa"/>
            <w:tcBorders>
              <w:top w:val="nil"/>
              <w:left w:val="single" w:sz="4" w:space="0" w:color="auto"/>
              <w:bottom w:val="single" w:sz="4" w:space="0" w:color="auto"/>
              <w:right w:val="nil"/>
            </w:tcBorders>
          </w:tcPr>
          <w:p w:rsidR="007A6491" w:rsidRPr="00F7405A" w:rsidRDefault="007A6491" w:rsidP="006A0823">
            <w:pPr>
              <w:rPr>
                <w:rFonts w:cs="Arial"/>
                <w:b/>
                <w:bCs w:val="0"/>
              </w:rPr>
            </w:pPr>
            <w:r>
              <w:rPr>
                <w:rFonts w:cs="Arial"/>
                <w:lang w:eastAsia="en-GB"/>
              </w:rPr>
              <w:t>60% up to 65%</w:t>
            </w:r>
            <w:r w:rsidRPr="00F7405A">
              <w:rPr>
                <w:rFonts w:cs="Arial"/>
                <w:lang w:eastAsia="en-GB"/>
              </w:rPr>
              <w:t xml:space="preserve"> </w:t>
            </w:r>
          </w:p>
        </w:tc>
        <w:tc>
          <w:tcPr>
            <w:tcW w:w="4819" w:type="dxa"/>
            <w:tcBorders>
              <w:top w:val="nil"/>
              <w:left w:val="single" w:sz="4" w:space="0" w:color="auto"/>
              <w:bottom w:val="single" w:sz="4" w:space="0" w:color="auto"/>
              <w:right w:val="single" w:sz="4" w:space="0" w:color="auto"/>
            </w:tcBorders>
          </w:tcPr>
          <w:p w:rsidR="007A6491" w:rsidRPr="00F7405A" w:rsidRDefault="007A6491" w:rsidP="00703457">
            <w:pPr>
              <w:rPr>
                <w:rFonts w:cs="Arial"/>
                <w:b/>
                <w:bCs w:val="0"/>
              </w:rPr>
            </w:pPr>
            <w:r>
              <w:rPr>
                <w:rFonts w:cs="Arial"/>
                <w:lang w:eastAsia="en-GB"/>
              </w:rPr>
              <w:t>50%</w:t>
            </w:r>
            <w:r w:rsidRPr="00F7405A">
              <w:rPr>
                <w:rFonts w:cs="Arial"/>
                <w:lang w:eastAsia="en-GB"/>
              </w:rPr>
              <w:t xml:space="preserve"> payment</w:t>
            </w:r>
          </w:p>
        </w:tc>
      </w:tr>
      <w:tr w:rsidR="007A6491" w:rsidRPr="00F7405A" w:rsidTr="00703457">
        <w:trPr>
          <w:trHeight w:val="352"/>
        </w:trPr>
        <w:tc>
          <w:tcPr>
            <w:tcW w:w="4231" w:type="dxa"/>
            <w:tcBorders>
              <w:top w:val="nil"/>
              <w:left w:val="single" w:sz="4" w:space="0" w:color="auto"/>
              <w:bottom w:val="single" w:sz="4" w:space="0" w:color="auto"/>
              <w:right w:val="nil"/>
            </w:tcBorders>
          </w:tcPr>
          <w:p w:rsidR="007A6491" w:rsidRPr="00F7405A" w:rsidRDefault="007A6491" w:rsidP="006A0823">
            <w:pPr>
              <w:rPr>
                <w:rFonts w:cs="Arial"/>
                <w:bCs w:val="0"/>
              </w:rPr>
            </w:pPr>
            <w:r>
              <w:rPr>
                <w:rFonts w:cs="Arial"/>
                <w:lang w:eastAsia="en-GB"/>
              </w:rPr>
              <w:t>65% up to 70%</w:t>
            </w:r>
            <w:r w:rsidRPr="00F7405A">
              <w:rPr>
                <w:rFonts w:cs="Arial"/>
                <w:lang w:eastAsia="en-GB"/>
              </w:rPr>
              <w:t xml:space="preserve"> </w:t>
            </w:r>
          </w:p>
        </w:tc>
        <w:tc>
          <w:tcPr>
            <w:tcW w:w="4819" w:type="dxa"/>
            <w:tcBorders>
              <w:top w:val="nil"/>
              <w:left w:val="single" w:sz="4" w:space="0" w:color="auto"/>
              <w:bottom w:val="single" w:sz="4" w:space="0" w:color="auto"/>
              <w:right w:val="single" w:sz="4" w:space="0" w:color="auto"/>
            </w:tcBorders>
          </w:tcPr>
          <w:p w:rsidR="007A6491" w:rsidRPr="00F7405A" w:rsidRDefault="007A6491" w:rsidP="00703457">
            <w:pPr>
              <w:rPr>
                <w:rFonts w:cs="Arial"/>
                <w:bCs w:val="0"/>
              </w:rPr>
            </w:pPr>
            <w:r>
              <w:rPr>
                <w:rFonts w:cs="Arial"/>
                <w:lang w:eastAsia="en-GB"/>
              </w:rPr>
              <w:t>75</w:t>
            </w:r>
            <w:r w:rsidRPr="00F7405A">
              <w:rPr>
                <w:rFonts w:cs="Arial"/>
                <w:lang w:eastAsia="en-GB"/>
              </w:rPr>
              <w:t>% payment</w:t>
            </w:r>
          </w:p>
        </w:tc>
      </w:tr>
      <w:tr w:rsidR="007A6491" w:rsidRPr="00F7405A" w:rsidTr="00703457">
        <w:trPr>
          <w:trHeight w:val="408"/>
        </w:trPr>
        <w:tc>
          <w:tcPr>
            <w:tcW w:w="4231" w:type="dxa"/>
            <w:tcBorders>
              <w:top w:val="nil"/>
              <w:left w:val="single" w:sz="4" w:space="0" w:color="auto"/>
              <w:bottom w:val="single" w:sz="4" w:space="0" w:color="auto"/>
              <w:right w:val="nil"/>
            </w:tcBorders>
          </w:tcPr>
          <w:p w:rsidR="007A6491" w:rsidRPr="00F7405A" w:rsidRDefault="007A6491" w:rsidP="00703457">
            <w:pPr>
              <w:rPr>
                <w:rFonts w:cs="Arial"/>
                <w:bCs w:val="0"/>
                <w:lang w:eastAsia="en-GB"/>
              </w:rPr>
            </w:pPr>
            <w:r>
              <w:rPr>
                <w:rFonts w:cs="Arial"/>
                <w:lang w:eastAsia="en-GB"/>
              </w:rPr>
              <w:t>70</w:t>
            </w:r>
            <w:r w:rsidRPr="00F7405A">
              <w:rPr>
                <w:rFonts w:cs="Arial"/>
                <w:lang w:eastAsia="en-GB"/>
              </w:rPr>
              <w:t>% or above</w:t>
            </w:r>
          </w:p>
        </w:tc>
        <w:tc>
          <w:tcPr>
            <w:tcW w:w="4819" w:type="dxa"/>
            <w:tcBorders>
              <w:top w:val="nil"/>
              <w:left w:val="single" w:sz="4" w:space="0" w:color="auto"/>
              <w:bottom w:val="single" w:sz="4" w:space="0" w:color="auto"/>
              <w:right w:val="single" w:sz="4" w:space="0" w:color="auto"/>
            </w:tcBorders>
          </w:tcPr>
          <w:p w:rsidR="007A6491" w:rsidRPr="00F7405A" w:rsidRDefault="007A6491" w:rsidP="00703457">
            <w:pPr>
              <w:rPr>
                <w:rFonts w:cs="Arial"/>
                <w:bCs w:val="0"/>
                <w:lang w:eastAsia="en-GB"/>
              </w:rPr>
            </w:pPr>
            <w:r w:rsidRPr="00F7405A">
              <w:rPr>
                <w:rFonts w:cs="Arial"/>
                <w:lang w:eastAsia="en-GB"/>
              </w:rPr>
              <w:t>100% payment</w:t>
            </w:r>
          </w:p>
        </w:tc>
      </w:tr>
    </w:tbl>
    <w:p w:rsidR="005261F1" w:rsidRDefault="005261F1" w:rsidP="005261F1">
      <w:pPr>
        <w:rPr>
          <w:lang w:eastAsia="en-GB"/>
        </w:rPr>
      </w:pPr>
    </w:p>
    <w:p w:rsidR="00992B1B" w:rsidRDefault="00992B1B" w:rsidP="00992B1B">
      <w:pPr>
        <w:pStyle w:val="Heading4"/>
        <w:rPr>
          <w:lang w:eastAsia="en-GB"/>
        </w:rPr>
      </w:pPr>
      <w:bookmarkStart w:id="13" w:name="_Toc461714468"/>
      <w:bookmarkStart w:id="14" w:name="_Toc462224319"/>
      <w:bookmarkStart w:id="15" w:name="_Toc462303911"/>
      <w:r w:rsidRPr="005261F1">
        <w:rPr>
          <w:lang w:eastAsia="en-GB"/>
        </w:rPr>
        <w:t>Rules for partial achievement</w:t>
      </w:r>
      <w:r>
        <w:rPr>
          <w:lang w:eastAsia="en-GB"/>
        </w:rPr>
        <w:t xml:space="preserve"> of indicator 1c – Year 2</w:t>
      </w:r>
    </w:p>
    <w:p w:rsidR="00992B1B" w:rsidRPr="00992B1B" w:rsidRDefault="00992B1B" w:rsidP="00992B1B">
      <w:pPr>
        <w:rPr>
          <w:lang w:eastAsia="en-GB"/>
        </w:rPr>
      </w:pPr>
    </w:p>
    <w:tbl>
      <w:tblPr>
        <w:tblW w:w="9073" w:type="dxa"/>
        <w:tblInd w:w="-34" w:type="dxa"/>
        <w:tblLook w:val="0000" w:firstRow="0" w:lastRow="0" w:firstColumn="0" w:lastColumn="0" w:noHBand="0" w:noVBand="0"/>
      </w:tblPr>
      <w:tblGrid>
        <w:gridCol w:w="4253"/>
        <w:gridCol w:w="4820"/>
      </w:tblGrid>
      <w:tr w:rsidR="00992B1B" w:rsidRPr="00992B1B" w:rsidTr="00992B1B">
        <w:trPr>
          <w:trHeight w:val="700"/>
          <w:tblHeader/>
        </w:trPr>
        <w:tc>
          <w:tcPr>
            <w:tcW w:w="4253" w:type="dxa"/>
            <w:tcBorders>
              <w:top w:val="single" w:sz="4" w:space="0" w:color="auto"/>
              <w:left w:val="single" w:sz="4" w:space="0" w:color="auto"/>
              <w:bottom w:val="single" w:sz="4" w:space="0" w:color="auto"/>
              <w:right w:val="nil"/>
            </w:tcBorders>
            <w:shd w:val="clear" w:color="auto" w:fill="0070C0"/>
            <w:noWrap/>
          </w:tcPr>
          <w:p w:rsidR="00992B1B" w:rsidRPr="00992B1B" w:rsidRDefault="00992B1B" w:rsidP="00992B1B">
            <w:pPr>
              <w:rPr>
                <w:b/>
                <w:color w:val="FFFFFF" w:themeColor="background1"/>
                <w:lang w:eastAsia="en-GB"/>
              </w:rPr>
            </w:pPr>
            <w:r w:rsidRPr="00992B1B">
              <w:rPr>
                <w:b/>
                <w:color w:val="FFFFFF" w:themeColor="background1"/>
                <w:lang w:eastAsia="en-GB"/>
              </w:rPr>
              <w:t>Final indicator value for the partial achievement threshold</w:t>
            </w:r>
          </w:p>
        </w:tc>
        <w:tc>
          <w:tcPr>
            <w:tcW w:w="4820" w:type="dxa"/>
            <w:tcBorders>
              <w:top w:val="single" w:sz="4" w:space="0" w:color="auto"/>
              <w:left w:val="single" w:sz="4" w:space="0" w:color="auto"/>
              <w:bottom w:val="single" w:sz="4" w:space="0" w:color="auto"/>
              <w:right w:val="single" w:sz="4" w:space="0" w:color="auto"/>
            </w:tcBorders>
            <w:shd w:val="clear" w:color="auto" w:fill="0070C0"/>
          </w:tcPr>
          <w:p w:rsidR="00992B1B" w:rsidRPr="00992B1B" w:rsidRDefault="00992B1B" w:rsidP="00992B1B">
            <w:pPr>
              <w:rPr>
                <w:b/>
                <w:color w:val="FFFFFF" w:themeColor="background1"/>
                <w:lang w:eastAsia="en-GB"/>
              </w:rPr>
            </w:pPr>
            <w:r w:rsidRPr="00992B1B">
              <w:rPr>
                <w:b/>
                <w:color w:val="FFFFFF" w:themeColor="background1"/>
                <w:lang w:eastAsia="en-GB"/>
              </w:rPr>
              <w:t>% of CQUIN scheme available for meeting final indicator value</w:t>
            </w:r>
          </w:p>
        </w:tc>
      </w:tr>
      <w:tr w:rsidR="007A6491" w:rsidRPr="00992B1B" w:rsidTr="00992B1B">
        <w:trPr>
          <w:trHeight w:val="348"/>
        </w:trPr>
        <w:tc>
          <w:tcPr>
            <w:tcW w:w="4253" w:type="dxa"/>
            <w:tcBorders>
              <w:top w:val="nil"/>
              <w:left w:val="single" w:sz="4" w:space="0" w:color="auto"/>
              <w:bottom w:val="single" w:sz="4" w:space="0" w:color="auto"/>
              <w:right w:val="nil"/>
            </w:tcBorders>
          </w:tcPr>
          <w:p w:rsidR="007A6491" w:rsidRPr="00992B1B" w:rsidRDefault="007A6491" w:rsidP="00992B1B">
            <w:pPr>
              <w:rPr>
                <w:lang w:eastAsia="en-GB"/>
              </w:rPr>
            </w:pPr>
            <w:r>
              <w:rPr>
                <w:rFonts w:cs="Arial"/>
                <w:lang w:eastAsia="en-GB"/>
              </w:rPr>
              <w:t>50% or less</w:t>
            </w:r>
          </w:p>
        </w:tc>
        <w:tc>
          <w:tcPr>
            <w:tcW w:w="4820" w:type="dxa"/>
            <w:tcBorders>
              <w:top w:val="nil"/>
              <w:left w:val="single" w:sz="4" w:space="0" w:color="auto"/>
              <w:bottom w:val="single" w:sz="4" w:space="0" w:color="auto"/>
              <w:right w:val="single" w:sz="4" w:space="0" w:color="auto"/>
            </w:tcBorders>
          </w:tcPr>
          <w:p w:rsidR="007A6491" w:rsidRPr="00992B1B" w:rsidRDefault="007A6491" w:rsidP="00992B1B">
            <w:pPr>
              <w:rPr>
                <w:lang w:eastAsia="en-GB"/>
              </w:rPr>
            </w:pPr>
            <w:r>
              <w:rPr>
                <w:rFonts w:cs="Arial"/>
                <w:lang w:eastAsia="en-GB"/>
              </w:rPr>
              <w:t>No payment</w:t>
            </w:r>
          </w:p>
        </w:tc>
      </w:tr>
      <w:tr w:rsidR="007A6491" w:rsidRPr="00992B1B" w:rsidTr="00992B1B">
        <w:trPr>
          <w:trHeight w:val="348"/>
        </w:trPr>
        <w:tc>
          <w:tcPr>
            <w:tcW w:w="4253" w:type="dxa"/>
            <w:tcBorders>
              <w:top w:val="nil"/>
              <w:left w:val="single" w:sz="4" w:space="0" w:color="auto"/>
              <w:bottom w:val="single" w:sz="4" w:space="0" w:color="auto"/>
              <w:right w:val="nil"/>
            </w:tcBorders>
          </w:tcPr>
          <w:p w:rsidR="007A6491" w:rsidRPr="00992B1B" w:rsidRDefault="007A6491" w:rsidP="006A0823">
            <w:pPr>
              <w:rPr>
                <w:lang w:eastAsia="en-GB"/>
              </w:rPr>
            </w:pPr>
            <w:r>
              <w:rPr>
                <w:rFonts w:cs="Arial"/>
                <w:lang w:eastAsia="en-GB"/>
              </w:rPr>
              <w:t xml:space="preserve">50% up to 60% </w:t>
            </w:r>
          </w:p>
        </w:tc>
        <w:tc>
          <w:tcPr>
            <w:tcW w:w="4820" w:type="dxa"/>
            <w:tcBorders>
              <w:top w:val="nil"/>
              <w:left w:val="single" w:sz="4" w:space="0" w:color="auto"/>
              <w:bottom w:val="single" w:sz="4" w:space="0" w:color="auto"/>
              <w:right w:val="single" w:sz="4" w:space="0" w:color="auto"/>
            </w:tcBorders>
          </w:tcPr>
          <w:p w:rsidR="007A6491" w:rsidRPr="00992B1B" w:rsidRDefault="007A6491" w:rsidP="00992B1B">
            <w:pPr>
              <w:rPr>
                <w:lang w:eastAsia="en-GB"/>
              </w:rPr>
            </w:pPr>
            <w:r>
              <w:rPr>
                <w:rFonts w:cs="Arial"/>
                <w:lang w:eastAsia="en-GB"/>
              </w:rPr>
              <w:t>25% payment</w:t>
            </w:r>
          </w:p>
        </w:tc>
      </w:tr>
      <w:tr w:rsidR="007A6491" w:rsidRPr="00992B1B" w:rsidTr="00992B1B">
        <w:trPr>
          <w:trHeight w:val="348"/>
        </w:trPr>
        <w:tc>
          <w:tcPr>
            <w:tcW w:w="4253" w:type="dxa"/>
            <w:tcBorders>
              <w:top w:val="nil"/>
              <w:left w:val="single" w:sz="4" w:space="0" w:color="auto"/>
              <w:bottom w:val="single" w:sz="4" w:space="0" w:color="auto"/>
              <w:right w:val="nil"/>
            </w:tcBorders>
          </w:tcPr>
          <w:p w:rsidR="007A6491" w:rsidRPr="00992B1B" w:rsidRDefault="007A6491" w:rsidP="006A0823">
            <w:pPr>
              <w:rPr>
                <w:b/>
                <w:lang w:eastAsia="en-GB"/>
              </w:rPr>
            </w:pPr>
            <w:r>
              <w:rPr>
                <w:rFonts w:cs="Arial"/>
                <w:lang w:eastAsia="en-GB"/>
              </w:rPr>
              <w:t>60% up to 65%</w:t>
            </w:r>
            <w:r w:rsidRPr="00F7405A">
              <w:rPr>
                <w:rFonts w:cs="Arial"/>
                <w:lang w:eastAsia="en-GB"/>
              </w:rPr>
              <w:t xml:space="preserve"> </w:t>
            </w:r>
          </w:p>
        </w:tc>
        <w:tc>
          <w:tcPr>
            <w:tcW w:w="4820" w:type="dxa"/>
            <w:tcBorders>
              <w:top w:val="nil"/>
              <w:left w:val="single" w:sz="4" w:space="0" w:color="auto"/>
              <w:bottom w:val="single" w:sz="4" w:space="0" w:color="auto"/>
              <w:right w:val="single" w:sz="4" w:space="0" w:color="auto"/>
            </w:tcBorders>
          </w:tcPr>
          <w:p w:rsidR="007A6491" w:rsidRPr="00992B1B" w:rsidRDefault="007A6491" w:rsidP="00992B1B">
            <w:pPr>
              <w:rPr>
                <w:b/>
                <w:lang w:eastAsia="en-GB"/>
              </w:rPr>
            </w:pPr>
            <w:r>
              <w:rPr>
                <w:rFonts w:cs="Arial"/>
                <w:lang w:eastAsia="en-GB"/>
              </w:rPr>
              <w:t>50%</w:t>
            </w:r>
            <w:r w:rsidRPr="00F7405A">
              <w:rPr>
                <w:rFonts w:cs="Arial"/>
                <w:lang w:eastAsia="en-GB"/>
              </w:rPr>
              <w:t xml:space="preserve"> payment</w:t>
            </w:r>
          </w:p>
        </w:tc>
      </w:tr>
      <w:tr w:rsidR="007A6491" w:rsidRPr="00992B1B" w:rsidTr="00992B1B">
        <w:trPr>
          <w:trHeight w:val="348"/>
        </w:trPr>
        <w:tc>
          <w:tcPr>
            <w:tcW w:w="4253" w:type="dxa"/>
            <w:tcBorders>
              <w:top w:val="nil"/>
              <w:left w:val="single" w:sz="4" w:space="0" w:color="auto"/>
              <w:bottom w:val="single" w:sz="4" w:space="0" w:color="auto"/>
              <w:right w:val="nil"/>
            </w:tcBorders>
          </w:tcPr>
          <w:p w:rsidR="007A6491" w:rsidRPr="00992B1B" w:rsidRDefault="007A6491" w:rsidP="006A0823">
            <w:pPr>
              <w:rPr>
                <w:lang w:eastAsia="en-GB"/>
              </w:rPr>
            </w:pPr>
            <w:r w:rsidRPr="00F7405A">
              <w:rPr>
                <w:rFonts w:cs="Arial"/>
                <w:lang w:eastAsia="en-GB"/>
              </w:rPr>
              <w:t xml:space="preserve">65% </w:t>
            </w:r>
            <w:r>
              <w:rPr>
                <w:rFonts w:cs="Arial"/>
                <w:lang w:eastAsia="en-GB"/>
              </w:rPr>
              <w:t>up to 75%</w:t>
            </w:r>
            <w:r w:rsidRPr="00F7405A">
              <w:rPr>
                <w:rFonts w:cs="Arial"/>
                <w:lang w:eastAsia="en-GB"/>
              </w:rPr>
              <w:t xml:space="preserve"> uptake </w:t>
            </w:r>
          </w:p>
        </w:tc>
        <w:tc>
          <w:tcPr>
            <w:tcW w:w="4820" w:type="dxa"/>
            <w:tcBorders>
              <w:top w:val="nil"/>
              <w:left w:val="single" w:sz="4" w:space="0" w:color="auto"/>
              <w:bottom w:val="single" w:sz="4" w:space="0" w:color="auto"/>
              <w:right w:val="single" w:sz="4" w:space="0" w:color="auto"/>
            </w:tcBorders>
          </w:tcPr>
          <w:p w:rsidR="007A6491" w:rsidRPr="00992B1B" w:rsidRDefault="007A6491" w:rsidP="00992B1B">
            <w:pPr>
              <w:rPr>
                <w:lang w:eastAsia="en-GB"/>
              </w:rPr>
            </w:pPr>
            <w:r>
              <w:rPr>
                <w:rFonts w:cs="Arial"/>
                <w:lang w:eastAsia="en-GB"/>
              </w:rPr>
              <w:t>75</w:t>
            </w:r>
            <w:r w:rsidRPr="00F7405A">
              <w:rPr>
                <w:rFonts w:cs="Arial"/>
                <w:lang w:eastAsia="en-GB"/>
              </w:rPr>
              <w:t>% payment</w:t>
            </w:r>
          </w:p>
        </w:tc>
      </w:tr>
      <w:tr w:rsidR="007A6491" w:rsidRPr="00992B1B" w:rsidTr="00992B1B">
        <w:trPr>
          <w:trHeight w:val="403"/>
        </w:trPr>
        <w:tc>
          <w:tcPr>
            <w:tcW w:w="4253" w:type="dxa"/>
            <w:tcBorders>
              <w:top w:val="nil"/>
              <w:left w:val="single" w:sz="4" w:space="0" w:color="auto"/>
              <w:bottom w:val="single" w:sz="4" w:space="0" w:color="auto"/>
              <w:right w:val="nil"/>
            </w:tcBorders>
          </w:tcPr>
          <w:p w:rsidR="007A6491" w:rsidRPr="00992B1B" w:rsidRDefault="007A6491" w:rsidP="00992B1B">
            <w:pPr>
              <w:rPr>
                <w:lang w:eastAsia="en-GB"/>
              </w:rPr>
            </w:pPr>
            <w:r w:rsidRPr="00F7405A">
              <w:rPr>
                <w:rFonts w:cs="Arial"/>
                <w:lang w:eastAsia="en-GB"/>
              </w:rPr>
              <w:t>75% or above</w:t>
            </w:r>
          </w:p>
        </w:tc>
        <w:tc>
          <w:tcPr>
            <w:tcW w:w="4820" w:type="dxa"/>
            <w:tcBorders>
              <w:top w:val="nil"/>
              <w:left w:val="single" w:sz="4" w:space="0" w:color="auto"/>
              <w:bottom w:val="single" w:sz="4" w:space="0" w:color="auto"/>
              <w:right w:val="single" w:sz="4" w:space="0" w:color="auto"/>
            </w:tcBorders>
          </w:tcPr>
          <w:p w:rsidR="007A6491" w:rsidRPr="00992B1B" w:rsidRDefault="007A6491" w:rsidP="00992B1B">
            <w:pPr>
              <w:rPr>
                <w:lang w:eastAsia="en-GB"/>
              </w:rPr>
            </w:pPr>
            <w:r w:rsidRPr="00F7405A">
              <w:rPr>
                <w:rFonts w:cs="Arial"/>
                <w:lang w:eastAsia="en-GB"/>
              </w:rPr>
              <w:t>100% payment</w:t>
            </w:r>
          </w:p>
        </w:tc>
      </w:tr>
    </w:tbl>
    <w:p w:rsidR="00992B1B" w:rsidRDefault="00992B1B" w:rsidP="00992B1B">
      <w:pPr>
        <w:rPr>
          <w:lang w:eastAsia="en-GB"/>
        </w:rPr>
      </w:pPr>
    </w:p>
    <w:p w:rsidR="00F844D5" w:rsidRPr="00F844D5" w:rsidRDefault="00F844D5" w:rsidP="00F844D5">
      <w:pPr>
        <w:pStyle w:val="Heading4"/>
        <w:rPr>
          <w:lang w:eastAsia="en-GB"/>
        </w:rPr>
      </w:pPr>
      <w:r w:rsidRPr="00F844D5">
        <w:rPr>
          <w:lang w:eastAsia="en-GB"/>
        </w:rPr>
        <w:t>Supporting Guidance and References</w:t>
      </w:r>
      <w:bookmarkEnd w:id="13"/>
      <w:bookmarkEnd w:id="14"/>
      <w:bookmarkEnd w:id="15"/>
    </w:p>
    <w:p w:rsidR="00F844D5" w:rsidRDefault="00F844D5" w:rsidP="00FB5DF0">
      <w:pPr>
        <w:rPr>
          <w:lang w:eastAsia="en-GB"/>
        </w:rPr>
      </w:pPr>
    </w:p>
    <w:p w:rsidR="00992B1B" w:rsidRPr="00992B1B" w:rsidRDefault="00992B1B" w:rsidP="00992B1B">
      <w:r w:rsidRPr="00992B1B">
        <w:t>Practical guidance and support for Providers will be provided by the beginning of March to help support them with the introduction of the initiatives &amp; to help them promote uptake. However, NHS Employers already offer campaign advice for Providers.</w:t>
      </w:r>
    </w:p>
    <w:p w:rsidR="00992B1B" w:rsidRPr="00992B1B" w:rsidRDefault="00992B1B" w:rsidP="00992B1B"/>
    <w:p w:rsidR="00992B1B" w:rsidRPr="00992B1B" w:rsidRDefault="0023312F" w:rsidP="00992B1B">
      <w:hyperlink r:id="rId14" w:history="1">
        <w:r w:rsidR="00992B1B" w:rsidRPr="00992B1B">
          <w:rPr>
            <w:color w:val="0000FF"/>
            <w:u w:val="single"/>
          </w:rPr>
          <w:t>http://www.nhsemployers.org/campaigns/flu-fighter/nhs-flu-fighter</w:t>
        </w:r>
      </w:hyperlink>
      <w:r w:rsidR="00992B1B" w:rsidRPr="00992B1B">
        <w:t xml:space="preserve"> </w:t>
      </w:r>
    </w:p>
    <w:p w:rsidR="00F844D5" w:rsidRDefault="00F844D5" w:rsidP="005261F1">
      <w:pPr>
        <w:rPr>
          <w:lang w:eastAsia="en-GB"/>
        </w:rPr>
      </w:pPr>
    </w:p>
    <w:p w:rsidR="009134B2" w:rsidRDefault="009134B2">
      <w:pPr>
        <w:rPr>
          <w:rFonts w:cs="Arial"/>
          <w:b/>
          <w:color w:val="0072C6"/>
          <w:kern w:val="32"/>
          <w:sz w:val="32"/>
          <w:szCs w:val="32"/>
        </w:rPr>
      </w:pPr>
      <w:r>
        <w:br w:type="page"/>
      </w:r>
    </w:p>
    <w:p w:rsidR="004E2A87" w:rsidRPr="00F91F33" w:rsidRDefault="004E2A87" w:rsidP="008E08BE">
      <w:pPr>
        <w:pStyle w:val="Heading1"/>
      </w:pPr>
      <w:bookmarkStart w:id="16" w:name="_Toc466290251"/>
      <w:r>
        <w:lastRenderedPageBreak/>
        <w:t>Reducing the impact of serious infections (Antimicrobial Resistance and Sepsis)</w:t>
      </w:r>
      <w:bookmarkEnd w:id="16"/>
    </w:p>
    <w:p w:rsidR="004E2A87" w:rsidRPr="00F7405A" w:rsidRDefault="004E2A87" w:rsidP="004E2A87">
      <w:pPr>
        <w:rPr>
          <w:b/>
          <w:bCs w:val="0"/>
        </w:rPr>
      </w:pPr>
    </w:p>
    <w:p w:rsidR="002A69C0" w:rsidRDefault="002A69C0" w:rsidP="002A69C0">
      <w:r>
        <w:t xml:space="preserve">There are </w:t>
      </w:r>
      <w:r w:rsidR="00114E58">
        <w:t>four</w:t>
      </w:r>
      <w:r>
        <w:t xml:space="preserve"> parts to this CQUIN indicator. </w:t>
      </w:r>
    </w:p>
    <w:p w:rsidR="0055283A" w:rsidRDefault="0055283A" w:rsidP="00F844D5">
      <w:pPr>
        <w:rPr>
          <w:lang w:eastAsia="en-G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9"/>
        <w:gridCol w:w="3446"/>
        <w:gridCol w:w="3544"/>
      </w:tblGrid>
      <w:tr w:rsidR="00E65103" w:rsidRPr="00F7405A" w:rsidTr="00FC6081">
        <w:trPr>
          <w:trHeight w:val="173"/>
        </w:trPr>
        <w:tc>
          <w:tcPr>
            <w:tcW w:w="2049" w:type="dxa"/>
            <w:shd w:val="clear" w:color="auto" w:fill="0070C0"/>
          </w:tcPr>
          <w:p w:rsidR="00E65103" w:rsidRPr="00F7405A" w:rsidRDefault="00E65103" w:rsidP="004E2A87">
            <w:pPr>
              <w:jc w:val="center"/>
              <w:rPr>
                <w:rFonts w:cs="Arial"/>
                <w:b/>
                <w:bCs w:val="0"/>
                <w:color w:val="FFFFFF" w:themeColor="background1"/>
                <w:szCs w:val="24"/>
              </w:rPr>
            </w:pPr>
            <w:r w:rsidRPr="00F7405A">
              <w:rPr>
                <w:rFonts w:cs="Arial"/>
                <w:color w:val="FFFFFF" w:themeColor="background1"/>
                <w:szCs w:val="24"/>
              </w:rPr>
              <w:br w:type="page"/>
            </w:r>
            <w:r w:rsidRPr="00F7405A">
              <w:rPr>
                <w:rFonts w:cs="Arial"/>
                <w:b/>
                <w:color w:val="FFFFFF" w:themeColor="background1"/>
                <w:szCs w:val="24"/>
              </w:rPr>
              <w:t>National CQUIN</w:t>
            </w:r>
          </w:p>
        </w:tc>
        <w:tc>
          <w:tcPr>
            <w:tcW w:w="3446" w:type="dxa"/>
            <w:shd w:val="clear" w:color="auto" w:fill="0070C0"/>
          </w:tcPr>
          <w:p w:rsidR="00E65103" w:rsidRPr="00F7405A" w:rsidRDefault="00E65103" w:rsidP="004E2A87">
            <w:pPr>
              <w:jc w:val="center"/>
              <w:rPr>
                <w:rFonts w:cs="Arial"/>
                <w:b/>
                <w:bCs w:val="0"/>
                <w:color w:val="FFFFFF" w:themeColor="background1"/>
                <w:szCs w:val="24"/>
              </w:rPr>
            </w:pPr>
            <w:r w:rsidRPr="00F7405A">
              <w:rPr>
                <w:rFonts w:cs="Arial"/>
                <w:b/>
                <w:color w:val="FFFFFF" w:themeColor="background1"/>
                <w:szCs w:val="24"/>
              </w:rPr>
              <w:t>Indicator</w:t>
            </w:r>
          </w:p>
        </w:tc>
        <w:tc>
          <w:tcPr>
            <w:tcW w:w="3544" w:type="dxa"/>
            <w:shd w:val="clear" w:color="auto" w:fill="0070C0"/>
          </w:tcPr>
          <w:p w:rsidR="00E65103" w:rsidRPr="00F7405A" w:rsidRDefault="00E65103" w:rsidP="004E2A87">
            <w:pPr>
              <w:jc w:val="center"/>
              <w:rPr>
                <w:rFonts w:cs="Arial"/>
                <w:b/>
                <w:color w:val="FFFFFF" w:themeColor="background1"/>
                <w:szCs w:val="24"/>
                <w:lang w:val="en-US"/>
              </w:rPr>
            </w:pPr>
            <w:r w:rsidRPr="00F7405A">
              <w:rPr>
                <w:rFonts w:cs="Arial"/>
                <w:b/>
                <w:color w:val="FFFFFF" w:themeColor="background1"/>
                <w:szCs w:val="24"/>
                <w:lang w:val="en-US"/>
              </w:rPr>
              <w:t>Indicator weighting (% of CQUIN scheme  available)</w:t>
            </w:r>
          </w:p>
        </w:tc>
      </w:tr>
      <w:tr w:rsidR="00E65103" w:rsidRPr="00F7405A" w:rsidTr="00FC6081">
        <w:trPr>
          <w:trHeight w:val="319"/>
        </w:trPr>
        <w:tc>
          <w:tcPr>
            <w:tcW w:w="2049" w:type="dxa"/>
            <w:shd w:val="clear" w:color="auto" w:fill="auto"/>
          </w:tcPr>
          <w:p w:rsidR="00E65103" w:rsidRPr="00F7405A" w:rsidRDefault="00E65103" w:rsidP="004E2A87">
            <w:pPr>
              <w:rPr>
                <w:rFonts w:cs="Arial"/>
                <w:bCs w:val="0"/>
                <w:szCs w:val="24"/>
              </w:rPr>
            </w:pPr>
            <w:r>
              <w:rPr>
                <w:rFonts w:cs="Arial"/>
                <w:szCs w:val="24"/>
              </w:rPr>
              <w:t xml:space="preserve">CQUIN 2a </w:t>
            </w:r>
          </w:p>
        </w:tc>
        <w:tc>
          <w:tcPr>
            <w:tcW w:w="3446" w:type="dxa"/>
            <w:shd w:val="clear" w:color="auto" w:fill="auto"/>
          </w:tcPr>
          <w:p w:rsidR="00E65103" w:rsidRPr="00F7405A" w:rsidRDefault="00E65103" w:rsidP="00E65103">
            <w:pPr>
              <w:rPr>
                <w:rFonts w:cs="Arial"/>
                <w:color w:val="000000"/>
                <w:szCs w:val="24"/>
                <w:lang w:val="en-US"/>
              </w:rPr>
            </w:pPr>
            <w:r w:rsidRPr="00E34652">
              <w:rPr>
                <w:rFonts w:cs="Arial"/>
                <w:color w:val="000000"/>
                <w:szCs w:val="24"/>
                <w:lang w:val="en-US"/>
              </w:rPr>
              <w:t xml:space="preserve">Timely identification </w:t>
            </w:r>
            <w:r>
              <w:rPr>
                <w:rFonts w:cs="Arial"/>
                <w:color w:val="000000"/>
                <w:szCs w:val="24"/>
                <w:lang w:val="en-US"/>
              </w:rPr>
              <w:t xml:space="preserve">of </w:t>
            </w:r>
            <w:r w:rsidRPr="00E34652">
              <w:rPr>
                <w:rFonts w:cs="Arial"/>
                <w:color w:val="000000"/>
                <w:szCs w:val="24"/>
                <w:lang w:val="en-US"/>
              </w:rPr>
              <w:t>sepsis in emergency departments and acute inpatient settings</w:t>
            </w:r>
          </w:p>
        </w:tc>
        <w:tc>
          <w:tcPr>
            <w:tcW w:w="3544" w:type="dxa"/>
            <w:shd w:val="clear" w:color="auto" w:fill="auto"/>
          </w:tcPr>
          <w:p w:rsidR="00E65103" w:rsidRPr="00F7405A" w:rsidRDefault="00E65103" w:rsidP="00E65103">
            <w:pPr>
              <w:jc w:val="center"/>
              <w:rPr>
                <w:rFonts w:cs="Arial"/>
                <w:bCs w:val="0"/>
                <w:szCs w:val="24"/>
              </w:rPr>
            </w:pPr>
            <w:r>
              <w:rPr>
                <w:rFonts w:cs="Arial"/>
                <w:szCs w:val="24"/>
              </w:rPr>
              <w:t>25% of 0.25% (0.0625%)</w:t>
            </w:r>
          </w:p>
        </w:tc>
      </w:tr>
      <w:tr w:rsidR="00E65103" w:rsidRPr="00F7405A" w:rsidTr="00FC6081">
        <w:trPr>
          <w:trHeight w:val="325"/>
        </w:trPr>
        <w:tc>
          <w:tcPr>
            <w:tcW w:w="2049" w:type="dxa"/>
            <w:shd w:val="clear" w:color="auto" w:fill="auto"/>
          </w:tcPr>
          <w:p w:rsidR="00E65103" w:rsidRDefault="00E65103" w:rsidP="004E2A87">
            <w:pPr>
              <w:rPr>
                <w:rFonts w:cs="Arial"/>
                <w:szCs w:val="24"/>
              </w:rPr>
            </w:pPr>
            <w:r>
              <w:rPr>
                <w:rFonts w:cs="Arial"/>
                <w:szCs w:val="24"/>
              </w:rPr>
              <w:t>CQUIN 2b</w:t>
            </w:r>
          </w:p>
        </w:tc>
        <w:tc>
          <w:tcPr>
            <w:tcW w:w="3446" w:type="dxa"/>
            <w:shd w:val="clear" w:color="auto" w:fill="auto"/>
          </w:tcPr>
          <w:p w:rsidR="00E65103" w:rsidRDefault="00E65103" w:rsidP="004E2A87">
            <w:pPr>
              <w:autoSpaceDE w:val="0"/>
              <w:autoSpaceDN w:val="0"/>
              <w:adjustRightInd w:val="0"/>
              <w:rPr>
                <w:rFonts w:cs="Arial"/>
                <w:szCs w:val="24"/>
              </w:rPr>
            </w:pPr>
            <w:r>
              <w:rPr>
                <w:rFonts w:cs="Arial"/>
                <w:color w:val="000000"/>
                <w:szCs w:val="24"/>
                <w:lang w:val="en-US"/>
              </w:rPr>
              <w:t xml:space="preserve">Timely treatment for sepsis </w:t>
            </w:r>
            <w:r w:rsidRPr="00E34652">
              <w:rPr>
                <w:rFonts w:cs="Arial"/>
                <w:color w:val="000000"/>
                <w:szCs w:val="24"/>
                <w:lang w:val="en-US"/>
              </w:rPr>
              <w:t>in emergency departments and acute inpatient settings</w:t>
            </w:r>
          </w:p>
        </w:tc>
        <w:tc>
          <w:tcPr>
            <w:tcW w:w="3544" w:type="dxa"/>
            <w:shd w:val="clear" w:color="auto" w:fill="auto"/>
          </w:tcPr>
          <w:p w:rsidR="00E65103" w:rsidRDefault="00E65103" w:rsidP="004E2A87">
            <w:pPr>
              <w:jc w:val="center"/>
              <w:rPr>
                <w:rFonts w:cs="Arial"/>
                <w:szCs w:val="24"/>
              </w:rPr>
            </w:pPr>
            <w:r>
              <w:rPr>
                <w:rFonts w:cs="Arial"/>
                <w:szCs w:val="24"/>
              </w:rPr>
              <w:t>25% of 0.25% (0.0625%)</w:t>
            </w:r>
          </w:p>
        </w:tc>
      </w:tr>
      <w:tr w:rsidR="00E65103" w:rsidRPr="00F7405A" w:rsidTr="00FC6081">
        <w:trPr>
          <w:trHeight w:val="325"/>
        </w:trPr>
        <w:tc>
          <w:tcPr>
            <w:tcW w:w="2049" w:type="dxa"/>
            <w:shd w:val="clear" w:color="auto" w:fill="auto"/>
          </w:tcPr>
          <w:p w:rsidR="00E65103" w:rsidRPr="00F7405A" w:rsidRDefault="00E65103" w:rsidP="004E2A87">
            <w:pPr>
              <w:rPr>
                <w:rFonts w:cs="Arial"/>
                <w:bCs w:val="0"/>
                <w:szCs w:val="24"/>
              </w:rPr>
            </w:pPr>
            <w:r>
              <w:rPr>
                <w:rFonts w:cs="Arial"/>
                <w:szCs w:val="24"/>
              </w:rPr>
              <w:t>CQUIN 2c</w:t>
            </w:r>
          </w:p>
          <w:p w:rsidR="00E65103" w:rsidRPr="00F7405A" w:rsidRDefault="00E65103" w:rsidP="004E2A87">
            <w:pPr>
              <w:rPr>
                <w:rFonts w:cs="Arial"/>
                <w:bCs w:val="0"/>
                <w:szCs w:val="24"/>
              </w:rPr>
            </w:pPr>
            <w:r w:rsidRPr="00F7405A">
              <w:rPr>
                <w:rFonts w:cs="Arial"/>
                <w:szCs w:val="24"/>
              </w:rPr>
              <w:t xml:space="preserve"> </w:t>
            </w:r>
          </w:p>
        </w:tc>
        <w:tc>
          <w:tcPr>
            <w:tcW w:w="3446" w:type="dxa"/>
            <w:shd w:val="clear" w:color="auto" w:fill="auto"/>
          </w:tcPr>
          <w:p w:rsidR="00E65103" w:rsidRPr="00923A9F" w:rsidRDefault="00E65103" w:rsidP="004E2A87">
            <w:pPr>
              <w:autoSpaceDE w:val="0"/>
              <w:autoSpaceDN w:val="0"/>
              <w:adjustRightInd w:val="0"/>
              <w:rPr>
                <w:rFonts w:cs="Arial"/>
                <w:szCs w:val="24"/>
              </w:rPr>
            </w:pPr>
            <w:r>
              <w:rPr>
                <w:rFonts w:cs="Arial"/>
                <w:szCs w:val="24"/>
              </w:rPr>
              <w:t>Antibiotic review</w:t>
            </w:r>
            <w:r w:rsidRPr="008F55AF">
              <w:rPr>
                <w:rFonts w:cs="Arial"/>
                <w:szCs w:val="24"/>
              </w:rPr>
              <w:t xml:space="preserve"> </w:t>
            </w:r>
          </w:p>
        </w:tc>
        <w:tc>
          <w:tcPr>
            <w:tcW w:w="3544" w:type="dxa"/>
            <w:shd w:val="clear" w:color="auto" w:fill="auto"/>
          </w:tcPr>
          <w:p w:rsidR="00E65103" w:rsidRPr="00F7405A" w:rsidRDefault="00E65103" w:rsidP="004E2A87">
            <w:pPr>
              <w:jc w:val="center"/>
              <w:rPr>
                <w:rFonts w:cs="Arial"/>
                <w:bCs w:val="0"/>
                <w:szCs w:val="24"/>
              </w:rPr>
            </w:pPr>
            <w:r>
              <w:rPr>
                <w:rFonts w:cs="Arial"/>
                <w:szCs w:val="24"/>
              </w:rPr>
              <w:t>25% of 0.25% (0.0625%)</w:t>
            </w:r>
          </w:p>
        </w:tc>
      </w:tr>
      <w:tr w:rsidR="00E65103" w:rsidRPr="00F7405A" w:rsidTr="00FC6081">
        <w:trPr>
          <w:trHeight w:val="315"/>
        </w:trPr>
        <w:tc>
          <w:tcPr>
            <w:tcW w:w="2049" w:type="dxa"/>
            <w:shd w:val="clear" w:color="auto" w:fill="auto"/>
          </w:tcPr>
          <w:p w:rsidR="00E65103" w:rsidRPr="00F7405A" w:rsidRDefault="00E65103" w:rsidP="00E65103">
            <w:pPr>
              <w:rPr>
                <w:rFonts w:cs="Arial"/>
                <w:bCs w:val="0"/>
                <w:szCs w:val="24"/>
              </w:rPr>
            </w:pPr>
            <w:r>
              <w:rPr>
                <w:rFonts w:cs="Arial"/>
                <w:szCs w:val="24"/>
              </w:rPr>
              <w:t>CQUIN 2d</w:t>
            </w:r>
          </w:p>
        </w:tc>
        <w:tc>
          <w:tcPr>
            <w:tcW w:w="3446" w:type="dxa"/>
            <w:shd w:val="clear" w:color="auto" w:fill="auto"/>
          </w:tcPr>
          <w:p w:rsidR="00E65103" w:rsidRPr="00923A9F" w:rsidRDefault="00E65103" w:rsidP="004E2A87">
            <w:pPr>
              <w:rPr>
                <w:rFonts w:cs="Arial"/>
                <w:bCs w:val="0"/>
                <w:color w:val="000000"/>
                <w:szCs w:val="24"/>
                <w:lang w:val="en-US"/>
              </w:rPr>
            </w:pPr>
            <w:r w:rsidRPr="008F55AF">
              <w:rPr>
                <w:rFonts w:cs="Arial"/>
                <w:color w:val="000000"/>
                <w:szCs w:val="24"/>
                <w:lang w:val="en-US"/>
              </w:rPr>
              <w:t>Reduction in antibiotic consumption per 1,000 admissions</w:t>
            </w:r>
          </w:p>
        </w:tc>
        <w:tc>
          <w:tcPr>
            <w:tcW w:w="3544" w:type="dxa"/>
            <w:shd w:val="clear" w:color="auto" w:fill="auto"/>
          </w:tcPr>
          <w:p w:rsidR="00E65103" w:rsidRPr="00F7405A" w:rsidRDefault="00E65103" w:rsidP="004E2A87">
            <w:pPr>
              <w:jc w:val="center"/>
              <w:rPr>
                <w:rFonts w:cs="Arial"/>
                <w:bCs w:val="0"/>
                <w:szCs w:val="24"/>
              </w:rPr>
            </w:pPr>
            <w:r>
              <w:rPr>
                <w:rFonts w:cs="Arial"/>
                <w:szCs w:val="24"/>
              </w:rPr>
              <w:t>25% of 0.25% (0.0625%)</w:t>
            </w:r>
          </w:p>
        </w:tc>
      </w:tr>
    </w:tbl>
    <w:p w:rsidR="004E2A87" w:rsidRDefault="004E2A87" w:rsidP="00F844D5">
      <w:pPr>
        <w:rPr>
          <w:lang w:eastAsia="en-GB"/>
        </w:rPr>
      </w:pPr>
    </w:p>
    <w:p w:rsidR="00702E87" w:rsidRDefault="00702E87" w:rsidP="00702E87">
      <w:pPr>
        <w:pStyle w:val="Heading4"/>
        <w:rPr>
          <w:lang w:eastAsia="en-GB"/>
        </w:rPr>
      </w:pPr>
      <w:r>
        <w:rPr>
          <w:lang w:eastAsia="en-GB"/>
        </w:rPr>
        <w:t>Indicator 2</w:t>
      </w:r>
      <w:r w:rsidRPr="00702E87">
        <w:rPr>
          <w:lang w:eastAsia="en-GB"/>
        </w:rPr>
        <w:t xml:space="preserve">a Timely identification </w:t>
      </w:r>
      <w:r w:rsidR="00E65103">
        <w:rPr>
          <w:lang w:eastAsia="en-GB"/>
        </w:rPr>
        <w:t>of</w:t>
      </w:r>
      <w:r w:rsidRPr="00702E87">
        <w:rPr>
          <w:lang w:eastAsia="en-GB"/>
        </w:rPr>
        <w:t xml:space="preserve"> sepsis in emergency departments and acute inpatient settings</w:t>
      </w:r>
    </w:p>
    <w:p w:rsidR="0055283A" w:rsidRDefault="0055283A" w:rsidP="0055283A">
      <w:pPr>
        <w:rPr>
          <w:lang w:eastAsia="en-GB"/>
        </w:rPr>
      </w:pPr>
    </w:p>
    <w:tbl>
      <w:tblPr>
        <w:tblStyle w:val="TableGrid"/>
        <w:tblW w:w="4870" w:type="pct"/>
        <w:tblLook w:val="04A0" w:firstRow="1" w:lastRow="0" w:firstColumn="1" w:lastColumn="0" w:noHBand="0" w:noVBand="1"/>
        <w:tblCaption w:val="Please add a description of this table"/>
      </w:tblPr>
      <w:tblGrid>
        <w:gridCol w:w="2804"/>
        <w:gridCol w:w="6235"/>
      </w:tblGrid>
      <w:tr w:rsidR="004E2A87" w:rsidRPr="00B47AC3" w:rsidTr="004779A7">
        <w:trPr>
          <w:tblHeader/>
        </w:trPr>
        <w:tc>
          <w:tcPr>
            <w:tcW w:w="5000" w:type="pct"/>
            <w:gridSpan w:val="2"/>
            <w:shd w:val="clear" w:color="auto" w:fill="0070C0"/>
          </w:tcPr>
          <w:p w:rsidR="004E2A87" w:rsidRPr="00B47AC3" w:rsidRDefault="004E2A87" w:rsidP="00AD69B8">
            <w:pPr>
              <w:spacing w:before="20" w:after="20"/>
              <w:jc w:val="center"/>
              <w:rPr>
                <w:b/>
                <w:bCs w:val="0"/>
                <w:color w:val="FFFFFF"/>
              </w:rPr>
            </w:pPr>
            <w:r w:rsidRPr="00B47AC3">
              <w:rPr>
                <w:b/>
                <w:color w:val="FFFFFF"/>
              </w:rPr>
              <w:t>Indicator</w:t>
            </w:r>
            <w:r w:rsidR="009134B2">
              <w:rPr>
                <w:b/>
                <w:color w:val="FFFFFF"/>
              </w:rPr>
              <w:t xml:space="preserve"> 2a</w:t>
            </w:r>
          </w:p>
        </w:tc>
      </w:tr>
      <w:tr w:rsidR="004E2A87" w:rsidRPr="00B47AC3" w:rsidTr="004779A7">
        <w:tc>
          <w:tcPr>
            <w:tcW w:w="1551" w:type="pct"/>
          </w:tcPr>
          <w:p w:rsidR="004E2A87" w:rsidRPr="00B47AC3" w:rsidRDefault="004E2A87" w:rsidP="004E2A87">
            <w:pPr>
              <w:spacing w:before="20" w:after="20"/>
              <w:rPr>
                <w:b/>
                <w:bCs w:val="0"/>
              </w:rPr>
            </w:pPr>
            <w:r w:rsidRPr="00B47AC3">
              <w:rPr>
                <w:rFonts w:cs="Arial"/>
                <w:b/>
                <w:color w:val="000000"/>
              </w:rPr>
              <w:t>Indicator name</w:t>
            </w:r>
          </w:p>
        </w:tc>
        <w:tc>
          <w:tcPr>
            <w:tcW w:w="3449" w:type="pct"/>
          </w:tcPr>
          <w:p w:rsidR="004E2A87" w:rsidRPr="00B47AC3" w:rsidRDefault="004E2A87" w:rsidP="00E65103">
            <w:pPr>
              <w:spacing w:before="20" w:after="20"/>
              <w:rPr>
                <w:bCs w:val="0"/>
              </w:rPr>
            </w:pPr>
            <w:r w:rsidRPr="00B47AC3">
              <w:t xml:space="preserve">Timely identification </w:t>
            </w:r>
            <w:r w:rsidR="00E65103">
              <w:t>of</w:t>
            </w:r>
            <w:r w:rsidRPr="00B47AC3">
              <w:t xml:space="preserve"> </w:t>
            </w:r>
            <w:r>
              <w:t xml:space="preserve">patients with </w:t>
            </w:r>
            <w:r w:rsidRPr="00B47AC3">
              <w:t>sepsis in emergency department</w:t>
            </w:r>
            <w:r>
              <w:t>s and acute inpatient settings</w:t>
            </w:r>
            <w:r w:rsidRPr="00B47AC3">
              <w:t xml:space="preserve"> </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t xml:space="preserve">Indicator weighting </w:t>
            </w:r>
            <w:r w:rsidRPr="00B47AC3">
              <w:rPr>
                <w:rFonts w:cs="Arial"/>
                <w:b/>
                <w:color w:val="000000"/>
              </w:rPr>
              <w:br/>
              <w:t>(% of CQUIN scheme available)</w:t>
            </w:r>
          </w:p>
        </w:tc>
        <w:tc>
          <w:tcPr>
            <w:tcW w:w="3449" w:type="pct"/>
          </w:tcPr>
          <w:p w:rsidR="004E2A87" w:rsidRPr="00B47AC3" w:rsidRDefault="00E65103" w:rsidP="004E2A87">
            <w:pPr>
              <w:rPr>
                <w:rFonts w:eastAsia="MS Mincho" w:cs="Arial"/>
                <w:bCs w:val="0"/>
                <w:lang w:eastAsia="ja-JP"/>
              </w:rPr>
            </w:pPr>
            <w:r>
              <w:rPr>
                <w:rFonts w:cs="Arial"/>
              </w:rPr>
              <w:t>25</w:t>
            </w:r>
            <w:r w:rsidR="004E2A87">
              <w:rPr>
                <w:rFonts w:cs="Arial"/>
              </w:rPr>
              <w:t>% of 0.25% (0.</w:t>
            </w:r>
            <w:r w:rsidR="00711C75">
              <w:rPr>
                <w:rFonts w:cs="Arial"/>
              </w:rPr>
              <w:t>06</w:t>
            </w:r>
            <w:r w:rsidR="004E2A87">
              <w:rPr>
                <w:rFonts w:cs="Arial"/>
              </w:rPr>
              <w:t>25%)</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t>Description of indicator</w:t>
            </w:r>
          </w:p>
        </w:tc>
        <w:tc>
          <w:tcPr>
            <w:tcW w:w="3449" w:type="pct"/>
          </w:tcPr>
          <w:p w:rsidR="004E2A87" w:rsidRDefault="004E2A87" w:rsidP="009134B2">
            <w:pPr>
              <w:rPr>
                <w:rFonts w:cs="Arial"/>
                <w:szCs w:val="24"/>
              </w:rPr>
            </w:pPr>
            <w:r w:rsidRPr="00E962C0">
              <w:rPr>
                <w:rFonts w:cs="Arial"/>
                <w:szCs w:val="24"/>
              </w:rPr>
              <w:t>The percentage of patients who met the criteria for sepsis screening and were screened for sepsis</w:t>
            </w:r>
            <w:r w:rsidRPr="00E962C0">
              <w:rPr>
                <w:rFonts w:cs="Arial"/>
                <w:szCs w:val="24"/>
              </w:rPr>
              <w:br/>
            </w:r>
            <w:r w:rsidRPr="00E962C0">
              <w:rPr>
                <w:rFonts w:cs="Arial"/>
                <w:szCs w:val="24"/>
              </w:rPr>
              <w:br/>
              <w:t>The indicator applies to adults and child patients arriving in hospital as emergency admissions and to all patients on acute in-patient wards.</w:t>
            </w:r>
          </w:p>
          <w:p w:rsidR="00FE6F47" w:rsidRDefault="00FE6F47" w:rsidP="009134B2">
            <w:pPr>
              <w:rPr>
                <w:rFonts w:cs="Arial"/>
                <w:szCs w:val="24"/>
              </w:rPr>
            </w:pPr>
          </w:p>
          <w:p w:rsidR="00FE6F47" w:rsidRPr="009134B2" w:rsidRDefault="00FE6F47" w:rsidP="009134B2">
            <w:pPr>
              <w:rPr>
                <w:rFonts w:cs="Arial"/>
                <w:szCs w:val="24"/>
              </w:rPr>
            </w:pPr>
            <w:r>
              <w:rPr>
                <w:rFonts w:cs="Arial"/>
                <w:szCs w:val="24"/>
              </w:rPr>
              <w:t>This applies in 17/18 and 18/19.</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t>Numerator</w:t>
            </w:r>
          </w:p>
        </w:tc>
        <w:tc>
          <w:tcPr>
            <w:tcW w:w="3449" w:type="pct"/>
          </w:tcPr>
          <w:p w:rsidR="004E2A87" w:rsidRPr="009134B2" w:rsidRDefault="004E2A87" w:rsidP="009134B2">
            <w:pPr>
              <w:contextualSpacing/>
              <w:rPr>
                <w:rFonts w:cs="Arial"/>
                <w:color w:val="000000"/>
                <w:szCs w:val="24"/>
              </w:rPr>
            </w:pPr>
            <w:r w:rsidRPr="00E962C0">
              <w:rPr>
                <w:rFonts w:cs="Arial"/>
                <w:color w:val="000000"/>
                <w:szCs w:val="24"/>
              </w:rPr>
              <w:t>Total number of patients presenting to emergency departments and other units that directly admit emergencies, and acute inpatients services who met the criteria of the local protocol on Early Warning Scores (usually NEWS</w:t>
            </w:r>
            <w:r w:rsidR="00711C75">
              <w:rPr>
                <w:rFonts w:cs="Arial"/>
                <w:color w:val="000000"/>
                <w:szCs w:val="24"/>
              </w:rPr>
              <w:t xml:space="preserve"> greater than or equal to</w:t>
            </w:r>
            <w:r w:rsidR="00711C75" w:rsidRPr="00E962C0" w:rsidDel="00711C75">
              <w:rPr>
                <w:rFonts w:cs="Arial"/>
                <w:color w:val="000000"/>
                <w:szCs w:val="24"/>
              </w:rPr>
              <w:t xml:space="preserve"> </w:t>
            </w:r>
            <w:r w:rsidRPr="00E962C0">
              <w:rPr>
                <w:rFonts w:cs="Arial"/>
                <w:color w:val="000000"/>
                <w:szCs w:val="24"/>
              </w:rPr>
              <w:t>3) (excluding those where an alternative diagnosis is clinically more likely, e.g. major trauma) and were screened for sepsis.</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t>Denominator</w:t>
            </w:r>
          </w:p>
        </w:tc>
        <w:tc>
          <w:tcPr>
            <w:tcW w:w="3449" w:type="pct"/>
          </w:tcPr>
          <w:p w:rsidR="004E2A87" w:rsidRPr="00E962C0" w:rsidRDefault="004E2A87" w:rsidP="009134B2">
            <w:r w:rsidRPr="00E962C0">
              <w:t>Total number of patients presenting to emergency departments and acute inpatient services and other units that directly admit emergencies who were appropriate for screening for Sepsis on the basis of the above-mentioned local protocol.</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lastRenderedPageBreak/>
              <w:t>Rationale for inclusion</w:t>
            </w:r>
          </w:p>
        </w:tc>
        <w:tc>
          <w:tcPr>
            <w:tcW w:w="3449" w:type="pct"/>
          </w:tcPr>
          <w:p w:rsidR="004E2A87" w:rsidRPr="00E962C0" w:rsidRDefault="004E2A87" w:rsidP="009134B2">
            <w:pPr>
              <w:spacing w:after="200"/>
              <w:rPr>
                <w:rFonts w:eastAsiaTheme="minorHAnsi" w:cs="Arial"/>
                <w:szCs w:val="24"/>
              </w:rPr>
            </w:pPr>
            <w:r w:rsidRPr="00E962C0">
              <w:rPr>
                <w:rFonts w:eastAsiaTheme="minorHAnsi" w:cs="Arial"/>
                <w:szCs w:val="24"/>
              </w:rPr>
              <w:t>The purpose of this CQUIN proposal is to embed a systematic approach towards the prompt identification and appropriate treatment of life-threatening infections, while at the same time reducing the chance of the development of strains of bacteria that are resistant to antibiotics.</w:t>
            </w:r>
          </w:p>
          <w:p w:rsidR="004E2A87" w:rsidRPr="00E962C0" w:rsidRDefault="004E2A87" w:rsidP="009134B2">
            <w:pPr>
              <w:spacing w:after="200"/>
              <w:rPr>
                <w:rFonts w:eastAsiaTheme="minorHAnsi" w:cs="Arial"/>
                <w:szCs w:val="24"/>
              </w:rPr>
            </w:pPr>
            <w:r w:rsidRPr="00E962C0">
              <w:rPr>
                <w:rFonts w:eastAsiaTheme="minorHAnsi" w:cs="Arial"/>
                <w:szCs w:val="24"/>
              </w:rPr>
              <w:t>Sepsis is potentially a life threatening condition and is recognised as a significant cause of mortality and morbidity in the NHS, with almost 37,000</w:t>
            </w:r>
            <w:r w:rsidRPr="00E962C0">
              <w:rPr>
                <w:rFonts w:eastAsiaTheme="minorHAnsi" w:cs="Arial"/>
                <w:szCs w:val="24"/>
                <w:vertAlign w:val="superscript"/>
              </w:rPr>
              <w:footnoteReference w:id="6"/>
            </w:r>
            <w:r w:rsidRPr="00E962C0">
              <w:rPr>
                <w:rFonts w:eastAsiaTheme="minorHAnsi" w:cs="Arial"/>
                <w:szCs w:val="24"/>
              </w:rPr>
              <w:t xml:space="preserve"> deaths in England attributed to Sepsis annually. Of these it is estimated that 11,000 could have been prevented. </w:t>
            </w:r>
          </w:p>
          <w:p w:rsidR="004E2A87" w:rsidRPr="00E962C0" w:rsidRDefault="004E2A87" w:rsidP="009134B2">
            <w:pPr>
              <w:rPr>
                <w:rFonts w:eastAsiaTheme="minorHAnsi" w:cs="Arial"/>
                <w:szCs w:val="24"/>
              </w:rPr>
            </w:pPr>
            <w:r w:rsidRPr="00E962C0">
              <w:rPr>
                <w:rFonts w:eastAsiaTheme="minorHAnsi" w:cs="Arial"/>
                <w:szCs w:val="24"/>
              </w:rPr>
              <w:t>NICE published its first guidance on sepsis in July 2016. The proposed CQUIN is an opportunity for us to encourage provider organisations to follow NICE guidance to improve sepsis management.</w:t>
            </w:r>
          </w:p>
          <w:p w:rsidR="004E2A87" w:rsidRPr="00E962C0" w:rsidRDefault="004E2A87" w:rsidP="009134B2">
            <w:pPr>
              <w:rPr>
                <w:rFonts w:eastAsiaTheme="minorHAnsi" w:cs="Arial"/>
                <w:szCs w:val="24"/>
              </w:rPr>
            </w:pPr>
          </w:p>
          <w:p w:rsidR="004E2A87" w:rsidRPr="00E962C0" w:rsidRDefault="004E2A87" w:rsidP="009134B2">
            <w:pPr>
              <w:spacing w:after="200"/>
              <w:rPr>
                <w:rFonts w:eastAsiaTheme="minorHAnsi" w:cs="Arial"/>
                <w:szCs w:val="24"/>
              </w:rPr>
            </w:pPr>
            <w:r w:rsidRPr="00E962C0">
              <w:rPr>
                <w:rFonts w:eastAsiaTheme="minorHAnsi" w:cs="Arial"/>
                <w:szCs w:val="24"/>
              </w:rPr>
              <w:t>In 2015/16 there was a national sepsis CQUIN that appears to have raised the rate of screening for sepsis among ED admissions from 52% to 80%, and the rate of prompt antibiotic administration for people in this group with severe sepsis from 57% in Q3 to 64%.</w:t>
            </w:r>
          </w:p>
          <w:p w:rsidR="004E2A87" w:rsidRPr="00E962C0" w:rsidRDefault="004E2A87" w:rsidP="009134B2">
            <w:pPr>
              <w:rPr>
                <w:rFonts w:eastAsiaTheme="minorHAnsi" w:cs="Arial"/>
                <w:szCs w:val="24"/>
              </w:rPr>
            </w:pPr>
            <w:r w:rsidRPr="00E962C0">
              <w:rPr>
                <w:rFonts w:eastAsiaTheme="minorHAnsi" w:cs="Arial"/>
                <w:szCs w:val="24"/>
              </w:rPr>
              <w:t xml:space="preserve">In 2016/17 this CQUIN was extended to also include inpatients </w:t>
            </w:r>
            <w:proofErr w:type="gramStart"/>
            <w:r w:rsidRPr="00E962C0">
              <w:rPr>
                <w:rFonts w:eastAsiaTheme="minorHAnsi" w:cs="Arial"/>
                <w:szCs w:val="24"/>
              </w:rPr>
              <w:t>who</w:t>
            </w:r>
            <w:proofErr w:type="gramEnd"/>
            <w:r w:rsidRPr="00E962C0">
              <w:rPr>
                <w:rFonts w:eastAsiaTheme="minorHAnsi" w:cs="Arial"/>
                <w:szCs w:val="24"/>
              </w:rPr>
              <w:t xml:space="preserve"> deteriorate due to sepsis. It is too early to yet measure the impact of this; however it has been viewed favourably by clinicians and quality improvement teams who recognise the importance of prompt identification and management of the deteriorating patient as a means of reducing avoidable mortality in hospitals.</w:t>
            </w:r>
          </w:p>
          <w:p w:rsidR="004E2A87" w:rsidRPr="00E962C0" w:rsidRDefault="004E2A87" w:rsidP="009134B2">
            <w:pPr>
              <w:rPr>
                <w:rFonts w:eastAsiaTheme="minorHAnsi" w:cs="Arial"/>
                <w:szCs w:val="24"/>
              </w:rPr>
            </w:pPr>
          </w:p>
          <w:p w:rsidR="004E2A87" w:rsidRPr="00E962C0" w:rsidRDefault="004E2A87" w:rsidP="009134B2">
            <w:pPr>
              <w:rPr>
                <w:rFonts w:eastAsiaTheme="minorHAnsi" w:cs="Arial"/>
                <w:szCs w:val="24"/>
              </w:rPr>
            </w:pPr>
            <w:r w:rsidRPr="00E962C0">
              <w:rPr>
                <w:rFonts w:eastAsiaTheme="minorHAnsi" w:cs="Arial"/>
                <w:szCs w:val="24"/>
              </w:rPr>
              <w:t>In addition in 2016/7 there is a CQUIN on antimicrobial resistance (AMR) that aims to reduce both total and inappropriate antibiotic usage in hospitals. This is really important since AMR has increased significantly in recent years and the CMO believes it is a major risk for healthcare; without reversal of the trend we may find we have no drugs to treat serious infections in the future.</w:t>
            </w:r>
          </w:p>
          <w:p w:rsidR="004E2A87" w:rsidRPr="00E962C0" w:rsidRDefault="004E2A87" w:rsidP="009134B2">
            <w:pPr>
              <w:rPr>
                <w:rFonts w:eastAsiaTheme="minorHAnsi" w:cs="Arial"/>
                <w:szCs w:val="24"/>
              </w:rPr>
            </w:pPr>
            <w:r w:rsidRPr="00E962C0">
              <w:rPr>
                <w:rFonts w:eastAsiaTheme="minorHAnsi" w:cs="Arial"/>
                <w:szCs w:val="24"/>
              </w:rPr>
              <w:t>Both sepsis and AMR CQUINs in 2016/7 include the requirement that a competent clinician reviews the antibiotic prescription within three days of commencement to determine if it is still needed, and if so, if the appropriate antibiotic is being used.</w:t>
            </w:r>
          </w:p>
          <w:p w:rsidR="004E2A87" w:rsidRPr="002F00EF" w:rsidRDefault="004E2A87" w:rsidP="002F00EF">
            <w:pPr>
              <w:rPr>
                <w:rFonts w:eastAsiaTheme="minorHAnsi" w:cs="Arial"/>
                <w:szCs w:val="24"/>
              </w:rPr>
            </w:pPr>
            <w:r w:rsidRPr="00E962C0">
              <w:rPr>
                <w:rFonts w:eastAsiaTheme="minorHAnsi" w:cs="Arial"/>
                <w:szCs w:val="24"/>
              </w:rPr>
              <w:lastRenderedPageBreak/>
              <w:t>The teams working on sepsis and on AMR in NHS England and NHS Improvement believe that the issues of sepsis and AMR are complementary and that developing and implementing a joint CQUIN will support a coherent approach within provider organisations, towards reducing the impact of serious infections.</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lastRenderedPageBreak/>
              <w:t>Data source</w:t>
            </w:r>
          </w:p>
        </w:tc>
        <w:tc>
          <w:tcPr>
            <w:tcW w:w="3449" w:type="pct"/>
          </w:tcPr>
          <w:p w:rsidR="004E2A87" w:rsidRPr="002F00EF" w:rsidRDefault="004E2A87" w:rsidP="002F00EF">
            <w:pPr>
              <w:pStyle w:val="CommentText"/>
              <w:rPr>
                <w:sz w:val="24"/>
                <w:szCs w:val="24"/>
              </w:rPr>
            </w:pPr>
            <w:r w:rsidRPr="00E962C0">
              <w:rPr>
                <w:sz w:val="24"/>
                <w:szCs w:val="24"/>
              </w:rPr>
              <w:t>A minimum of 50 records per month after exclusions for ED and a separate 5</w:t>
            </w:r>
            <w:r w:rsidR="00E962C0">
              <w:rPr>
                <w:sz w:val="24"/>
                <w:szCs w:val="24"/>
              </w:rPr>
              <w:t xml:space="preserve">0 minimum after exclusions for </w:t>
            </w:r>
            <w:r w:rsidRPr="00E962C0">
              <w:rPr>
                <w:sz w:val="24"/>
                <w:szCs w:val="24"/>
              </w:rPr>
              <w:t>Inpatients</w:t>
            </w:r>
            <w:r w:rsidR="00E962C0">
              <w:rPr>
                <w:sz w:val="24"/>
                <w:szCs w:val="24"/>
              </w:rPr>
              <w:t>.</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t>Frequency of data collection</w:t>
            </w:r>
          </w:p>
        </w:tc>
        <w:tc>
          <w:tcPr>
            <w:tcW w:w="3449" w:type="pct"/>
          </w:tcPr>
          <w:p w:rsidR="004E2A87" w:rsidRPr="00E962C0" w:rsidRDefault="004E2A87" w:rsidP="004E2A87">
            <w:pPr>
              <w:keepNext/>
              <w:contextualSpacing/>
              <w:rPr>
                <w:rFonts w:cs="Arial"/>
                <w:bCs w:val="0"/>
                <w:szCs w:val="24"/>
              </w:rPr>
            </w:pPr>
            <w:r w:rsidRPr="00E962C0">
              <w:rPr>
                <w:rFonts w:cs="Arial"/>
                <w:szCs w:val="24"/>
              </w:rPr>
              <w:t>Monthly</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t>Organisation responsible for data collection</w:t>
            </w:r>
          </w:p>
        </w:tc>
        <w:tc>
          <w:tcPr>
            <w:tcW w:w="3449" w:type="pct"/>
          </w:tcPr>
          <w:p w:rsidR="004E2A87" w:rsidRPr="00E962C0" w:rsidRDefault="004E2A87" w:rsidP="004E2A87">
            <w:pPr>
              <w:keepNext/>
              <w:contextualSpacing/>
              <w:rPr>
                <w:rFonts w:cs="Arial"/>
                <w:bCs w:val="0"/>
                <w:szCs w:val="24"/>
              </w:rPr>
            </w:pPr>
            <w:r w:rsidRPr="00E962C0">
              <w:rPr>
                <w:rFonts w:cs="Arial"/>
                <w:szCs w:val="24"/>
              </w:rPr>
              <w:t>Provider</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t>Frequency of reporting to commissioner</w:t>
            </w:r>
          </w:p>
        </w:tc>
        <w:tc>
          <w:tcPr>
            <w:tcW w:w="3449" w:type="pct"/>
          </w:tcPr>
          <w:p w:rsidR="004E2A87" w:rsidRPr="00E962C0" w:rsidRDefault="004E2A87" w:rsidP="004E2A87">
            <w:pPr>
              <w:keepNext/>
              <w:contextualSpacing/>
              <w:rPr>
                <w:rFonts w:cs="Arial"/>
                <w:bCs w:val="0"/>
                <w:szCs w:val="24"/>
              </w:rPr>
            </w:pPr>
            <w:r w:rsidRPr="00E962C0">
              <w:rPr>
                <w:rFonts w:cs="Arial"/>
                <w:szCs w:val="24"/>
              </w:rPr>
              <w:t>Quarterly</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t>Baseline period/date</w:t>
            </w:r>
          </w:p>
        </w:tc>
        <w:tc>
          <w:tcPr>
            <w:tcW w:w="3449" w:type="pct"/>
          </w:tcPr>
          <w:p w:rsidR="004E2A87" w:rsidRDefault="00FE6F47" w:rsidP="004E2A87">
            <w:pPr>
              <w:keepNext/>
              <w:contextualSpacing/>
              <w:rPr>
                <w:rFonts w:cs="Arial"/>
                <w:szCs w:val="24"/>
              </w:rPr>
            </w:pPr>
            <w:r>
              <w:rPr>
                <w:rFonts w:cs="Arial"/>
                <w:szCs w:val="24"/>
              </w:rPr>
              <w:t xml:space="preserve">Year 1 - </w:t>
            </w:r>
            <w:r w:rsidR="004E2A87" w:rsidRPr="00E962C0">
              <w:rPr>
                <w:rFonts w:cs="Arial"/>
                <w:szCs w:val="24"/>
              </w:rPr>
              <w:t>Q4 2016/17</w:t>
            </w:r>
          </w:p>
          <w:p w:rsidR="00FE6F47" w:rsidRPr="00E962C0" w:rsidRDefault="00FE6F47" w:rsidP="004E2A87">
            <w:pPr>
              <w:keepNext/>
              <w:contextualSpacing/>
              <w:rPr>
                <w:rFonts w:cs="Arial"/>
                <w:bCs w:val="0"/>
                <w:szCs w:val="24"/>
              </w:rPr>
            </w:pPr>
            <w:r>
              <w:rPr>
                <w:rFonts w:cs="Arial"/>
                <w:szCs w:val="24"/>
              </w:rPr>
              <w:t>Year 2 - Q4 2017</w:t>
            </w:r>
            <w:r w:rsidRPr="00E962C0">
              <w:rPr>
                <w:rFonts w:cs="Arial"/>
                <w:szCs w:val="24"/>
              </w:rPr>
              <w:t>/1</w:t>
            </w:r>
            <w:r>
              <w:rPr>
                <w:rFonts w:cs="Arial"/>
                <w:szCs w:val="24"/>
              </w:rPr>
              <w:t>8</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t>Baseline value</w:t>
            </w:r>
          </w:p>
        </w:tc>
        <w:tc>
          <w:tcPr>
            <w:tcW w:w="3449" w:type="pct"/>
          </w:tcPr>
          <w:p w:rsidR="004E2A87" w:rsidRPr="00E962C0" w:rsidRDefault="004E2A87" w:rsidP="004E2A87">
            <w:pPr>
              <w:keepNext/>
              <w:contextualSpacing/>
              <w:rPr>
                <w:rFonts w:cs="Arial"/>
                <w:bCs w:val="0"/>
                <w:szCs w:val="24"/>
              </w:rPr>
            </w:pPr>
            <w:r w:rsidRPr="00E962C0">
              <w:rPr>
                <w:rFonts w:cs="Arial"/>
                <w:szCs w:val="24"/>
              </w:rPr>
              <w:t>See section on payments</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t>Final indicator period/date (on which payment is based)</w:t>
            </w:r>
          </w:p>
        </w:tc>
        <w:tc>
          <w:tcPr>
            <w:tcW w:w="3449" w:type="pct"/>
          </w:tcPr>
          <w:p w:rsidR="004E2A87" w:rsidRPr="00E962C0" w:rsidRDefault="004E2A87" w:rsidP="004E2A87">
            <w:pPr>
              <w:keepNext/>
              <w:contextualSpacing/>
              <w:rPr>
                <w:rFonts w:cs="Arial"/>
                <w:bCs w:val="0"/>
                <w:szCs w:val="24"/>
              </w:rPr>
            </w:pPr>
            <w:r w:rsidRPr="00E962C0">
              <w:rPr>
                <w:rFonts w:cs="Arial"/>
                <w:szCs w:val="24"/>
              </w:rPr>
              <w:t>See section on payments</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t>Final indicator value (payment threshold)</w:t>
            </w:r>
          </w:p>
        </w:tc>
        <w:tc>
          <w:tcPr>
            <w:tcW w:w="3449" w:type="pct"/>
          </w:tcPr>
          <w:p w:rsidR="004E2A87" w:rsidRPr="00E962C0" w:rsidRDefault="004E2A87" w:rsidP="004E2A87">
            <w:pPr>
              <w:keepNext/>
              <w:contextualSpacing/>
              <w:rPr>
                <w:rFonts w:cs="Arial"/>
                <w:bCs w:val="0"/>
                <w:szCs w:val="24"/>
              </w:rPr>
            </w:pPr>
            <w:r w:rsidRPr="00E962C0">
              <w:rPr>
                <w:rFonts w:cs="Arial"/>
                <w:szCs w:val="24"/>
              </w:rPr>
              <w:t>See section on payments below for full information</w:t>
            </w:r>
          </w:p>
          <w:p w:rsidR="004E2A87" w:rsidRPr="00E962C0" w:rsidRDefault="004E2A87" w:rsidP="004E2A87">
            <w:pPr>
              <w:keepNext/>
              <w:contextualSpacing/>
              <w:rPr>
                <w:rFonts w:cs="Arial"/>
                <w:bCs w:val="0"/>
                <w:szCs w:val="24"/>
              </w:rPr>
            </w:pPr>
          </w:p>
          <w:p w:rsidR="004E2A87" w:rsidRPr="002F00EF" w:rsidRDefault="004E2A87" w:rsidP="00114E58">
            <w:pPr>
              <w:keepNext/>
              <w:contextualSpacing/>
              <w:rPr>
                <w:rFonts w:cs="Arial"/>
                <w:bCs w:val="0"/>
                <w:szCs w:val="24"/>
              </w:rPr>
            </w:pPr>
            <w:r w:rsidRPr="00E962C0">
              <w:rPr>
                <w:rFonts w:cs="Arial"/>
                <w:szCs w:val="24"/>
              </w:rPr>
              <w:t xml:space="preserve">Screening – national thresholds have been set for payment based on absolute performance levels. </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t>Rules for calculation of payment due at final indicator period/date (including evidence to be supplied to commissioner)</w:t>
            </w:r>
          </w:p>
        </w:tc>
        <w:tc>
          <w:tcPr>
            <w:tcW w:w="3449" w:type="pct"/>
          </w:tcPr>
          <w:p w:rsidR="004E2A87" w:rsidRPr="00E962C0" w:rsidRDefault="004E2A87" w:rsidP="004E2A87">
            <w:pPr>
              <w:keepNext/>
              <w:contextualSpacing/>
              <w:rPr>
                <w:rFonts w:cs="Arial"/>
                <w:bCs w:val="0"/>
                <w:szCs w:val="24"/>
              </w:rPr>
            </w:pPr>
            <w:r w:rsidRPr="00E962C0">
              <w:rPr>
                <w:rFonts w:eastAsia="Calibri" w:cs="Arial"/>
                <w:szCs w:val="24"/>
              </w:rPr>
              <w:t>Yes – see payment section below</w:t>
            </w:r>
          </w:p>
          <w:p w:rsidR="004E2A87" w:rsidRPr="00E962C0" w:rsidRDefault="004E2A87" w:rsidP="004E2A87">
            <w:pPr>
              <w:keepNext/>
              <w:contextualSpacing/>
              <w:rPr>
                <w:rFonts w:cs="Arial"/>
                <w:bCs w:val="0"/>
                <w:szCs w:val="24"/>
              </w:rPr>
            </w:pP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t>Final indicator reporting date</w:t>
            </w:r>
          </w:p>
        </w:tc>
        <w:tc>
          <w:tcPr>
            <w:tcW w:w="3449" w:type="pct"/>
          </w:tcPr>
          <w:p w:rsidR="004E2A87" w:rsidRDefault="00662B4D" w:rsidP="004E2A87">
            <w:pPr>
              <w:keepNext/>
              <w:contextualSpacing/>
              <w:rPr>
                <w:rFonts w:cs="Arial"/>
                <w:szCs w:val="24"/>
              </w:rPr>
            </w:pPr>
            <w:r>
              <w:rPr>
                <w:rFonts w:cs="Arial"/>
                <w:szCs w:val="24"/>
              </w:rPr>
              <w:t xml:space="preserve">Year 1 - </w:t>
            </w:r>
            <w:r w:rsidR="004E2A87" w:rsidRPr="00E962C0">
              <w:rPr>
                <w:rFonts w:cs="Arial"/>
                <w:szCs w:val="24"/>
              </w:rPr>
              <w:t>As soon as possible after Q4 2017/18</w:t>
            </w:r>
          </w:p>
          <w:p w:rsidR="00662B4D" w:rsidRPr="00662B4D" w:rsidRDefault="00662B4D" w:rsidP="00662B4D">
            <w:pPr>
              <w:keepNext/>
              <w:rPr>
                <w:rFonts w:cs="Arial"/>
                <w:szCs w:val="24"/>
              </w:rPr>
            </w:pPr>
            <w:r w:rsidRPr="00662B4D">
              <w:rPr>
                <w:rFonts w:cs="Arial"/>
                <w:szCs w:val="24"/>
              </w:rPr>
              <w:t>Year 2 - A</w:t>
            </w:r>
            <w:r>
              <w:rPr>
                <w:rFonts w:cs="Arial"/>
                <w:szCs w:val="24"/>
              </w:rPr>
              <w:t>s soon as possible after Q4 2018</w:t>
            </w:r>
            <w:r w:rsidRPr="00662B4D">
              <w:rPr>
                <w:rFonts w:cs="Arial"/>
                <w:szCs w:val="24"/>
              </w:rPr>
              <w:t>/1</w:t>
            </w:r>
            <w:r>
              <w:rPr>
                <w:rFonts w:cs="Arial"/>
                <w:szCs w:val="24"/>
              </w:rPr>
              <w:t>9</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t>Are there rules for any agreed in-year milestones that result in payment?</w:t>
            </w:r>
          </w:p>
        </w:tc>
        <w:tc>
          <w:tcPr>
            <w:tcW w:w="3449" w:type="pct"/>
          </w:tcPr>
          <w:p w:rsidR="004E2A87" w:rsidRPr="00E962C0" w:rsidRDefault="004E2A87" w:rsidP="004E2A87">
            <w:pPr>
              <w:keepNext/>
              <w:contextualSpacing/>
              <w:rPr>
                <w:rFonts w:cs="Arial"/>
                <w:bCs w:val="0"/>
                <w:szCs w:val="24"/>
              </w:rPr>
            </w:pPr>
            <w:r w:rsidRPr="00E962C0">
              <w:rPr>
                <w:rFonts w:eastAsia="Calibri" w:cs="Arial"/>
                <w:szCs w:val="24"/>
              </w:rPr>
              <w:t>Yes – see payment section below</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t>Are there any rules for partial achievement of the indicator at the final indicator period/date?</w:t>
            </w:r>
          </w:p>
        </w:tc>
        <w:tc>
          <w:tcPr>
            <w:tcW w:w="3449" w:type="pct"/>
          </w:tcPr>
          <w:p w:rsidR="004E2A87" w:rsidRPr="00E962C0" w:rsidRDefault="004E2A87" w:rsidP="004E2A87">
            <w:pPr>
              <w:keepNext/>
              <w:contextualSpacing/>
              <w:rPr>
                <w:rFonts w:eastAsia="Calibri" w:cs="Arial"/>
                <w:bCs w:val="0"/>
                <w:szCs w:val="24"/>
              </w:rPr>
            </w:pPr>
            <w:r w:rsidRPr="00E962C0">
              <w:rPr>
                <w:rFonts w:eastAsia="Calibri" w:cs="Arial"/>
                <w:szCs w:val="24"/>
              </w:rPr>
              <w:t>Yes – see payment section below</w:t>
            </w:r>
          </w:p>
        </w:tc>
      </w:tr>
      <w:tr w:rsidR="004E2A87" w:rsidRPr="00B47AC3" w:rsidTr="004779A7">
        <w:tc>
          <w:tcPr>
            <w:tcW w:w="1551" w:type="pct"/>
          </w:tcPr>
          <w:p w:rsidR="004E2A87" w:rsidRPr="00B47AC3" w:rsidRDefault="004E2A87" w:rsidP="004E2A87">
            <w:pPr>
              <w:spacing w:before="20" w:after="20"/>
              <w:rPr>
                <w:rFonts w:cs="Arial"/>
                <w:b/>
                <w:bCs w:val="0"/>
                <w:color w:val="000000"/>
              </w:rPr>
            </w:pPr>
            <w:r w:rsidRPr="00B47AC3">
              <w:rPr>
                <w:rFonts w:cs="Arial"/>
                <w:b/>
                <w:color w:val="000000"/>
              </w:rPr>
              <w:t>EXIT Route</w:t>
            </w:r>
          </w:p>
        </w:tc>
        <w:tc>
          <w:tcPr>
            <w:tcW w:w="3449" w:type="pct"/>
          </w:tcPr>
          <w:p w:rsidR="004E2A87" w:rsidRPr="00E962C0" w:rsidRDefault="004E2A87" w:rsidP="004E2A87">
            <w:pPr>
              <w:keepNext/>
              <w:contextualSpacing/>
              <w:rPr>
                <w:rFonts w:cs="Arial"/>
                <w:bCs w:val="0"/>
                <w:color w:val="000000"/>
                <w:szCs w:val="24"/>
              </w:rPr>
            </w:pPr>
            <w:r w:rsidRPr="00E962C0">
              <w:rPr>
                <w:rFonts w:cs="Arial"/>
                <w:color w:val="000000"/>
                <w:szCs w:val="24"/>
              </w:rPr>
              <w:t>To be determined locally</w:t>
            </w:r>
          </w:p>
        </w:tc>
      </w:tr>
    </w:tbl>
    <w:p w:rsidR="00702E87" w:rsidRDefault="00702E87" w:rsidP="00702E87">
      <w:pPr>
        <w:rPr>
          <w:lang w:eastAsia="en-GB"/>
        </w:rPr>
      </w:pPr>
    </w:p>
    <w:p w:rsidR="00702E87" w:rsidRDefault="00702E87" w:rsidP="00702E87">
      <w:pPr>
        <w:pStyle w:val="Heading4"/>
        <w:rPr>
          <w:lang w:eastAsia="en-GB"/>
        </w:rPr>
      </w:pPr>
      <w:r w:rsidRPr="00702E87">
        <w:rPr>
          <w:lang w:eastAsia="en-GB"/>
        </w:rPr>
        <w:lastRenderedPageBreak/>
        <w:t>Rules for in-year payments</w:t>
      </w:r>
      <w:r>
        <w:rPr>
          <w:lang w:eastAsia="en-GB"/>
        </w:rPr>
        <w:t xml:space="preserve"> for indicator 2a</w:t>
      </w:r>
      <w:r w:rsidR="00662B4D">
        <w:rPr>
          <w:lang w:eastAsia="en-GB"/>
        </w:rPr>
        <w:t xml:space="preserve"> in 17/18 and 18/19</w:t>
      </w:r>
    </w:p>
    <w:p w:rsidR="00702E87" w:rsidRDefault="00702E87" w:rsidP="00702E87">
      <w:pPr>
        <w:rPr>
          <w:lang w:eastAsia="en-GB"/>
        </w:rPr>
      </w:pPr>
    </w:p>
    <w:p w:rsidR="0055283A" w:rsidRDefault="0055283A" w:rsidP="00C56BCA">
      <w:pPr>
        <w:rPr>
          <w:b/>
        </w:rPr>
      </w:pPr>
      <w:bookmarkStart w:id="17" w:name="_Toc441485350"/>
      <w:bookmarkStart w:id="18" w:name="_Toc443035737"/>
      <w:bookmarkStart w:id="19" w:name="_Toc443663869"/>
      <w:bookmarkStart w:id="20" w:name="_Toc444087393"/>
      <w:bookmarkStart w:id="21" w:name="_Toc444088997"/>
      <w:bookmarkStart w:id="22" w:name="_Toc445216769"/>
      <w:r w:rsidRPr="00C56BCA">
        <w:rPr>
          <w:b/>
        </w:rPr>
        <w:t xml:space="preserve">Emergency Department </w:t>
      </w:r>
      <w:bookmarkEnd w:id="17"/>
      <w:bookmarkEnd w:id="18"/>
      <w:bookmarkEnd w:id="19"/>
      <w:bookmarkEnd w:id="20"/>
      <w:bookmarkEnd w:id="21"/>
      <w:bookmarkEnd w:id="22"/>
      <w:r w:rsidRPr="00C56BCA">
        <w:rPr>
          <w:b/>
        </w:rPr>
        <w:t>and Acute Inpatient Settings</w:t>
      </w:r>
    </w:p>
    <w:p w:rsidR="00C56BCA" w:rsidRPr="00C56BCA" w:rsidRDefault="00C56BCA" w:rsidP="00C56BCA">
      <w:pPr>
        <w:rPr>
          <w:b/>
        </w:rPr>
      </w:pPr>
    </w:p>
    <w:tbl>
      <w:tblPr>
        <w:tblStyle w:val="TableGrid"/>
        <w:tblW w:w="9039" w:type="dxa"/>
        <w:tblLook w:val="04A0" w:firstRow="1" w:lastRow="0" w:firstColumn="1" w:lastColumn="0" w:noHBand="0" w:noVBand="1"/>
        <w:tblCaption w:val="Emergency Department Setting"/>
        <w:tblDescription w:val="Quarter, Screening, Treatment and day 3 review"/>
      </w:tblPr>
      <w:tblGrid>
        <w:gridCol w:w="2802"/>
        <w:gridCol w:w="1626"/>
        <w:gridCol w:w="4611"/>
      </w:tblGrid>
      <w:tr w:rsidR="0055283A" w:rsidRPr="00761E35" w:rsidTr="004779A7">
        <w:trPr>
          <w:trHeight w:val="268"/>
          <w:tblHeader/>
        </w:trPr>
        <w:tc>
          <w:tcPr>
            <w:tcW w:w="2802" w:type="dxa"/>
            <w:shd w:val="clear" w:color="auto" w:fill="0072C6" w:themeFill="text2"/>
          </w:tcPr>
          <w:p w:rsidR="0055283A" w:rsidRPr="00C56BCA" w:rsidRDefault="0055283A" w:rsidP="00040AE2">
            <w:pPr>
              <w:rPr>
                <w:rFonts w:cs="Arial"/>
                <w:b/>
                <w:color w:val="FFFFFF" w:themeColor="background1"/>
              </w:rPr>
            </w:pPr>
            <w:r w:rsidRPr="00C56BCA">
              <w:rPr>
                <w:rFonts w:eastAsiaTheme="minorHAnsi" w:cs="Arial"/>
                <w:b/>
                <w:color w:val="FFFFFF" w:themeColor="background1"/>
              </w:rPr>
              <w:t>Quarter</w:t>
            </w:r>
          </w:p>
        </w:tc>
        <w:tc>
          <w:tcPr>
            <w:tcW w:w="6237" w:type="dxa"/>
            <w:gridSpan w:val="2"/>
            <w:shd w:val="clear" w:color="auto" w:fill="0072C6" w:themeFill="text2"/>
          </w:tcPr>
          <w:p w:rsidR="0055283A" w:rsidRPr="00C56BCA" w:rsidRDefault="0055283A" w:rsidP="00040AE2">
            <w:pPr>
              <w:rPr>
                <w:rFonts w:cs="Arial"/>
                <w:b/>
                <w:color w:val="FFFFFF" w:themeColor="background1"/>
              </w:rPr>
            </w:pPr>
            <w:r w:rsidRPr="00C56BCA">
              <w:rPr>
                <w:rFonts w:eastAsiaTheme="minorHAnsi" w:cs="Arial"/>
                <w:b/>
                <w:color w:val="FFFFFF" w:themeColor="background1"/>
              </w:rPr>
              <w:t xml:space="preserve">Timely identification and screening </w:t>
            </w:r>
          </w:p>
        </w:tc>
      </w:tr>
      <w:tr w:rsidR="0055283A" w:rsidRPr="00761E35" w:rsidTr="002F00EF">
        <w:trPr>
          <w:trHeight w:val="588"/>
        </w:trPr>
        <w:tc>
          <w:tcPr>
            <w:tcW w:w="2802" w:type="dxa"/>
            <w:vMerge w:val="restart"/>
          </w:tcPr>
          <w:p w:rsidR="0055283A" w:rsidRPr="00761E35" w:rsidRDefault="0055283A" w:rsidP="00040AE2">
            <w:pPr>
              <w:rPr>
                <w:rFonts w:eastAsiaTheme="minorHAnsi" w:cs="Arial"/>
              </w:rPr>
            </w:pPr>
            <w:r w:rsidRPr="00761E35">
              <w:rPr>
                <w:rFonts w:eastAsiaTheme="minorHAnsi" w:cs="Arial"/>
              </w:rPr>
              <w:t>Q1</w:t>
            </w:r>
          </w:p>
        </w:tc>
        <w:tc>
          <w:tcPr>
            <w:tcW w:w="6237" w:type="dxa"/>
            <w:gridSpan w:val="2"/>
          </w:tcPr>
          <w:p w:rsidR="0055283A" w:rsidRPr="00761E35" w:rsidRDefault="0055283A" w:rsidP="00040AE2">
            <w:pPr>
              <w:rPr>
                <w:rFonts w:cs="Arial"/>
                <w:b/>
              </w:rPr>
            </w:pPr>
            <w:r w:rsidRPr="00761E35">
              <w:rPr>
                <w:rFonts w:eastAsiaTheme="minorHAnsi" w:cs="Arial"/>
              </w:rPr>
              <w:t>Payment based on % of eligible patients (based on local protocol) screened:</w:t>
            </w:r>
          </w:p>
        </w:tc>
      </w:tr>
      <w:tr w:rsidR="0055283A" w:rsidRPr="00761E35" w:rsidTr="004779A7">
        <w:trPr>
          <w:trHeight w:val="383"/>
        </w:trPr>
        <w:tc>
          <w:tcPr>
            <w:tcW w:w="2802" w:type="dxa"/>
            <w:vMerge/>
          </w:tcPr>
          <w:p w:rsidR="0055283A" w:rsidRPr="00761E35" w:rsidRDefault="0055283A" w:rsidP="00040AE2">
            <w:pPr>
              <w:rPr>
                <w:rFonts w:cs="Arial"/>
              </w:rPr>
            </w:pPr>
          </w:p>
        </w:tc>
        <w:tc>
          <w:tcPr>
            <w:tcW w:w="1626" w:type="dxa"/>
          </w:tcPr>
          <w:p w:rsidR="0055283A" w:rsidRPr="00761E35" w:rsidRDefault="0055283A" w:rsidP="00040AE2">
            <w:pPr>
              <w:rPr>
                <w:rFonts w:cs="Arial"/>
                <w:b/>
              </w:rPr>
            </w:pPr>
            <w:r w:rsidRPr="00761E35">
              <w:rPr>
                <w:rFonts w:eastAsiaTheme="minorHAnsi" w:cs="Arial"/>
                <w:b/>
              </w:rPr>
              <w:t xml:space="preserve">Less than 50.0%: </w:t>
            </w:r>
          </w:p>
        </w:tc>
        <w:tc>
          <w:tcPr>
            <w:tcW w:w="4611" w:type="dxa"/>
          </w:tcPr>
          <w:p w:rsidR="0055283A" w:rsidRPr="00761E35" w:rsidRDefault="0055283A" w:rsidP="00040AE2">
            <w:pPr>
              <w:rPr>
                <w:rFonts w:cs="Arial"/>
              </w:rPr>
            </w:pPr>
            <w:r w:rsidRPr="00761E35">
              <w:rPr>
                <w:rFonts w:eastAsiaTheme="minorHAnsi" w:cs="Arial"/>
              </w:rPr>
              <w:t>No payment</w:t>
            </w:r>
          </w:p>
        </w:tc>
      </w:tr>
      <w:tr w:rsidR="0055283A" w:rsidRPr="00761E35" w:rsidTr="004779A7">
        <w:trPr>
          <w:trHeight w:val="276"/>
        </w:trPr>
        <w:tc>
          <w:tcPr>
            <w:tcW w:w="2802" w:type="dxa"/>
            <w:vMerge/>
          </w:tcPr>
          <w:p w:rsidR="0055283A" w:rsidRPr="00761E35" w:rsidRDefault="0055283A" w:rsidP="00040AE2">
            <w:pPr>
              <w:rPr>
                <w:rFonts w:cs="Arial"/>
              </w:rPr>
            </w:pPr>
          </w:p>
        </w:tc>
        <w:tc>
          <w:tcPr>
            <w:tcW w:w="1626" w:type="dxa"/>
          </w:tcPr>
          <w:p w:rsidR="0055283A" w:rsidRPr="00761E35" w:rsidRDefault="0055283A" w:rsidP="00040AE2">
            <w:pPr>
              <w:rPr>
                <w:rFonts w:cs="Arial"/>
                <w:b/>
              </w:rPr>
            </w:pPr>
            <w:r w:rsidRPr="00761E35">
              <w:rPr>
                <w:rFonts w:eastAsiaTheme="minorHAnsi" w:cs="Arial"/>
                <w:b/>
              </w:rPr>
              <w:t xml:space="preserve">50.0%-89.9%: </w:t>
            </w:r>
          </w:p>
        </w:tc>
        <w:tc>
          <w:tcPr>
            <w:tcW w:w="4611" w:type="dxa"/>
          </w:tcPr>
          <w:p w:rsidR="0055283A" w:rsidRPr="00761E35" w:rsidRDefault="0055283A" w:rsidP="00040AE2">
            <w:pPr>
              <w:rPr>
                <w:rFonts w:cs="Arial"/>
              </w:rPr>
            </w:pPr>
            <w:r w:rsidRPr="00737430">
              <w:rPr>
                <w:rFonts w:eastAsiaTheme="minorHAnsi" w:cs="Arial"/>
              </w:rPr>
              <w:t>5.0</w:t>
            </w:r>
            <w:r>
              <w:rPr>
                <w:rFonts w:eastAsiaTheme="minorHAnsi" w:cs="Arial"/>
              </w:rPr>
              <w:t>%</w:t>
            </w:r>
          </w:p>
        </w:tc>
      </w:tr>
      <w:tr w:rsidR="0055283A" w:rsidRPr="00761E35" w:rsidTr="004779A7">
        <w:trPr>
          <w:trHeight w:val="406"/>
        </w:trPr>
        <w:tc>
          <w:tcPr>
            <w:tcW w:w="2802" w:type="dxa"/>
            <w:vMerge/>
          </w:tcPr>
          <w:p w:rsidR="0055283A" w:rsidRPr="00761E35" w:rsidRDefault="0055283A" w:rsidP="00040AE2">
            <w:pPr>
              <w:rPr>
                <w:rFonts w:cs="Arial"/>
              </w:rPr>
            </w:pPr>
          </w:p>
        </w:tc>
        <w:tc>
          <w:tcPr>
            <w:tcW w:w="1626" w:type="dxa"/>
          </w:tcPr>
          <w:p w:rsidR="0055283A" w:rsidRPr="00761E35" w:rsidRDefault="0055283A" w:rsidP="00040AE2">
            <w:pPr>
              <w:rPr>
                <w:rFonts w:cs="Arial"/>
              </w:rPr>
            </w:pPr>
            <w:r w:rsidRPr="00761E35">
              <w:rPr>
                <w:rFonts w:eastAsiaTheme="minorHAnsi" w:cs="Arial"/>
                <w:b/>
              </w:rPr>
              <w:t xml:space="preserve">90.0% or above: </w:t>
            </w:r>
          </w:p>
        </w:tc>
        <w:tc>
          <w:tcPr>
            <w:tcW w:w="4611" w:type="dxa"/>
          </w:tcPr>
          <w:p w:rsidR="0055283A" w:rsidRPr="00761E35" w:rsidRDefault="0055283A" w:rsidP="00040AE2">
            <w:pPr>
              <w:rPr>
                <w:rFonts w:cs="Arial"/>
              </w:rPr>
            </w:pPr>
            <w:r>
              <w:rPr>
                <w:rFonts w:eastAsiaTheme="minorHAnsi" w:cs="Arial"/>
              </w:rPr>
              <w:t>12.5%</w:t>
            </w:r>
          </w:p>
        </w:tc>
      </w:tr>
      <w:tr w:rsidR="0055283A" w:rsidRPr="00761E35" w:rsidTr="004363C2">
        <w:trPr>
          <w:trHeight w:val="281"/>
        </w:trPr>
        <w:tc>
          <w:tcPr>
            <w:tcW w:w="2802" w:type="dxa"/>
          </w:tcPr>
          <w:p w:rsidR="0055283A" w:rsidRPr="00761E35" w:rsidRDefault="0055283A" w:rsidP="00040AE2">
            <w:pPr>
              <w:rPr>
                <w:rFonts w:eastAsiaTheme="minorHAnsi" w:cs="Arial"/>
              </w:rPr>
            </w:pPr>
            <w:r w:rsidRPr="00761E35">
              <w:rPr>
                <w:rFonts w:eastAsiaTheme="minorHAnsi" w:cs="Arial"/>
              </w:rPr>
              <w:t>Q2</w:t>
            </w:r>
          </w:p>
        </w:tc>
        <w:tc>
          <w:tcPr>
            <w:tcW w:w="6237" w:type="dxa"/>
            <w:gridSpan w:val="2"/>
          </w:tcPr>
          <w:p w:rsidR="0055283A" w:rsidRPr="00761E35" w:rsidRDefault="0055283A" w:rsidP="00040AE2">
            <w:pPr>
              <w:rPr>
                <w:rFonts w:cs="Arial"/>
                <w:b/>
              </w:rPr>
            </w:pPr>
            <w:r w:rsidRPr="00761E35">
              <w:rPr>
                <w:rFonts w:eastAsiaTheme="minorHAnsi" w:cs="Arial"/>
              </w:rPr>
              <w:t>As Q1</w:t>
            </w:r>
          </w:p>
        </w:tc>
      </w:tr>
      <w:tr w:rsidR="0055283A" w:rsidRPr="00761E35" w:rsidTr="002F00EF">
        <w:trPr>
          <w:trHeight w:val="247"/>
        </w:trPr>
        <w:tc>
          <w:tcPr>
            <w:tcW w:w="2802" w:type="dxa"/>
          </w:tcPr>
          <w:p w:rsidR="0055283A" w:rsidRPr="00761E35" w:rsidRDefault="0055283A" w:rsidP="00040AE2">
            <w:pPr>
              <w:rPr>
                <w:rFonts w:eastAsiaTheme="minorHAnsi" w:cs="Arial"/>
              </w:rPr>
            </w:pPr>
            <w:r w:rsidRPr="00761E35">
              <w:rPr>
                <w:rFonts w:eastAsiaTheme="minorHAnsi" w:cs="Arial"/>
              </w:rPr>
              <w:t>Q3</w:t>
            </w:r>
          </w:p>
        </w:tc>
        <w:tc>
          <w:tcPr>
            <w:tcW w:w="6237" w:type="dxa"/>
            <w:gridSpan w:val="2"/>
          </w:tcPr>
          <w:p w:rsidR="0055283A" w:rsidRPr="00761E35" w:rsidRDefault="0055283A" w:rsidP="00040AE2">
            <w:pPr>
              <w:rPr>
                <w:rFonts w:cs="Arial"/>
                <w:b/>
              </w:rPr>
            </w:pPr>
            <w:r w:rsidRPr="00761E35">
              <w:rPr>
                <w:rFonts w:eastAsiaTheme="minorHAnsi" w:cs="Arial"/>
              </w:rPr>
              <w:t>As Q1</w:t>
            </w:r>
          </w:p>
        </w:tc>
      </w:tr>
      <w:tr w:rsidR="0055283A" w:rsidRPr="00761E35" w:rsidTr="002F00EF">
        <w:trPr>
          <w:trHeight w:val="251"/>
        </w:trPr>
        <w:tc>
          <w:tcPr>
            <w:tcW w:w="2802" w:type="dxa"/>
          </w:tcPr>
          <w:p w:rsidR="0055283A" w:rsidRPr="00761E35" w:rsidRDefault="0055283A" w:rsidP="00040AE2">
            <w:pPr>
              <w:rPr>
                <w:rFonts w:eastAsiaTheme="minorHAnsi" w:cs="Arial"/>
              </w:rPr>
            </w:pPr>
            <w:r w:rsidRPr="00761E35">
              <w:rPr>
                <w:rFonts w:eastAsiaTheme="minorHAnsi" w:cs="Arial"/>
              </w:rPr>
              <w:t>Q4</w:t>
            </w:r>
          </w:p>
        </w:tc>
        <w:tc>
          <w:tcPr>
            <w:tcW w:w="6237" w:type="dxa"/>
            <w:gridSpan w:val="2"/>
          </w:tcPr>
          <w:p w:rsidR="0055283A" w:rsidRPr="00761E35" w:rsidRDefault="0055283A" w:rsidP="00040AE2">
            <w:pPr>
              <w:rPr>
                <w:rFonts w:cs="Arial"/>
                <w:b/>
              </w:rPr>
            </w:pPr>
            <w:r w:rsidRPr="00761E35">
              <w:rPr>
                <w:rFonts w:eastAsiaTheme="minorHAnsi" w:cs="Arial"/>
              </w:rPr>
              <w:t>As Q1</w:t>
            </w:r>
          </w:p>
        </w:tc>
      </w:tr>
      <w:tr w:rsidR="0055283A" w:rsidRPr="00761E35" w:rsidTr="004779A7">
        <w:trPr>
          <w:trHeight w:val="896"/>
        </w:trPr>
        <w:tc>
          <w:tcPr>
            <w:tcW w:w="2802" w:type="dxa"/>
          </w:tcPr>
          <w:p w:rsidR="0055283A" w:rsidRPr="00761E35" w:rsidRDefault="0055283A" w:rsidP="00040AE2">
            <w:pPr>
              <w:rPr>
                <w:rFonts w:cs="Arial"/>
                <w:b/>
              </w:rPr>
            </w:pPr>
            <w:r w:rsidRPr="00761E35">
              <w:rPr>
                <w:rFonts w:eastAsiaTheme="minorHAnsi" w:cs="Arial"/>
                <w:b/>
              </w:rPr>
              <w:t xml:space="preserve">Full year – </w:t>
            </w:r>
            <w:r>
              <w:rPr>
                <w:rFonts w:eastAsiaTheme="minorHAnsi" w:cs="Arial"/>
                <w:b/>
              </w:rPr>
              <w:t xml:space="preserve">% of indicator weighting </w:t>
            </w:r>
            <w:r w:rsidRPr="00761E35">
              <w:rPr>
                <w:rFonts w:eastAsiaTheme="minorHAnsi" w:cs="Arial"/>
                <w:b/>
              </w:rPr>
              <w:t>available</w:t>
            </w:r>
          </w:p>
        </w:tc>
        <w:tc>
          <w:tcPr>
            <w:tcW w:w="6237" w:type="dxa"/>
            <w:gridSpan w:val="2"/>
          </w:tcPr>
          <w:p w:rsidR="0055283A" w:rsidRPr="00761E35" w:rsidRDefault="0055283A" w:rsidP="00040AE2">
            <w:pPr>
              <w:jc w:val="right"/>
              <w:rPr>
                <w:rFonts w:cs="Arial"/>
                <w:b/>
              </w:rPr>
            </w:pPr>
            <w:r>
              <w:rPr>
                <w:rFonts w:eastAsiaTheme="minorHAnsi" w:cs="Arial"/>
                <w:b/>
              </w:rPr>
              <w:t xml:space="preserve"> </w:t>
            </w:r>
            <w:r w:rsidRPr="00AD69B8">
              <w:rPr>
                <w:rFonts w:eastAsiaTheme="minorHAnsi" w:cs="Arial"/>
                <w:b/>
              </w:rPr>
              <w:t>(max)</w:t>
            </w:r>
          </w:p>
        </w:tc>
      </w:tr>
    </w:tbl>
    <w:p w:rsidR="00702E87" w:rsidRDefault="00702E87" w:rsidP="00702E87">
      <w:pPr>
        <w:rPr>
          <w:lang w:eastAsia="en-GB"/>
        </w:rPr>
      </w:pPr>
    </w:p>
    <w:p w:rsidR="00702E87" w:rsidRDefault="00702E87" w:rsidP="00702E87">
      <w:pPr>
        <w:pStyle w:val="Heading4"/>
        <w:rPr>
          <w:lang w:eastAsia="en-GB"/>
        </w:rPr>
      </w:pPr>
      <w:r w:rsidRPr="00702E87">
        <w:rPr>
          <w:lang w:eastAsia="en-GB"/>
        </w:rPr>
        <w:t>Supporting Guidance and References</w:t>
      </w:r>
    </w:p>
    <w:p w:rsidR="00702E87" w:rsidRDefault="00702E87" w:rsidP="00702E87">
      <w:pPr>
        <w:rPr>
          <w:lang w:eastAsia="en-GB"/>
        </w:rPr>
      </w:pPr>
    </w:p>
    <w:p w:rsidR="0055283A" w:rsidRPr="00C56BCA" w:rsidRDefault="0055283A" w:rsidP="00C56BCA">
      <w:pPr>
        <w:rPr>
          <w:b/>
          <w:color w:val="A00054"/>
        </w:rPr>
      </w:pPr>
      <w:bookmarkStart w:id="23" w:name="_Toc441485354"/>
      <w:bookmarkStart w:id="24" w:name="_Toc443035741"/>
      <w:bookmarkStart w:id="25" w:name="_Toc443663872"/>
      <w:bookmarkStart w:id="26" w:name="_Toc444087396"/>
      <w:bookmarkStart w:id="27" w:name="_Toc444089000"/>
      <w:bookmarkStart w:id="28" w:name="_Toc445216772"/>
      <w:r w:rsidRPr="00C56BCA">
        <w:rPr>
          <w:b/>
        </w:rPr>
        <w:t>Key Components of Local Protocols</w:t>
      </w:r>
      <w:bookmarkEnd w:id="23"/>
      <w:bookmarkEnd w:id="24"/>
      <w:bookmarkEnd w:id="25"/>
      <w:bookmarkEnd w:id="26"/>
      <w:bookmarkEnd w:id="27"/>
      <w:bookmarkEnd w:id="28"/>
    </w:p>
    <w:p w:rsidR="00C56BCA" w:rsidRDefault="00C56BCA" w:rsidP="0055283A">
      <w:pPr>
        <w:rPr>
          <w:rFonts w:cs="Arial"/>
        </w:rPr>
      </w:pPr>
    </w:p>
    <w:p w:rsidR="0055283A" w:rsidRDefault="0055283A" w:rsidP="0055283A">
      <w:pPr>
        <w:rPr>
          <w:rFonts w:cs="Arial"/>
          <w:bCs w:val="0"/>
        </w:rPr>
      </w:pPr>
      <w:r>
        <w:rPr>
          <w:rFonts w:cs="Arial"/>
        </w:rPr>
        <w:t xml:space="preserve">Following the publication of the NICE guidance in 2016 on </w:t>
      </w:r>
      <w:r w:rsidRPr="00852081">
        <w:rPr>
          <w:rFonts w:cs="Arial"/>
          <w:i/>
        </w:rPr>
        <w:t>Sepsis: recognition, diagnosis and early management</w:t>
      </w:r>
      <w:r>
        <w:rPr>
          <w:rFonts w:cs="Arial"/>
        </w:rPr>
        <w:t xml:space="preserve"> [NG51] providers should ensure their protocols follow this guidance</w:t>
      </w:r>
    </w:p>
    <w:p w:rsidR="0055283A" w:rsidRDefault="0055283A" w:rsidP="0055283A">
      <w:pPr>
        <w:rPr>
          <w:rFonts w:cs="Arial"/>
          <w:bCs w:val="0"/>
        </w:rPr>
      </w:pPr>
    </w:p>
    <w:p w:rsidR="0055283A" w:rsidRDefault="0023312F" w:rsidP="0055283A">
      <w:pPr>
        <w:rPr>
          <w:rFonts w:cs="Arial"/>
          <w:bCs w:val="0"/>
        </w:rPr>
      </w:pPr>
      <w:hyperlink r:id="rId15" w:history="1">
        <w:r w:rsidR="0055283A" w:rsidRPr="00115056">
          <w:rPr>
            <w:rStyle w:val="Hyperlink"/>
            <w:rFonts w:cs="Arial"/>
          </w:rPr>
          <w:t>https://www.nice.org.uk/guidance/ng51</w:t>
        </w:r>
      </w:hyperlink>
    </w:p>
    <w:p w:rsidR="0055283A" w:rsidRDefault="0055283A" w:rsidP="0055283A">
      <w:pPr>
        <w:rPr>
          <w:rFonts w:cs="Arial"/>
          <w:bCs w:val="0"/>
        </w:rPr>
      </w:pPr>
    </w:p>
    <w:p w:rsidR="0055283A" w:rsidRPr="00B47AC3" w:rsidRDefault="0055283A" w:rsidP="0055283A">
      <w:pPr>
        <w:rPr>
          <w:rFonts w:cs="Arial"/>
          <w:bCs w:val="0"/>
        </w:rPr>
      </w:pPr>
      <w:r>
        <w:rPr>
          <w:rFonts w:cs="Arial"/>
        </w:rPr>
        <w:t>P</w:t>
      </w:r>
      <w:r w:rsidRPr="00B47AC3">
        <w:rPr>
          <w:rFonts w:cs="Arial"/>
        </w:rPr>
        <w:t xml:space="preserve">roviders should be mindful of the tools to support screening and management of Sepsis </w:t>
      </w:r>
      <w:r w:rsidRPr="00E35CF9">
        <w:rPr>
          <w:rFonts w:cs="Arial"/>
          <w:color w:val="0070C0"/>
        </w:rPr>
        <w:t xml:space="preserve">at </w:t>
      </w:r>
      <w:hyperlink r:id="rId16" w:history="1">
        <w:r w:rsidRPr="00E35CF9">
          <w:rPr>
            <w:rFonts w:cs="Arial"/>
            <w:color w:val="0070C0"/>
            <w:u w:val="single"/>
          </w:rPr>
          <w:t>http://sepsistrust.org/clinical-toolkit</w:t>
        </w:r>
      </w:hyperlink>
      <w:r w:rsidRPr="00E35CF9">
        <w:rPr>
          <w:rFonts w:cs="Arial"/>
          <w:color w:val="0070C0"/>
        </w:rPr>
        <w:t xml:space="preserve">. </w:t>
      </w:r>
    </w:p>
    <w:p w:rsidR="0055283A" w:rsidRPr="00B47AC3" w:rsidRDefault="0055283A" w:rsidP="0055283A">
      <w:pPr>
        <w:rPr>
          <w:rFonts w:cs="Arial"/>
          <w:bCs w:val="0"/>
        </w:rPr>
      </w:pPr>
    </w:p>
    <w:p w:rsidR="0055283A" w:rsidRPr="00C56BCA" w:rsidRDefault="00C56BCA" w:rsidP="00C56BCA">
      <w:pPr>
        <w:rPr>
          <w:b/>
          <w:iCs/>
        </w:rPr>
      </w:pPr>
      <w:bookmarkStart w:id="29" w:name="_Toc441485355"/>
      <w:bookmarkStart w:id="30" w:name="_Toc443035742"/>
      <w:bookmarkStart w:id="31" w:name="_Toc443663873"/>
      <w:bookmarkStart w:id="32" w:name="_Toc444087397"/>
      <w:bookmarkStart w:id="33" w:name="_Toc444089001"/>
      <w:bookmarkStart w:id="34" w:name="_Toc445216773"/>
      <w:r w:rsidRPr="00C56BCA">
        <w:rPr>
          <w:b/>
        </w:rPr>
        <w:t>Appropriate tools for sepsis s</w:t>
      </w:r>
      <w:r w:rsidR="0055283A" w:rsidRPr="00C56BCA">
        <w:rPr>
          <w:b/>
          <w:iCs/>
        </w:rPr>
        <w:t>creening</w:t>
      </w:r>
      <w:bookmarkEnd w:id="29"/>
      <w:bookmarkEnd w:id="30"/>
      <w:bookmarkEnd w:id="31"/>
      <w:bookmarkEnd w:id="32"/>
      <w:bookmarkEnd w:id="33"/>
      <w:bookmarkEnd w:id="34"/>
    </w:p>
    <w:p w:rsidR="00C56BCA" w:rsidRDefault="00C56BCA" w:rsidP="0055283A">
      <w:pPr>
        <w:rPr>
          <w:rFonts w:cs="Arial"/>
          <w:color w:val="000000"/>
        </w:rPr>
      </w:pPr>
    </w:p>
    <w:p w:rsidR="0055283A" w:rsidRPr="00B47AC3" w:rsidRDefault="0055283A" w:rsidP="0055283A">
      <w:pPr>
        <w:rPr>
          <w:rFonts w:cs="Arial"/>
          <w:bCs w:val="0"/>
        </w:rPr>
      </w:pPr>
      <w:r w:rsidRPr="00B47AC3">
        <w:rPr>
          <w:rFonts w:cs="Arial"/>
          <w:color w:val="000000"/>
        </w:rPr>
        <w:t xml:space="preserve">Tools used should be either </w:t>
      </w:r>
      <w:proofErr w:type="gramStart"/>
      <w:r w:rsidRPr="00B47AC3">
        <w:rPr>
          <w:rFonts w:cs="Arial"/>
          <w:color w:val="000000"/>
        </w:rPr>
        <w:t>those</w:t>
      </w:r>
      <w:proofErr w:type="gramEnd"/>
      <w:r w:rsidRPr="00B47AC3">
        <w:rPr>
          <w:rFonts w:cs="Arial"/>
          <w:color w:val="000000"/>
        </w:rPr>
        <w:t xml:space="preserve"> produced in conjunction with relevant professional bodies at: </w:t>
      </w:r>
      <w:hyperlink r:id="rId17" w:history="1">
        <w:r w:rsidRPr="00E35CF9">
          <w:rPr>
            <w:rFonts w:cs="Arial"/>
            <w:color w:val="0070C0"/>
            <w:u w:val="single"/>
          </w:rPr>
          <w:t>http://sepsistrust.org/clinical-toolkit</w:t>
        </w:r>
      </w:hyperlink>
      <w:r w:rsidRPr="00E35CF9">
        <w:rPr>
          <w:rFonts w:cs="Arial"/>
          <w:color w:val="0070C0"/>
        </w:rPr>
        <w:t xml:space="preserve"> </w:t>
      </w:r>
      <w:r w:rsidRPr="00B47AC3">
        <w:rPr>
          <w:rFonts w:cs="Arial"/>
          <w:color w:val="000000"/>
        </w:rPr>
        <w:t xml:space="preserve">or equivalents that conform to the International Consensus Definitions modified by the Surviving Sepsis Campaign on recognition and diagnosis of sepsis available </w:t>
      </w:r>
      <w:r w:rsidRPr="00E35CF9">
        <w:rPr>
          <w:rFonts w:cs="Arial"/>
          <w:color w:val="0070C0"/>
        </w:rPr>
        <w:t xml:space="preserve">at </w:t>
      </w:r>
      <w:hyperlink r:id="rId18" w:history="1">
        <w:r w:rsidRPr="00E35CF9">
          <w:rPr>
            <w:rFonts w:cs="Arial"/>
            <w:color w:val="0070C0"/>
            <w:u w:val="single"/>
          </w:rPr>
          <w:t>http://ccforum.com/content/supplementary/cc11895-s2.pdf</w:t>
        </w:r>
      </w:hyperlink>
      <w:r w:rsidRPr="00B47AC3">
        <w:rPr>
          <w:rFonts w:cs="Arial"/>
        </w:rPr>
        <w:t xml:space="preserve">. </w:t>
      </w:r>
    </w:p>
    <w:p w:rsidR="0055283A" w:rsidRPr="00B47AC3" w:rsidRDefault="0055283A" w:rsidP="0055283A">
      <w:pPr>
        <w:rPr>
          <w:rFonts w:cs="Arial"/>
          <w:bCs w:val="0"/>
        </w:rPr>
      </w:pPr>
    </w:p>
    <w:p w:rsidR="0055283A" w:rsidRPr="00B47AC3" w:rsidRDefault="0055283A" w:rsidP="0055283A">
      <w:pPr>
        <w:rPr>
          <w:rFonts w:cs="Arial"/>
          <w:bCs w:val="0"/>
        </w:rPr>
      </w:pPr>
      <w:r w:rsidRPr="00B47AC3">
        <w:rPr>
          <w:rFonts w:cs="Arial"/>
        </w:rPr>
        <w:t xml:space="preserve">There are other examples of tools for suitable use in inpatient services at: </w:t>
      </w:r>
      <w:hyperlink r:id="rId19" w:history="1">
        <w:r w:rsidRPr="00E35CF9">
          <w:rPr>
            <w:rFonts w:cs="Arial"/>
            <w:color w:val="0070C0"/>
            <w:u w:val="single"/>
          </w:rPr>
          <w:t>http://sepsistrust.org/professional/professional-resources/</w:t>
        </w:r>
      </w:hyperlink>
    </w:p>
    <w:p w:rsidR="0055283A" w:rsidRPr="00B47AC3" w:rsidRDefault="0055283A" w:rsidP="0055283A">
      <w:pPr>
        <w:rPr>
          <w:rFonts w:cs="Arial"/>
          <w:bCs w:val="0"/>
        </w:rPr>
      </w:pPr>
    </w:p>
    <w:p w:rsidR="002F00EF" w:rsidRDefault="002F00EF">
      <w:pPr>
        <w:rPr>
          <w:b/>
        </w:rPr>
      </w:pPr>
      <w:bookmarkStart w:id="35" w:name="_Toc441485356"/>
      <w:bookmarkStart w:id="36" w:name="_Toc443035743"/>
      <w:bookmarkStart w:id="37" w:name="_Toc443663874"/>
      <w:bookmarkStart w:id="38" w:name="_Toc444087398"/>
      <w:bookmarkStart w:id="39" w:name="_Toc444089002"/>
      <w:bookmarkStart w:id="40" w:name="_Toc445216774"/>
      <w:r>
        <w:rPr>
          <w:b/>
        </w:rPr>
        <w:br w:type="page"/>
      </w:r>
    </w:p>
    <w:p w:rsidR="0055283A" w:rsidRPr="00C56BCA" w:rsidRDefault="00C56BCA" w:rsidP="00C56BCA">
      <w:pPr>
        <w:rPr>
          <w:b/>
          <w:iCs/>
        </w:rPr>
      </w:pPr>
      <w:r w:rsidRPr="00C56BCA">
        <w:rPr>
          <w:b/>
        </w:rPr>
        <w:lastRenderedPageBreak/>
        <w:t>Method for identifying random s</w:t>
      </w:r>
      <w:r w:rsidR="0055283A" w:rsidRPr="00C56BCA">
        <w:rPr>
          <w:b/>
          <w:iCs/>
        </w:rPr>
        <w:t>amples</w:t>
      </w:r>
      <w:bookmarkEnd w:id="35"/>
      <w:bookmarkEnd w:id="36"/>
      <w:bookmarkEnd w:id="37"/>
      <w:bookmarkEnd w:id="38"/>
      <w:bookmarkEnd w:id="39"/>
      <w:bookmarkEnd w:id="40"/>
    </w:p>
    <w:p w:rsidR="00C56BCA" w:rsidRDefault="00C56BCA" w:rsidP="0055283A">
      <w:pPr>
        <w:rPr>
          <w:rFonts w:cs="Arial"/>
        </w:rPr>
      </w:pPr>
    </w:p>
    <w:p w:rsidR="0055283A" w:rsidRPr="00B47AC3" w:rsidRDefault="0055283A" w:rsidP="0055283A">
      <w:pPr>
        <w:rPr>
          <w:rFonts w:cs="Arial"/>
          <w:bCs w:val="0"/>
        </w:rPr>
      </w:pPr>
      <w:r w:rsidRPr="00B47AC3">
        <w:rPr>
          <w:rFonts w:cs="Arial"/>
        </w:rPr>
        <w:t>Trusts should select ONE of the following methods and maintain this metho</w:t>
      </w:r>
      <w:r>
        <w:rPr>
          <w:rFonts w:cs="Arial"/>
        </w:rPr>
        <w:t>d throughout the 201</w:t>
      </w:r>
      <w:r w:rsidRPr="00B47AC3">
        <w:rPr>
          <w:rFonts w:cs="Arial"/>
        </w:rPr>
        <w:t>7</w:t>
      </w:r>
      <w:r>
        <w:rPr>
          <w:rFonts w:cs="Arial"/>
        </w:rPr>
        <w:t>/18</w:t>
      </w:r>
      <w:r w:rsidRPr="00B47AC3">
        <w:rPr>
          <w:rFonts w:cs="Arial"/>
        </w:rPr>
        <w:t xml:space="preserve"> year of data collection: </w:t>
      </w:r>
    </w:p>
    <w:p w:rsidR="0055283A" w:rsidRPr="00B47AC3" w:rsidRDefault="0055283A" w:rsidP="0055283A">
      <w:pPr>
        <w:rPr>
          <w:rFonts w:cs="Arial"/>
          <w:bCs w:val="0"/>
        </w:rPr>
      </w:pPr>
    </w:p>
    <w:p w:rsidR="0055283A" w:rsidRPr="00C56BCA" w:rsidRDefault="0055283A" w:rsidP="00DF18AB">
      <w:pPr>
        <w:pStyle w:val="ListParagraph"/>
        <w:numPr>
          <w:ilvl w:val="0"/>
          <w:numId w:val="79"/>
        </w:numPr>
        <w:rPr>
          <w:rFonts w:cs="Arial"/>
          <w:bCs w:val="0"/>
          <w:color w:val="000000"/>
        </w:rPr>
      </w:pPr>
      <w:r w:rsidRPr="00C56BCA">
        <w:rPr>
          <w:rFonts w:cs="Arial"/>
          <w:color w:val="000000"/>
        </w:rPr>
        <w:t>True randomisation: review the n</w:t>
      </w:r>
      <w:r w:rsidRPr="00C56BCA">
        <w:rPr>
          <w:rFonts w:cs="Arial"/>
          <w:color w:val="000000"/>
          <w:vertAlign w:val="superscript"/>
        </w:rPr>
        <w:t>th</w:t>
      </w:r>
      <w:r w:rsidRPr="00C56BCA">
        <w:rPr>
          <w:rFonts w:cs="Arial"/>
          <w:color w:val="000000"/>
        </w:rPr>
        <w:t xml:space="preserve"> patient’s notes where n is generated by a random number generator or table (e.g. </w:t>
      </w:r>
      <w:hyperlink r:id="rId20" w:history="1">
        <w:r w:rsidRPr="00C56BCA">
          <w:rPr>
            <w:rFonts w:cs="Arial"/>
            <w:color w:val="0070C0"/>
            <w:u w:val="single"/>
          </w:rPr>
          <w:t>http://www.random.org/</w:t>
        </w:r>
      </w:hyperlink>
      <w:r w:rsidRPr="00C56BCA">
        <w:rPr>
          <w:rFonts w:cs="Arial"/>
          <w:color w:val="000000"/>
        </w:rPr>
        <w:t xml:space="preserve">) and this is repeated until a full sample of notes has been reviewed. These are easy to use and readily available online – e.g. </w:t>
      </w:r>
      <w:hyperlink r:id="rId21" w:history="1">
        <w:r w:rsidRPr="00C56BCA">
          <w:rPr>
            <w:rFonts w:cs="Arial"/>
            <w:color w:val="0070C0"/>
            <w:u w:val="single"/>
          </w:rPr>
          <w:t>http://www.random.org/</w:t>
        </w:r>
      </w:hyperlink>
      <w:r w:rsidRPr="00C56BCA">
        <w:rPr>
          <w:rFonts w:cs="Arial"/>
          <w:color w:val="0070C0"/>
          <w:u w:val="single"/>
        </w:rPr>
        <w:t>.</w:t>
      </w:r>
    </w:p>
    <w:p w:rsidR="0055283A" w:rsidRPr="00B47AC3" w:rsidRDefault="0055283A" w:rsidP="00C56BCA">
      <w:pPr>
        <w:ind w:left="720"/>
        <w:rPr>
          <w:rFonts w:cs="Arial"/>
          <w:bCs w:val="0"/>
          <w:color w:val="000000"/>
        </w:rPr>
      </w:pPr>
    </w:p>
    <w:p w:rsidR="0055283A" w:rsidRPr="00C56BCA" w:rsidRDefault="0055283A" w:rsidP="00DF18AB">
      <w:pPr>
        <w:pStyle w:val="ListParagraph"/>
        <w:numPr>
          <w:ilvl w:val="0"/>
          <w:numId w:val="79"/>
        </w:numPr>
        <w:rPr>
          <w:rFonts w:cs="Arial"/>
          <w:bCs w:val="0"/>
        </w:rPr>
      </w:pPr>
      <w:r w:rsidRPr="00C56BCA">
        <w:rPr>
          <w:rFonts w:cs="Arial"/>
          <w:color w:val="000000"/>
        </w:rPr>
        <w:t>Pseudo-randomisation: Review the first X patients’ notes where the day within the date of birth is based on some sequence e.g. start with patients born on the 1</w:t>
      </w:r>
      <w:r w:rsidRPr="00C56BCA">
        <w:rPr>
          <w:rFonts w:cs="Arial"/>
          <w:color w:val="000000"/>
          <w:vertAlign w:val="superscript"/>
        </w:rPr>
        <w:t>st</w:t>
      </w:r>
      <w:r w:rsidRPr="00C56BCA">
        <w:rPr>
          <w:rFonts w:cs="Arial"/>
          <w:color w:val="000000"/>
        </w:rPr>
        <w:t xml:space="preserve"> of the month, move to 2</w:t>
      </w:r>
      <w:r w:rsidRPr="00C56BCA">
        <w:rPr>
          <w:rFonts w:cs="Arial"/>
          <w:color w:val="000000"/>
          <w:vertAlign w:val="superscript"/>
        </w:rPr>
        <w:t>nd</w:t>
      </w:r>
      <w:r w:rsidRPr="00C56BCA">
        <w:rPr>
          <w:rFonts w:cs="Arial"/>
          <w:color w:val="000000"/>
        </w:rPr>
        <w:t>, then 3</w:t>
      </w:r>
      <w:r w:rsidRPr="00C56BCA">
        <w:rPr>
          <w:rFonts w:cs="Arial"/>
          <w:color w:val="000000"/>
          <w:vertAlign w:val="superscript"/>
        </w:rPr>
        <w:t>rd</w:t>
      </w:r>
      <w:r w:rsidRPr="00C56BCA">
        <w:rPr>
          <w:rFonts w:cs="Arial"/>
          <w:color w:val="000000"/>
        </w:rPr>
        <w:t xml:space="preserve">, until X patients have been reviewed. X equals the sample size required. Note this must NOT be based on full birthdate as this would skew the sample to particular age groups. </w:t>
      </w:r>
    </w:p>
    <w:p w:rsidR="00662B4D" w:rsidRDefault="00662B4D" w:rsidP="00702E87">
      <w:pPr>
        <w:rPr>
          <w:lang w:eastAsia="en-GB"/>
        </w:rPr>
      </w:pPr>
    </w:p>
    <w:p w:rsidR="00702E87" w:rsidRDefault="00662B4D" w:rsidP="00702E87">
      <w:pPr>
        <w:rPr>
          <w:lang w:eastAsia="en-GB"/>
        </w:rPr>
      </w:pPr>
      <w:r>
        <w:rPr>
          <w:lang w:eastAsia="en-GB"/>
        </w:rPr>
        <w:t>This should be repeated in 2018/19.</w:t>
      </w:r>
    </w:p>
    <w:p w:rsidR="00662B4D" w:rsidRDefault="00662B4D" w:rsidP="00702E87">
      <w:pPr>
        <w:rPr>
          <w:lang w:eastAsia="en-GB"/>
        </w:rPr>
      </w:pPr>
    </w:p>
    <w:p w:rsidR="00702E87" w:rsidRDefault="00702E87" w:rsidP="00702E87">
      <w:pPr>
        <w:pStyle w:val="Heading4"/>
        <w:rPr>
          <w:lang w:eastAsia="en-GB"/>
        </w:rPr>
      </w:pPr>
      <w:bookmarkStart w:id="41" w:name="_Toc462224331"/>
      <w:bookmarkStart w:id="42" w:name="_Toc462303923"/>
      <w:r w:rsidRPr="00B942E6">
        <w:t>Suggested Format for Local Data Collection</w:t>
      </w:r>
      <w:bookmarkEnd w:id="41"/>
      <w:bookmarkEnd w:id="42"/>
    </w:p>
    <w:p w:rsidR="00702E87" w:rsidRDefault="00702E87" w:rsidP="00702E87">
      <w:pPr>
        <w:rPr>
          <w:lang w:eastAsia="en-GB"/>
        </w:rPr>
      </w:pPr>
    </w:p>
    <w:p w:rsidR="0055283A" w:rsidRDefault="0055283A" w:rsidP="00C56BCA">
      <w:pPr>
        <w:rPr>
          <w:b/>
        </w:rPr>
      </w:pPr>
      <w:bookmarkStart w:id="43" w:name="_Toc441485358"/>
      <w:bookmarkStart w:id="44" w:name="_Toc443035745"/>
      <w:bookmarkStart w:id="45" w:name="_Toc443663876"/>
      <w:bookmarkStart w:id="46" w:name="_Toc444087400"/>
      <w:bookmarkStart w:id="47" w:name="_Toc444089004"/>
      <w:bookmarkStart w:id="48" w:name="_Toc445216776"/>
      <w:r w:rsidRPr="00C56BCA">
        <w:rPr>
          <w:b/>
        </w:rPr>
        <w:t>Sepsis Screening in Emergency Departments</w:t>
      </w:r>
      <w:bookmarkEnd w:id="43"/>
      <w:bookmarkEnd w:id="44"/>
      <w:bookmarkEnd w:id="45"/>
      <w:bookmarkEnd w:id="46"/>
      <w:bookmarkEnd w:id="47"/>
      <w:bookmarkEnd w:id="48"/>
      <w:r w:rsidRPr="00C56BCA">
        <w:rPr>
          <w:b/>
        </w:rPr>
        <w:t xml:space="preserve"> </w:t>
      </w:r>
    </w:p>
    <w:p w:rsidR="00C56BCA" w:rsidRPr="00C56BCA" w:rsidRDefault="00C56BCA" w:rsidP="00C56BCA">
      <w:pPr>
        <w:rPr>
          <w:rFonts w:cs="Arial"/>
          <w:b/>
        </w:rPr>
      </w:pPr>
    </w:p>
    <w:p w:rsidR="0055283A" w:rsidRDefault="0055283A" w:rsidP="0055283A">
      <w:pPr>
        <w:rPr>
          <w:rFonts w:cs="Arial"/>
        </w:rPr>
      </w:pPr>
      <w:proofErr w:type="gramStart"/>
      <w:r w:rsidRPr="00B47AC3">
        <w:rPr>
          <w:rFonts w:cs="Arial"/>
          <w:b/>
        </w:rPr>
        <w:t>N.B.</w:t>
      </w:r>
      <w:proofErr w:type="gramEnd"/>
      <w:r w:rsidRPr="00B47AC3">
        <w:rPr>
          <w:rFonts w:cs="Arial"/>
        </w:rPr>
        <w:t xml:space="preserve"> These could be separately collated for adults and for children and then stated as a final total (although also setting out the adult and child totals) </w:t>
      </w:r>
    </w:p>
    <w:p w:rsidR="0055283A" w:rsidRDefault="0055283A" w:rsidP="0055283A">
      <w:pPr>
        <w:rPr>
          <w:rFonts w:cs="Arial"/>
        </w:rPr>
      </w:pPr>
    </w:p>
    <w:tbl>
      <w:tblPr>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449"/>
        <w:gridCol w:w="2617"/>
        <w:gridCol w:w="2770"/>
      </w:tblGrid>
      <w:tr w:rsidR="0055283A" w:rsidRPr="00B47AC3" w:rsidTr="00C56BCA">
        <w:trPr>
          <w:trHeight w:val="960"/>
        </w:trPr>
        <w:tc>
          <w:tcPr>
            <w:tcW w:w="967" w:type="dxa"/>
            <w:shd w:val="clear" w:color="auto" w:fill="0070C0"/>
          </w:tcPr>
          <w:p w:rsidR="0055283A" w:rsidRPr="00B47AC3" w:rsidRDefault="0055283A" w:rsidP="00040AE2">
            <w:pPr>
              <w:rPr>
                <w:rFonts w:cs="Arial"/>
                <w:bCs w:val="0"/>
                <w:color w:val="FFFFFF"/>
              </w:rPr>
            </w:pPr>
          </w:p>
        </w:tc>
        <w:tc>
          <w:tcPr>
            <w:tcW w:w="2456" w:type="dxa"/>
            <w:shd w:val="clear" w:color="auto" w:fill="0070C0"/>
          </w:tcPr>
          <w:p w:rsidR="0055283A" w:rsidRPr="00B47AC3" w:rsidRDefault="0055283A" w:rsidP="00040AE2">
            <w:pPr>
              <w:rPr>
                <w:rFonts w:cs="Arial"/>
                <w:b/>
                <w:bCs w:val="0"/>
                <w:color w:val="FFFFFF"/>
              </w:rPr>
            </w:pPr>
            <w:r w:rsidRPr="00B47AC3">
              <w:rPr>
                <w:rFonts w:cs="Arial"/>
                <w:b/>
                <w:color w:val="FFFFFF"/>
              </w:rPr>
              <w:t xml:space="preserve">Tick column below if the patient DID NOT NEED sepsis screening according to the local protocol </w:t>
            </w:r>
          </w:p>
        </w:tc>
        <w:tc>
          <w:tcPr>
            <w:tcW w:w="2624" w:type="dxa"/>
            <w:shd w:val="clear" w:color="auto" w:fill="0070C0"/>
          </w:tcPr>
          <w:p w:rsidR="0055283A" w:rsidRPr="00B47AC3" w:rsidRDefault="0055283A" w:rsidP="00040AE2">
            <w:pPr>
              <w:rPr>
                <w:rFonts w:cs="Arial"/>
                <w:b/>
                <w:bCs w:val="0"/>
                <w:color w:val="FFFFFF"/>
              </w:rPr>
            </w:pPr>
            <w:r w:rsidRPr="00B47AC3">
              <w:rPr>
                <w:rFonts w:cs="Arial"/>
                <w:b/>
                <w:color w:val="FFFFFF"/>
              </w:rPr>
              <w:t xml:space="preserve">Tick column below if the patient NEEDED sepsis screening according to the local protocol and RECEIVED sepsis screening </w:t>
            </w:r>
          </w:p>
        </w:tc>
        <w:tc>
          <w:tcPr>
            <w:tcW w:w="2779" w:type="dxa"/>
            <w:shd w:val="clear" w:color="auto" w:fill="0070C0"/>
          </w:tcPr>
          <w:p w:rsidR="0055283A" w:rsidRPr="00B47AC3" w:rsidRDefault="0055283A" w:rsidP="00040AE2">
            <w:pPr>
              <w:rPr>
                <w:rFonts w:cs="Arial"/>
                <w:b/>
                <w:bCs w:val="0"/>
                <w:color w:val="FFFFFF"/>
              </w:rPr>
            </w:pPr>
            <w:r w:rsidRPr="00B47AC3">
              <w:rPr>
                <w:rFonts w:cs="Arial"/>
                <w:b/>
                <w:color w:val="FFFFFF"/>
              </w:rPr>
              <w:t>Tick column below if the patient NEEDED sepsis screening according to the local protocol but DID NOT receive sepsis screening</w:t>
            </w:r>
          </w:p>
        </w:tc>
      </w:tr>
      <w:tr w:rsidR="0055283A" w:rsidRPr="00B47AC3" w:rsidTr="00C56BCA">
        <w:trPr>
          <w:trHeight w:val="236"/>
        </w:trPr>
        <w:tc>
          <w:tcPr>
            <w:tcW w:w="967" w:type="dxa"/>
            <w:shd w:val="clear" w:color="auto" w:fill="auto"/>
          </w:tcPr>
          <w:p w:rsidR="0055283A" w:rsidRPr="00B47AC3" w:rsidRDefault="0055283A" w:rsidP="00040AE2">
            <w:pPr>
              <w:ind w:left="360"/>
              <w:rPr>
                <w:rFonts w:cs="Arial"/>
                <w:bCs w:val="0"/>
              </w:rPr>
            </w:pPr>
            <w:r w:rsidRPr="00B47AC3">
              <w:rPr>
                <w:rFonts w:cs="Arial"/>
              </w:rPr>
              <w:t>1.</w:t>
            </w:r>
          </w:p>
        </w:tc>
        <w:tc>
          <w:tcPr>
            <w:tcW w:w="2456" w:type="dxa"/>
            <w:shd w:val="clear" w:color="auto" w:fill="auto"/>
          </w:tcPr>
          <w:p w:rsidR="0055283A" w:rsidRPr="00B47AC3" w:rsidRDefault="0055283A" w:rsidP="00040AE2">
            <w:pPr>
              <w:rPr>
                <w:rFonts w:cs="Arial"/>
                <w:bCs w:val="0"/>
              </w:rPr>
            </w:pPr>
          </w:p>
        </w:tc>
        <w:tc>
          <w:tcPr>
            <w:tcW w:w="2624" w:type="dxa"/>
            <w:shd w:val="clear" w:color="auto" w:fill="auto"/>
          </w:tcPr>
          <w:p w:rsidR="0055283A" w:rsidRPr="00B47AC3" w:rsidRDefault="0055283A" w:rsidP="00040AE2">
            <w:pPr>
              <w:rPr>
                <w:rFonts w:cs="Arial"/>
                <w:bCs w:val="0"/>
              </w:rPr>
            </w:pPr>
          </w:p>
        </w:tc>
        <w:tc>
          <w:tcPr>
            <w:tcW w:w="2779" w:type="dxa"/>
            <w:shd w:val="clear" w:color="auto" w:fill="auto"/>
          </w:tcPr>
          <w:p w:rsidR="0055283A" w:rsidRPr="00B47AC3" w:rsidRDefault="0055283A" w:rsidP="00040AE2">
            <w:pPr>
              <w:rPr>
                <w:rFonts w:cs="Arial"/>
                <w:bCs w:val="0"/>
              </w:rPr>
            </w:pPr>
          </w:p>
        </w:tc>
      </w:tr>
      <w:tr w:rsidR="0055283A" w:rsidRPr="00B47AC3" w:rsidTr="00C56BCA">
        <w:trPr>
          <w:trHeight w:val="236"/>
        </w:trPr>
        <w:tc>
          <w:tcPr>
            <w:tcW w:w="967" w:type="dxa"/>
            <w:shd w:val="clear" w:color="auto" w:fill="auto"/>
          </w:tcPr>
          <w:p w:rsidR="0055283A" w:rsidRPr="00B47AC3" w:rsidRDefault="0055283A" w:rsidP="00040AE2">
            <w:pPr>
              <w:ind w:left="360"/>
              <w:rPr>
                <w:rFonts w:cs="Arial"/>
                <w:bCs w:val="0"/>
              </w:rPr>
            </w:pPr>
            <w:r w:rsidRPr="00B47AC3">
              <w:rPr>
                <w:rFonts w:cs="Arial"/>
              </w:rPr>
              <w:t>2.</w:t>
            </w:r>
          </w:p>
        </w:tc>
        <w:tc>
          <w:tcPr>
            <w:tcW w:w="2456" w:type="dxa"/>
            <w:shd w:val="clear" w:color="auto" w:fill="auto"/>
          </w:tcPr>
          <w:p w:rsidR="0055283A" w:rsidRPr="00B47AC3" w:rsidRDefault="0055283A" w:rsidP="00040AE2">
            <w:pPr>
              <w:rPr>
                <w:rFonts w:cs="Arial"/>
                <w:bCs w:val="0"/>
              </w:rPr>
            </w:pPr>
          </w:p>
        </w:tc>
        <w:tc>
          <w:tcPr>
            <w:tcW w:w="2624" w:type="dxa"/>
            <w:shd w:val="clear" w:color="auto" w:fill="auto"/>
          </w:tcPr>
          <w:p w:rsidR="0055283A" w:rsidRPr="00B47AC3" w:rsidRDefault="0055283A" w:rsidP="00040AE2">
            <w:pPr>
              <w:rPr>
                <w:rFonts w:cs="Arial"/>
                <w:bCs w:val="0"/>
              </w:rPr>
            </w:pPr>
          </w:p>
        </w:tc>
        <w:tc>
          <w:tcPr>
            <w:tcW w:w="2779" w:type="dxa"/>
            <w:shd w:val="clear" w:color="auto" w:fill="auto"/>
          </w:tcPr>
          <w:p w:rsidR="0055283A" w:rsidRPr="00B47AC3" w:rsidRDefault="0055283A" w:rsidP="00040AE2">
            <w:pPr>
              <w:rPr>
                <w:rFonts w:cs="Arial"/>
                <w:bCs w:val="0"/>
              </w:rPr>
            </w:pPr>
          </w:p>
        </w:tc>
      </w:tr>
      <w:tr w:rsidR="0055283A" w:rsidRPr="00B47AC3" w:rsidTr="00C56BCA">
        <w:trPr>
          <w:trHeight w:val="236"/>
        </w:trPr>
        <w:tc>
          <w:tcPr>
            <w:tcW w:w="967" w:type="dxa"/>
            <w:shd w:val="clear" w:color="auto" w:fill="auto"/>
          </w:tcPr>
          <w:p w:rsidR="0055283A" w:rsidRPr="00B47AC3" w:rsidRDefault="0055283A" w:rsidP="00040AE2">
            <w:pPr>
              <w:ind w:left="360"/>
              <w:rPr>
                <w:rFonts w:cs="Arial"/>
                <w:bCs w:val="0"/>
              </w:rPr>
            </w:pPr>
            <w:r w:rsidRPr="00B47AC3">
              <w:rPr>
                <w:rFonts w:cs="Arial"/>
              </w:rPr>
              <w:t>3.</w:t>
            </w:r>
          </w:p>
        </w:tc>
        <w:tc>
          <w:tcPr>
            <w:tcW w:w="2456" w:type="dxa"/>
            <w:shd w:val="clear" w:color="auto" w:fill="auto"/>
          </w:tcPr>
          <w:p w:rsidR="0055283A" w:rsidRPr="00B47AC3" w:rsidRDefault="0055283A" w:rsidP="00040AE2">
            <w:pPr>
              <w:rPr>
                <w:rFonts w:cs="Arial"/>
                <w:bCs w:val="0"/>
              </w:rPr>
            </w:pPr>
          </w:p>
        </w:tc>
        <w:tc>
          <w:tcPr>
            <w:tcW w:w="2624" w:type="dxa"/>
            <w:shd w:val="clear" w:color="auto" w:fill="auto"/>
          </w:tcPr>
          <w:p w:rsidR="0055283A" w:rsidRPr="00B47AC3" w:rsidRDefault="0055283A" w:rsidP="00040AE2">
            <w:pPr>
              <w:rPr>
                <w:rFonts w:cs="Arial"/>
                <w:bCs w:val="0"/>
              </w:rPr>
            </w:pPr>
          </w:p>
        </w:tc>
        <w:tc>
          <w:tcPr>
            <w:tcW w:w="2779" w:type="dxa"/>
            <w:shd w:val="clear" w:color="auto" w:fill="auto"/>
          </w:tcPr>
          <w:p w:rsidR="0055283A" w:rsidRPr="00B47AC3" w:rsidRDefault="0055283A" w:rsidP="00040AE2">
            <w:pPr>
              <w:rPr>
                <w:rFonts w:cs="Arial"/>
                <w:bCs w:val="0"/>
              </w:rPr>
            </w:pPr>
          </w:p>
        </w:tc>
      </w:tr>
      <w:tr w:rsidR="0055283A" w:rsidRPr="00B47AC3" w:rsidTr="00C56BCA">
        <w:trPr>
          <w:trHeight w:val="236"/>
        </w:trPr>
        <w:tc>
          <w:tcPr>
            <w:tcW w:w="967" w:type="dxa"/>
            <w:shd w:val="clear" w:color="auto" w:fill="auto"/>
          </w:tcPr>
          <w:p w:rsidR="0055283A" w:rsidRPr="00B47AC3" w:rsidRDefault="0055283A" w:rsidP="00040AE2">
            <w:pPr>
              <w:ind w:left="360"/>
              <w:rPr>
                <w:rFonts w:cs="Arial"/>
                <w:bCs w:val="0"/>
              </w:rPr>
            </w:pPr>
            <w:r w:rsidRPr="00B47AC3">
              <w:rPr>
                <w:rFonts w:cs="Arial"/>
              </w:rPr>
              <w:t>4.</w:t>
            </w:r>
          </w:p>
        </w:tc>
        <w:tc>
          <w:tcPr>
            <w:tcW w:w="2456" w:type="dxa"/>
            <w:shd w:val="clear" w:color="auto" w:fill="auto"/>
          </w:tcPr>
          <w:p w:rsidR="0055283A" w:rsidRPr="00B47AC3" w:rsidRDefault="0055283A" w:rsidP="00040AE2">
            <w:pPr>
              <w:rPr>
                <w:rFonts w:cs="Arial"/>
                <w:bCs w:val="0"/>
              </w:rPr>
            </w:pPr>
          </w:p>
        </w:tc>
        <w:tc>
          <w:tcPr>
            <w:tcW w:w="2624" w:type="dxa"/>
            <w:shd w:val="clear" w:color="auto" w:fill="auto"/>
          </w:tcPr>
          <w:p w:rsidR="0055283A" w:rsidRPr="00B47AC3" w:rsidRDefault="0055283A" w:rsidP="00040AE2">
            <w:pPr>
              <w:rPr>
                <w:rFonts w:cs="Arial"/>
                <w:bCs w:val="0"/>
              </w:rPr>
            </w:pPr>
          </w:p>
        </w:tc>
        <w:tc>
          <w:tcPr>
            <w:tcW w:w="2779" w:type="dxa"/>
            <w:shd w:val="clear" w:color="auto" w:fill="auto"/>
          </w:tcPr>
          <w:p w:rsidR="0055283A" w:rsidRPr="00B47AC3" w:rsidRDefault="0055283A" w:rsidP="00040AE2">
            <w:pPr>
              <w:rPr>
                <w:rFonts w:cs="Arial"/>
                <w:bCs w:val="0"/>
              </w:rPr>
            </w:pPr>
          </w:p>
        </w:tc>
      </w:tr>
      <w:tr w:rsidR="0055283A" w:rsidRPr="00B47AC3" w:rsidTr="00C56BCA">
        <w:trPr>
          <w:trHeight w:val="236"/>
        </w:trPr>
        <w:tc>
          <w:tcPr>
            <w:tcW w:w="967" w:type="dxa"/>
            <w:shd w:val="clear" w:color="auto" w:fill="auto"/>
          </w:tcPr>
          <w:p w:rsidR="0055283A" w:rsidRPr="00B47AC3" w:rsidRDefault="0055283A" w:rsidP="00040AE2">
            <w:pPr>
              <w:ind w:left="360"/>
              <w:rPr>
                <w:rFonts w:cs="Arial"/>
                <w:bCs w:val="0"/>
              </w:rPr>
            </w:pPr>
            <w:r w:rsidRPr="00B47AC3">
              <w:rPr>
                <w:rFonts w:cs="Arial"/>
              </w:rPr>
              <w:t>5.</w:t>
            </w:r>
          </w:p>
        </w:tc>
        <w:tc>
          <w:tcPr>
            <w:tcW w:w="2456" w:type="dxa"/>
            <w:shd w:val="clear" w:color="auto" w:fill="auto"/>
          </w:tcPr>
          <w:p w:rsidR="0055283A" w:rsidRPr="00B47AC3" w:rsidRDefault="0055283A" w:rsidP="00040AE2">
            <w:pPr>
              <w:rPr>
                <w:rFonts w:cs="Arial"/>
                <w:bCs w:val="0"/>
              </w:rPr>
            </w:pPr>
          </w:p>
        </w:tc>
        <w:tc>
          <w:tcPr>
            <w:tcW w:w="2624" w:type="dxa"/>
            <w:shd w:val="clear" w:color="auto" w:fill="auto"/>
          </w:tcPr>
          <w:p w:rsidR="0055283A" w:rsidRPr="00B47AC3" w:rsidRDefault="0055283A" w:rsidP="00040AE2">
            <w:pPr>
              <w:rPr>
                <w:rFonts w:cs="Arial"/>
                <w:bCs w:val="0"/>
              </w:rPr>
            </w:pPr>
          </w:p>
        </w:tc>
        <w:tc>
          <w:tcPr>
            <w:tcW w:w="2779" w:type="dxa"/>
            <w:shd w:val="clear" w:color="auto" w:fill="auto"/>
          </w:tcPr>
          <w:p w:rsidR="0055283A" w:rsidRPr="00B47AC3" w:rsidRDefault="0055283A" w:rsidP="00040AE2">
            <w:pPr>
              <w:rPr>
                <w:rFonts w:cs="Arial"/>
                <w:bCs w:val="0"/>
              </w:rPr>
            </w:pPr>
          </w:p>
        </w:tc>
      </w:tr>
      <w:tr w:rsidR="0055283A" w:rsidRPr="00B47AC3" w:rsidTr="00C56BCA">
        <w:trPr>
          <w:trHeight w:val="249"/>
        </w:trPr>
        <w:tc>
          <w:tcPr>
            <w:tcW w:w="967" w:type="dxa"/>
            <w:shd w:val="clear" w:color="auto" w:fill="auto"/>
          </w:tcPr>
          <w:p w:rsidR="0055283A" w:rsidRPr="00B47AC3" w:rsidRDefault="0055283A" w:rsidP="00040AE2">
            <w:pPr>
              <w:ind w:left="360"/>
              <w:rPr>
                <w:rFonts w:cs="Arial"/>
                <w:bCs w:val="0"/>
              </w:rPr>
            </w:pPr>
            <w:r w:rsidRPr="00B47AC3">
              <w:rPr>
                <w:rFonts w:cs="Arial"/>
              </w:rPr>
              <w:t>Etc.</w:t>
            </w:r>
          </w:p>
        </w:tc>
        <w:tc>
          <w:tcPr>
            <w:tcW w:w="2456" w:type="dxa"/>
            <w:shd w:val="clear" w:color="auto" w:fill="auto"/>
          </w:tcPr>
          <w:p w:rsidR="0055283A" w:rsidRPr="00B47AC3" w:rsidRDefault="0055283A" w:rsidP="00040AE2">
            <w:pPr>
              <w:rPr>
                <w:rFonts w:cs="Arial"/>
                <w:bCs w:val="0"/>
              </w:rPr>
            </w:pPr>
          </w:p>
        </w:tc>
        <w:tc>
          <w:tcPr>
            <w:tcW w:w="2624" w:type="dxa"/>
            <w:shd w:val="clear" w:color="auto" w:fill="auto"/>
          </w:tcPr>
          <w:p w:rsidR="0055283A" w:rsidRPr="00B47AC3" w:rsidRDefault="0055283A" w:rsidP="00040AE2">
            <w:pPr>
              <w:rPr>
                <w:rFonts w:cs="Arial"/>
                <w:bCs w:val="0"/>
              </w:rPr>
            </w:pPr>
          </w:p>
        </w:tc>
        <w:tc>
          <w:tcPr>
            <w:tcW w:w="2779" w:type="dxa"/>
            <w:shd w:val="clear" w:color="auto" w:fill="auto"/>
          </w:tcPr>
          <w:p w:rsidR="0055283A" w:rsidRPr="00B47AC3" w:rsidRDefault="0055283A" w:rsidP="00040AE2">
            <w:pPr>
              <w:rPr>
                <w:rFonts w:cs="Arial"/>
                <w:bCs w:val="0"/>
              </w:rPr>
            </w:pPr>
          </w:p>
        </w:tc>
      </w:tr>
      <w:tr w:rsidR="0055283A" w:rsidRPr="00B47AC3" w:rsidTr="00C56BCA">
        <w:trPr>
          <w:trHeight w:val="236"/>
        </w:trPr>
        <w:tc>
          <w:tcPr>
            <w:tcW w:w="967" w:type="dxa"/>
            <w:shd w:val="clear" w:color="auto" w:fill="auto"/>
          </w:tcPr>
          <w:p w:rsidR="0055283A" w:rsidRPr="00B47AC3" w:rsidRDefault="0055283A" w:rsidP="00040AE2">
            <w:pPr>
              <w:rPr>
                <w:rFonts w:cs="Arial"/>
                <w:b/>
                <w:bCs w:val="0"/>
              </w:rPr>
            </w:pPr>
            <w:r w:rsidRPr="00B47AC3">
              <w:rPr>
                <w:rFonts w:cs="Arial"/>
                <w:b/>
              </w:rPr>
              <w:t>Totals</w:t>
            </w:r>
          </w:p>
        </w:tc>
        <w:tc>
          <w:tcPr>
            <w:tcW w:w="2456" w:type="dxa"/>
            <w:shd w:val="clear" w:color="auto" w:fill="E4E9EF"/>
          </w:tcPr>
          <w:p w:rsidR="0055283A" w:rsidRPr="00B47AC3" w:rsidRDefault="0055283A" w:rsidP="00040AE2">
            <w:pPr>
              <w:rPr>
                <w:rFonts w:cs="Arial"/>
                <w:b/>
                <w:bCs w:val="0"/>
              </w:rPr>
            </w:pPr>
            <w:r w:rsidRPr="00B47AC3">
              <w:rPr>
                <w:rFonts w:cs="Arial"/>
                <w:b/>
              </w:rPr>
              <w:t xml:space="preserve">Column A total </w:t>
            </w:r>
          </w:p>
        </w:tc>
        <w:tc>
          <w:tcPr>
            <w:tcW w:w="2624" w:type="dxa"/>
            <w:shd w:val="clear" w:color="auto" w:fill="E4E9EF"/>
          </w:tcPr>
          <w:p w:rsidR="0055283A" w:rsidRPr="00B47AC3" w:rsidRDefault="0055283A" w:rsidP="00040AE2">
            <w:pPr>
              <w:rPr>
                <w:rFonts w:cs="Arial"/>
                <w:b/>
                <w:bCs w:val="0"/>
              </w:rPr>
            </w:pPr>
            <w:r w:rsidRPr="00B47AC3">
              <w:rPr>
                <w:rFonts w:cs="Arial"/>
                <w:b/>
              </w:rPr>
              <w:t xml:space="preserve">Column B total  </w:t>
            </w:r>
          </w:p>
        </w:tc>
        <w:tc>
          <w:tcPr>
            <w:tcW w:w="2779" w:type="dxa"/>
            <w:shd w:val="clear" w:color="auto" w:fill="E4E9EF"/>
          </w:tcPr>
          <w:p w:rsidR="0055283A" w:rsidRPr="00B47AC3" w:rsidRDefault="0055283A" w:rsidP="00040AE2">
            <w:pPr>
              <w:rPr>
                <w:rFonts w:cs="Arial"/>
                <w:b/>
                <w:bCs w:val="0"/>
              </w:rPr>
            </w:pPr>
            <w:r w:rsidRPr="00B47AC3">
              <w:rPr>
                <w:rFonts w:cs="Arial"/>
                <w:b/>
              </w:rPr>
              <w:t xml:space="preserve">Column C total </w:t>
            </w:r>
          </w:p>
        </w:tc>
      </w:tr>
      <w:tr w:rsidR="0055283A" w:rsidRPr="00B47AC3" w:rsidTr="004779A7">
        <w:trPr>
          <w:trHeight w:val="410"/>
        </w:trPr>
        <w:tc>
          <w:tcPr>
            <w:tcW w:w="8825" w:type="dxa"/>
            <w:gridSpan w:val="4"/>
            <w:shd w:val="clear" w:color="auto" w:fill="auto"/>
          </w:tcPr>
          <w:p w:rsidR="0055283A" w:rsidRPr="00B47AC3" w:rsidRDefault="0055283A" w:rsidP="00040AE2">
            <w:pPr>
              <w:rPr>
                <w:rFonts w:cs="Arial"/>
                <w:b/>
                <w:bCs w:val="0"/>
              </w:rPr>
            </w:pPr>
            <w:r w:rsidRPr="00B47AC3">
              <w:rPr>
                <w:rFonts w:cs="Arial"/>
                <w:b/>
              </w:rPr>
              <w:t>CQUIN calculation</w:t>
            </w:r>
          </w:p>
          <w:p w:rsidR="0055283A" w:rsidRPr="00B47AC3" w:rsidRDefault="0055283A" w:rsidP="00040AE2">
            <w:pPr>
              <w:rPr>
                <w:rFonts w:cs="Arial"/>
                <w:b/>
                <w:bCs w:val="0"/>
              </w:rPr>
            </w:pPr>
          </w:p>
          <w:p w:rsidR="0055283A" w:rsidRPr="00B47AC3" w:rsidRDefault="0055283A" w:rsidP="00040AE2">
            <w:pPr>
              <w:rPr>
                <w:rFonts w:cs="Arial"/>
                <w:bCs w:val="0"/>
              </w:rPr>
            </w:pPr>
            <w:r w:rsidRPr="00B47AC3">
              <w:rPr>
                <w:rFonts w:cs="Arial"/>
              </w:rPr>
              <w:t xml:space="preserve">Column A total is discarded from the sample and does not count towards numerator or denominator </w:t>
            </w:r>
          </w:p>
          <w:p w:rsidR="0055283A" w:rsidRPr="00B47AC3" w:rsidRDefault="0055283A" w:rsidP="00040AE2">
            <w:pPr>
              <w:rPr>
                <w:rFonts w:cs="Arial"/>
                <w:bCs w:val="0"/>
              </w:rPr>
            </w:pPr>
            <w:r w:rsidRPr="00B47AC3">
              <w:rPr>
                <w:rFonts w:cs="Arial"/>
              </w:rPr>
              <w:t xml:space="preserve">Column B total is the numerator total </w:t>
            </w:r>
          </w:p>
          <w:p w:rsidR="0055283A" w:rsidRPr="00B47AC3" w:rsidRDefault="0055283A" w:rsidP="00040AE2">
            <w:pPr>
              <w:rPr>
                <w:rFonts w:cs="Arial"/>
                <w:bCs w:val="0"/>
              </w:rPr>
            </w:pPr>
            <w:r w:rsidRPr="00B47AC3">
              <w:rPr>
                <w:rFonts w:cs="Arial"/>
              </w:rPr>
              <w:t xml:space="preserve">[Column B total + Column C total] = denominator total </w:t>
            </w:r>
          </w:p>
          <w:p w:rsidR="0055283A" w:rsidRPr="004779A7" w:rsidRDefault="0055283A" w:rsidP="00040AE2">
            <w:pPr>
              <w:rPr>
                <w:rFonts w:cs="Arial"/>
                <w:bCs w:val="0"/>
              </w:rPr>
            </w:pPr>
            <w:r w:rsidRPr="00B47AC3">
              <w:rPr>
                <w:rFonts w:cs="Arial"/>
              </w:rPr>
              <w:t xml:space="preserve">Percentage Part 1 (sepsis screening) CQUIN achievement = (B ÷ [B+C]) x 100 </w:t>
            </w:r>
          </w:p>
        </w:tc>
      </w:tr>
    </w:tbl>
    <w:p w:rsidR="002F00EF" w:rsidRDefault="002F00EF" w:rsidP="00C56BCA">
      <w:pPr>
        <w:rPr>
          <w:b/>
        </w:rPr>
      </w:pPr>
      <w:bookmarkStart w:id="49" w:name="_Toc441485360"/>
      <w:bookmarkStart w:id="50" w:name="_Toc443035747"/>
      <w:bookmarkStart w:id="51" w:name="_Toc443663878"/>
      <w:bookmarkStart w:id="52" w:name="_Toc444087402"/>
      <w:bookmarkStart w:id="53" w:name="_Toc444089006"/>
      <w:bookmarkStart w:id="54" w:name="_Toc445216778"/>
    </w:p>
    <w:p w:rsidR="002F00EF" w:rsidRDefault="002F00EF">
      <w:pPr>
        <w:rPr>
          <w:b/>
        </w:rPr>
      </w:pPr>
      <w:r>
        <w:rPr>
          <w:b/>
        </w:rPr>
        <w:br w:type="page"/>
      </w:r>
    </w:p>
    <w:p w:rsidR="0055283A" w:rsidRDefault="0055283A" w:rsidP="00C56BCA">
      <w:pPr>
        <w:rPr>
          <w:b/>
        </w:rPr>
      </w:pPr>
      <w:r w:rsidRPr="00C56BCA">
        <w:rPr>
          <w:b/>
        </w:rPr>
        <w:lastRenderedPageBreak/>
        <w:t>Sepsis Screening in Inpatient Services</w:t>
      </w:r>
      <w:bookmarkEnd w:id="49"/>
      <w:bookmarkEnd w:id="50"/>
      <w:bookmarkEnd w:id="51"/>
      <w:bookmarkEnd w:id="52"/>
      <w:bookmarkEnd w:id="53"/>
      <w:bookmarkEnd w:id="54"/>
    </w:p>
    <w:p w:rsidR="00C56BCA" w:rsidRPr="00C56BCA" w:rsidRDefault="00C56BCA" w:rsidP="00C56BCA">
      <w:pPr>
        <w:rPr>
          <w:b/>
        </w:rPr>
      </w:pPr>
    </w:p>
    <w:p w:rsidR="0055283A" w:rsidRDefault="0055283A" w:rsidP="0055283A">
      <w:pPr>
        <w:rPr>
          <w:rFonts w:cs="Arial"/>
        </w:rPr>
      </w:pPr>
      <w:proofErr w:type="gramStart"/>
      <w:r w:rsidRPr="00B47AC3">
        <w:rPr>
          <w:rFonts w:cs="Arial"/>
          <w:b/>
        </w:rPr>
        <w:t>N.B.</w:t>
      </w:r>
      <w:proofErr w:type="gramEnd"/>
      <w:r w:rsidRPr="00B47AC3">
        <w:rPr>
          <w:rFonts w:cs="Arial"/>
          <w:b/>
        </w:rPr>
        <w:t xml:space="preserve"> </w:t>
      </w:r>
      <w:r w:rsidRPr="00B47AC3">
        <w:rPr>
          <w:rFonts w:cs="Arial"/>
        </w:rPr>
        <w:t>These could be separately collated for adults and for children and then stated as a final total (although also setting out the adult and child totals)</w:t>
      </w:r>
    </w:p>
    <w:p w:rsidR="00C56BCA" w:rsidRPr="00B47AC3" w:rsidRDefault="00C56BCA" w:rsidP="0055283A">
      <w:pPr>
        <w:rPr>
          <w:rFonts w:cs="Arial"/>
          <w:b/>
          <w:bCs w:val="0"/>
        </w:rPr>
      </w:pP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2344"/>
        <w:gridCol w:w="2502"/>
        <w:gridCol w:w="2635"/>
      </w:tblGrid>
      <w:tr w:rsidR="007A6BFE" w:rsidRPr="00B47AC3" w:rsidTr="00C56BCA">
        <w:trPr>
          <w:trHeight w:val="903"/>
        </w:trPr>
        <w:tc>
          <w:tcPr>
            <w:tcW w:w="1171" w:type="dxa"/>
            <w:shd w:val="clear" w:color="auto" w:fill="0070C0"/>
          </w:tcPr>
          <w:p w:rsidR="007A6BFE" w:rsidRPr="00B47AC3" w:rsidRDefault="007A6BFE" w:rsidP="00040AE2">
            <w:pPr>
              <w:rPr>
                <w:rFonts w:cs="Arial"/>
                <w:b/>
                <w:bCs w:val="0"/>
                <w:color w:val="FFFFFF"/>
              </w:rPr>
            </w:pPr>
          </w:p>
        </w:tc>
        <w:tc>
          <w:tcPr>
            <w:tcW w:w="2344" w:type="dxa"/>
            <w:shd w:val="clear" w:color="auto" w:fill="0070C0"/>
          </w:tcPr>
          <w:p w:rsidR="007A6BFE" w:rsidRPr="00B47AC3" w:rsidRDefault="007A6BFE" w:rsidP="00040AE2">
            <w:pPr>
              <w:rPr>
                <w:rFonts w:cs="Arial"/>
                <w:b/>
                <w:bCs w:val="0"/>
                <w:color w:val="FFFFFF"/>
              </w:rPr>
            </w:pPr>
            <w:r w:rsidRPr="00B47AC3">
              <w:rPr>
                <w:rFonts w:cs="Arial"/>
                <w:b/>
                <w:color w:val="FFFFFF"/>
              </w:rPr>
              <w:t xml:space="preserve">Tick column below if the patient DID NOT NEED sepsis screening according to the local protocol </w:t>
            </w:r>
          </w:p>
        </w:tc>
        <w:tc>
          <w:tcPr>
            <w:tcW w:w="2502" w:type="dxa"/>
            <w:shd w:val="clear" w:color="auto" w:fill="0070C0"/>
          </w:tcPr>
          <w:p w:rsidR="007A6BFE" w:rsidRPr="00B47AC3" w:rsidRDefault="007A6BFE" w:rsidP="00040AE2">
            <w:pPr>
              <w:rPr>
                <w:rFonts w:cs="Arial"/>
                <w:b/>
                <w:bCs w:val="0"/>
                <w:color w:val="FFFFFF"/>
              </w:rPr>
            </w:pPr>
            <w:r w:rsidRPr="00B47AC3">
              <w:rPr>
                <w:rFonts w:cs="Arial"/>
                <w:b/>
                <w:color w:val="FFFFFF"/>
              </w:rPr>
              <w:t xml:space="preserve">Tick column below if the patient NEEDED sepsis screening according to the local protocol and RECEIVED sepsis screening </w:t>
            </w:r>
          </w:p>
        </w:tc>
        <w:tc>
          <w:tcPr>
            <w:tcW w:w="2635" w:type="dxa"/>
            <w:shd w:val="clear" w:color="auto" w:fill="0070C0"/>
          </w:tcPr>
          <w:p w:rsidR="007A6BFE" w:rsidRPr="00B47AC3" w:rsidRDefault="007A6BFE" w:rsidP="00040AE2">
            <w:pPr>
              <w:rPr>
                <w:rFonts w:cs="Arial"/>
                <w:b/>
                <w:bCs w:val="0"/>
                <w:color w:val="FFFFFF"/>
              </w:rPr>
            </w:pPr>
            <w:r w:rsidRPr="00B47AC3">
              <w:rPr>
                <w:rFonts w:cs="Arial"/>
                <w:b/>
                <w:color w:val="FFFFFF"/>
              </w:rPr>
              <w:t>Tick column below if the patient NEEDED sepsis screening according to the local protocol but DID NOT receive sepsis screening</w:t>
            </w:r>
          </w:p>
        </w:tc>
      </w:tr>
      <w:tr w:rsidR="007A6BFE" w:rsidRPr="00B47AC3" w:rsidTr="00C56BCA">
        <w:trPr>
          <w:trHeight w:val="222"/>
        </w:trPr>
        <w:tc>
          <w:tcPr>
            <w:tcW w:w="1171" w:type="dxa"/>
            <w:shd w:val="clear" w:color="auto" w:fill="auto"/>
          </w:tcPr>
          <w:p w:rsidR="007A6BFE" w:rsidRPr="00B47AC3" w:rsidRDefault="007A6BFE" w:rsidP="00040AE2">
            <w:pPr>
              <w:ind w:left="360"/>
              <w:rPr>
                <w:rFonts w:cs="Arial"/>
                <w:bCs w:val="0"/>
              </w:rPr>
            </w:pPr>
            <w:r w:rsidRPr="00B47AC3">
              <w:rPr>
                <w:rFonts w:cs="Arial"/>
              </w:rPr>
              <w:t>1.</w:t>
            </w:r>
          </w:p>
        </w:tc>
        <w:tc>
          <w:tcPr>
            <w:tcW w:w="2344" w:type="dxa"/>
            <w:shd w:val="clear" w:color="auto" w:fill="auto"/>
          </w:tcPr>
          <w:p w:rsidR="007A6BFE" w:rsidRPr="00B47AC3" w:rsidRDefault="007A6BFE" w:rsidP="00040AE2">
            <w:pPr>
              <w:rPr>
                <w:rFonts w:cs="Arial"/>
                <w:bCs w:val="0"/>
              </w:rPr>
            </w:pPr>
          </w:p>
        </w:tc>
        <w:tc>
          <w:tcPr>
            <w:tcW w:w="2502" w:type="dxa"/>
            <w:shd w:val="clear" w:color="auto" w:fill="auto"/>
          </w:tcPr>
          <w:p w:rsidR="007A6BFE" w:rsidRPr="00B47AC3" w:rsidRDefault="007A6BFE" w:rsidP="00040AE2">
            <w:pPr>
              <w:rPr>
                <w:rFonts w:cs="Arial"/>
                <w:bCs w:val="0"/>
              </w:rPr>
            </w:pPr>
          </w:p>
        </w:tc>
        <w:tc>
          <w:tcPr>
            <w:tcW w:w="2635" w:type="dxa"/>
            <w:shd w:val="clear" w:color="auto" w:fill="auto"/>
          </w:tcPr>
          <w:p w:rsidR="007A6BFE" w:rsidRPr="00B47AC3" w:rsidRDefault="007A6BFE" w:rsidP="00040AE2">
            <w:pPr>
              <w:rPr>
                <w:rFonts w:cs="Arial"/>
                <w:bCs w:val="0"/>
              </w:rPr>
            </w:pPr>
          </w:p>
        </w:tc>
      </w:tr>
      <w:tr w:rsidR="007A6BFE" w:rsidRPr="00B47AC3" w:rsidTr="00C56BCA">
        <w:trPr>
          <w:trHeight w:val="222"/>
        </w:trPr>
        <w:tc>
          <w:tcPr>
            <w:tcW w:w="1171" w:type="dxa"/>
            <w:shd w:val="clear" w:color="auto" w:fill="auto"/>
          </w:tcPr>
          <w:p w:rsidR="007A6BFE" w:rsidRPr="00B47AC3" w:rsidRDefault="007A6BFE" w:rsidP="00040AE2">
            <w:pPr>
              <w:ind w:left="360"/>
              <w:rPr>
                <w:rFonts w:cs="Arial"/>
                <w:bCs w:val="0"/>
              </w:rPr>
            </w:pPr>
            <w:r w:rsidRPr="00B47AC3">
              <w:rPr>
                <w:rFonts w:cs="Arial"/>
              </w:rPr>
              <w:t>2.</w:t>
            </w:r>
          </w:p>
        </w:tc>
        <w:tc>
          <w:tcPr>
            <w:tcW w:w="2344" w:type="dxa"/>
            <w:shd w:val="clear" w:color="auto" w:fill="auto"/>
          </w:tcPr>
          <w:p w:rsidR="007A6BFE" w:rsidRPr="00B47AC3" w:rsidRDefault="007A6BFE" w:rsidP="00040AE2">
            <w:pPr>
              <w:rPr>
                <w:rFonts w:cs="Arial"/>
                <w:bCs w:val="0"/>
              </w:rPr>
            </w:pPr>
          </w:p>
        </w:tc>
        <w:tc>
          <w:tcPr>
            <w:tcW w:w="2502" w:type="dxa"/>
            <w:shd w:val="clear" w:color="auto" w:fill="auto"/>
          </w:tcPr>
          <w:p w:rsidR="007A6BFE" w:rsidRPr="00B47AC3" w:rsidRDefault="007A6BFE" w:rsidP="00040AE2">
            <w:pPr>
              <w:rPr>
                <w:rFonts w:cs="Arial"/>
                <w:bCs w:val="0"/>
              </w:rPr>
            </w:pPr>
          </w:p>
        </w:tc>
        <w:tc>
          <w:tcPr>
            <w:tcW w:w="2635" w:type="dxa"/>
            <w:shd w:val="clear" w:color="auto" w:fill="auto"/>
          </w:tcPr>
          <w:p w:rsidR="007A6BFE" w:rsidRPr="00B47AC3" w:rsidRDefault="007A6BFE" w:rsidP="00040AE2">
            <w:pPr>
              <w:rPr>
                <w:rFonts w:cs="Arial"/>
                <w:bCs w:val="0"/>
              </w:rPr>
            </w:pPr>
          </w:p>
        </w:tc>
      </w:tr>
      <w:tr w:rsidR="007A6BFE" w:rsidRPr="00B47AC3" w:rsidTr="00C56BCA">
        <w:trPr>
          <w:trHeight w:val="222"/>
        </w:trPr>
        <w:tc>
          <w:tcPr>
            <w:tcW w:w="1171" w:type="dxa"/>
            <w:shd w:val="clear" w:color="auto" w:fill="auto"/>
          </w:tcPr>
          <w:p w:rsidR="007A6BFE" w:rsidRPr="00B47AC3" w:rsidRDefault="007A6BFE" w:rsidP="00040AE2">
            <w:pPr>
              <w:ind w:left="360"/>
              <w:rPr>
                <w:rFonts w:cs="Arial"/>
                <w:bCs w:val="0"/>
              </w:rPr>
            </w:pPr>
            <w:r w:rsidRPr="00B47AC3">
              <w:rPr>
                <w:rFonts w:cs="Arial"/>
              </w:rPr>
              <w:t>3.</w:t>
            </w:r>
          </w:p>
        </w:tc>
        <w:tc>
          <w:tcPr>
            <w:tcW w:w="2344" w:type="dxa"/>
            <w:shd w:val="clear" w:color="auto" w:fill="auto"/>
          </w:tcPr>
          <w:p w:rsidR="007A6BFE" w:rsidRPr="00B47AC3" w:rsidRDefault="007A6BFE" w:rsidP="00040AE2">
            <w:pPr>
              <w:rPr>
                <w:rFonts w:cs="Arial"/>
                <w:bCs w:val="0"/>
              </w:rPr>
            </w:pPr>
          </w:p>
        </w:tc>
        <w:tc>
          <w:tcPr>
            <w:tcW w:w="2502" w:type="dxa"/>
            <w:shd w:val="clear" w:color="auto" w:fill="auto"/>
          </w:tcPr>
          <w:p w:rsidR="007A6BFE" w:rsidRPr="00B47AC3" w:rsidRDefault="007A6BFE" w:rsidP="00040AE2">
            <w:pPr>
              <w:rPr>
                <w:rFonts w:cs="Arial"/>
                <w:bCs w:val="0"/>
              </w:rPr>
            </w:pPr>
          </w:p>
        </w:tc>
        <w:tc>
          <w:tcPr>
            <w:tcW w:w="2635" w:type="dxa"/>
            <w:shd w:val="clear" w:color="auto" w:fill="auto"/>
          </w:tcPr>
          <w:p w:rsidR="007A6BFE" w:rsidRPr="00B47AC3" w:rsidRDefault="007A6BFE" w:rsidP="00040AE2">
            <w:pPr>
              <w:rPr>
                <w:rFonts w:cs="Arial"/>
                <w:bCs w:val="0"/>
              </w:rPr>
            </w:pPr>
          </w:p>
        </w:tc>
      </w:tr>
      <w:tr w:rsidR="007A6BFE" w:rsidRPr="00B47AC3" w:rsidTr="00C56BCA">
        <w:trPr>
          <w:trHeight w:val="222"/>
        </w:trPr>
        <w:tc>
          <w:tcPr>
            <w:tcW w:w="1171" w:type="dxa"/>
            <w:shd w:val="clear" w:color="auto" w:fill="auto"/>
          </w:tcPr>
          <w:p w:rsidR="007A6BFE" w:rsidRPr="00B47AC3" w:rsidRDefault="007A6BFE" w:rsidP="00040AE2">
            <w:pPr>
              <w:ind w:left="360"/>
              <w:rPr>
                <w:rFonts w:cs="Arial"/>
                <w:bCs w:val="0"/>
              </w:rPr>
            </w:pPr>
            <w:r w:rsidRPr="00B47AC3">
              <w:rPr>
                <w:rFonts w:cs="Arial"/>
              </w:rPr>
              <w:t>4.</w:t>
            </w:r>
          </w:p>
        </w:tc>
        <w:tc>
          <w:tcPr>
            <w:tcW w:w="2344" w:type="dxa"/>
            <w:shd w:val="clear" w:color="auto" w:fill="auto"/>
          </w:tcPr>
          <w:p w:rsidR="007A6BFE" w:rsidRPr="00B47AC3" w:rsidRDefault="007A6BFE" w:rsidP="00040AE2">
            <w:pPr>
              <w:rPr>
                <w:rFonts w:cs="Arial"/>
                <w:bCs w:val="0"/>
              </w:rPr>
            </w:pPr>
          </w:p>
        </w:tc>
        <w:tc>
          <w:tcPr>
            <w:tcW w:w="2502" w:type="dxa"/>
            <w:shd w:val="clear" w:color="auto" w:fill="auto"/>
          </w:tcPr>
          <w:p w:rsidR="007A6BFE" w:rsidRPr="00B47AC3" w:rsidRDefault="007A6BFE" w:rsidP="00040AE2">
            <w:pPr>
              <w:rPr>
                <w:rFonts w:cs="Arial"/>
                <w:bCs w:val="0"/>
              </w:rPr>
            </w:pPr>
          </w:p>
        </w:tc>
        <w:tc>
          <w:tcPr>
            <w:tcW w:w="2635" w:type="dxa"/>
            <w:shd w:val="clear" w:color="auto" w:fill="auto"/>
          </w:tcPr>
          <w:p w:rsidR="007A6BFE" w:rsidRPr="00B47AC3" w:rsidRDefault="007A6BFE" w:rsidP="00040AE2">
            <w:pPr>
              <w:rPr>
                <w:rFonts w:cs="Arial"/>
                <w:bCs w:val="0"/>
              </w:rPr>
            </w:pPr>
          </w:p>
        </w:tc>
      </w:tr>
      <w:tr w:rsidR="007A6BFE" w:rsidRPr="00B47AC3" w:rsidTr="00C56BCA">
        <w:trPr>
          <w:trHeight w:val="222"/>
        </w:trPr>
        <w:tc>
          <w:tcPr>
            <w:tcW w:w="1171" w:type="dxa"/>
            <w:shd w:val="clear" w:color="auto" w:fill="auto"/>
          </w:tcPr>
          <w:p w:rsidR="007A6BFE" w:rsidRPr="00B47AC3" w:rsidRDefault="007A6BFE" w:rsidP="00040AE2">
            <w:pPr>
              <w:ind w:left="360"/>
              <w:rPr>
                <w:rFonts w:cs="Arial"/>
                <w:bCs w:val="0"/>
              </w:rPr>
            </w:pPr>
            <w:r w:rsidRPr="00B47AC3">
              <w:rPr>
                <w:rFonts w:cs="Arial"/>
              </w:rPr>
              <w:t>5.</w:t>
            </w:r>
          </w:p>
        </w:tc>
        <w:tc>
          <w:tcPr>
            <w:tcW w:w="2344" w:type="dxa"/>
            <w:shd w:val="clear" w:color="auto" w:fill="auto"/>
          </w:tcPr>
          <w:p w:rsidR="007A6BFE" w:rsidRPr="00B47AC3" w:rsidRDefault="007A6BFE" w:rsidP="00040AE2">
            <w:pPr>
              <w:rPr>
                <w:rFonts w:cs="Arial"/>
                <w:bCs w:val="0"/>
              </w:rPr>
            </w:pPr>
          </w:p>
        </w:tc>
        <w:tc>
          <w:tcPr>
            <w:tcW w:w="2502" w:type="dxa"/>
            <w:shd w:val="clear" w:color="auto" w:fill="auto"/>
          </w:tcPr>
          <w:p w:rsidR="007A6BFE" w:rsidRPr="00B47AC3" w:rsidRDefault="007A6BFE" w:rsidP="00040AE2">
            <w:pPr>
              <w:rPr>
                <w:rFonts w:cs="Arial"/>
                <w:bCs w:val="0"/>
              </w:rPr>
            </w:pPr>
          </w:p>
        </w:tc>
        <w:tc>
          <w:tcPr>
            <w:tcW w:w="2635" w:type="dxa"/>
            <w:shd w:val="clear" w:color="auto" w:fill="auto"/>
          </w:tcPr>
          <w:p w:rsidR="007A6BFE" w:rsidRPr="00B47AC3" w:rsidRDefault="007A6BFE" w:rsidP="00040AE2">
            <w:pPr>
              <w:rPr>
                <w:rFonts w:cs="Arial"/>
                <w:bCs w:val="0"/>
              </w:rPr>
            </w:pPr>
          </w:p>
        </w:tc>
      </w:tr>
      <w:tr w:rsidR="007A6BFE" w:rsidRPr="00B47AC3" w:rsidTr="00C56BCA">
        <w:trPr>
          <w:trHeight w:val="222"/>
        </w:trPr>
        <w:tc>
          <w:tcPr>
            <w:tcW w:w="1171" w:type="dxa"/>
            <w:shd w:val="clear" w:color="auto" w:fill="auto"/>
          </w:tcPr>
          <w:p w:rsidR="007A6BFE" w:rsidRPr="00B47AC3" w:rsidRDefault="007A6BFE" w:rsidP="00040AE2">
            <w:pPr>
              <w:ind w:left="360"/>
              <w:rPr>
                <w:rFonts w:cs="Arial"/>
                <w:bCs w:val="0"/>
              </w:rPr>
            </w:pPr>
            <w:r w:rsidRPr="00B47AC3">
              <w:rPr>
                <w:rFonts w:cs="Arial"/>
              </w:rPr>
              <w:t>Etc.</w:t>
            </w:r>
          </w:p>
        </w:tc>
        <w:tc>
          <w:tcPr>
            <w:tcW w:w="2344" w:type="dxa"/>
            <w:shd w:val="clear" w:color="auto" w:fill="auto"/>
          </w:tcPr>
          <w:p w:rsidR="007A6BFE" w:rsidRPr="00B47AC3" w:rsidRDefault="007A6BFE" w:rsidP="00040AE2">
            <w:pPr>
              <w:rPr>
                <w:rFonts w:cs="Arial"/>
                <w:bCs w:val="0"/>
              </w:rPr>
            </w:pPr>
          </w:p>
        </w:tc>
        <w:tc>
          <w:tcPr>
            <w:tcW w:w="2502" w:type="dxa"/>
            <w:shd w:val="clear" w:color="auto" w:fill="auto"/>
          </w:tcPr>
          <w:p w:rsidR="007A6BFE" w:rsidRPr="00B47AC3" w:rsidRDefault="007A6BFE" w:rsidP="00040AE2">
            <w:pPr>
              <w:rPr>
                <w:rFonts w:cs="Arial"/>
                <w:bCs w:val="0"/>
              </w:rPr>
            </w:pPr>
          </w:p>
        </w:tc>
        <w:tc>
          <w:tcPr>
            <w:tcW w:w="2635" w:type="dxa"/>
            <w:shd w:val="clear" w:color="auto" w:fill="auto"/>
          </w:tcPr>
          <w:p w:rsidR="007A6BFE" w:rsidRPr="00B47AC3" w:rsidRDefault="007A6BFE" w:rsidP="00040AE2">
            <w:pPr>
              <w:rPr>
                <w:rFonts w:cs="Arial"/>
                <w:bCs w:val="0"/>
              </w:rPr>
            </w:pPr>
          </w:p>
        </w:tc>
      </w:tr>
      <w:tr w:rsidR="007A6BFE" w:rsidRPr="00B47AC3" w:rsidTr="00C56BCA">
        <w:trPr>
          <w:trHeight w:val="222"/>
        </w:trPr>
        <w:tc>
          <w:tcPr>
            <w:tcW w:w="1171" w:type="dxa"/>
            <w:shd w:val="clear" w:color="auto" w:fill="auto"/>
          </w:tcPr>
          <w:p w:rsidR="007A6BFE" w:rsidRPr="00B47AC3" w:rsidRDefault="007A6BFE" w:rsidP="00040AE2">
            <w:pPr>
              <w:rPr>
                <w:rFonts w:cs="Arial"/>
                <w:b/>
                <w:bCs w:val="0"/>
              </w:rPr>
            </w:pPr>
            <w:r w:rsidRPr="00B47AC3">
              <w:rPr>
                <w:rFonts w:cs="Arial"/>
                <w:b/>
              </w:rPr>
              <w:t>Totals</w:t>
            </w:r>
          </w:p>
        </w:tc>
        <w:tc>
          <w:tcPr>
            <w:tcW w:w="2344" w:type="dxa"/>
            <w:shd w:val="clear" w:color="auto" w:fill="E4E9EF"/>
          </w:tcPr>
          <w:p w:rsidR="007A6BFE" w:rsidRPr="00B47AC3" w:rsidRDefault="007A6BFE" w:rsidP="00040AE2">
            <w:pPr>
              <w:rPr>
                <w:rFonts w:cs="Arial"/>
                <w:b/>
                <w:bCs w:val="0"/>
              </w:rPr>
            </w:pPr>
            <w:r w:rsidRPr="00B47AC3">
              <w:rPr>
                <w:rFonts w:cs="Arial"/>
                <w:b/>
              </w:rPr>
              <w:t xml:space="preserve">Column A total </w:t>
            </w:r>
          </w:p>
        </w:tc>
        <w:tc>
          <w:tcPr>
            <w:tcW w:w="2502" w:type="dxa"/>
            <w:shd w:val="clear" w:color="auto" w:fill="E4E9EF"/>
          </w:tcPr>
          <w:p w:rsidR="007A6BFE" w:rsidRPr="00B47AC3" w:rsidRDefault="007A6BFE" w:rsidP="00040AE2">
            <w:pPr>
              <w:rPr>
                <w:rFonts w:cs="Arial"/>
                <w:b/>
                <w:bCs w:val="0"/>
              </w:rPr>
            </w:pPr>
            <w:r w:rsidRPr="00B47AC3">
              <w:rPr>
                <w:rFonts w:cs="Arial"/>
                <w:b/>
              </w:rPr>
              <w:t xml:space="preserve">Column B total  </w:t>
            </w:r>
          </w:p>
        </w:tc>
        <w:tc>
          <w:tcPr>
            <w:tcW w:w="2635" w:type="dxa"/>
            <w:shd w:val="clear" w:color="auto" w:fill="E4E9EF"/>
          </w:tcPr>
          <w:p w:rsidR="007A6BFE" w:rsidRPr="00B47AC3" w:rsidRDefault="007A6BFE" w:rsidP="00040AE2">
            <w:pPr>
              <w:rPr>
                <w:rFonts w:cs="Arial"/>
                <w:b/>
                <w:bCs w:val="0"/>
              </w:rPr>
            </w:pPr>
            <w:r w:rsidRPr="00B47AC3">
              <w:rPr>
                <w:rFonts w:cs="Arial"/>
                <w:b/>
              </w:rPr>
              <w:t xml:space="preserve">Column C total </w:t>
            </w:r>
          </w:p>
        </w:tc>
      </w:tr>
      <w:tr w:rsidR="007A6BFE" w:rsidRPr="00B47AC3" w:rsidTr="00C56BCA">
        <w:trPr>
          <w:trHeight w:val="1829"/>
        </w:trPr>
        <w:tc>
          <w:tcPr>
            <w:tcW w:w="8652" w:type="dxa"/>
            <w:gridSpan w:val="4"/>
            <w:shd w:val="clear" w:color="auto" w:fill="auto"/>
          </w:tcPr>
          <w:p w:rsidR="007A6BFE" w:rsidRPr="00B47AC3" w:rsidRDefault="007A6BFE" w:rsidP="00040AE2">
            <w:pPr>
              <w:rPr>
                <w:rFonts w:cs="Arial"/>
                <w:b/>
                <w:bCs w:val="0"/>
              </w:rPr>
            </w:pPr>
          </w:p>
          <w:p w:rsidR="007A6BFE" w:rsidRPr="00B47AC3" w:rsidRDefault="007A6BFE" w:rsidP="00040AE2">
            <w:pPr>
              <w:rPr>
                <w:rFonts w:cs="Arial"/>
                <w:b/>
                <w:bCs w:val="0"/>
              </w:rPr>
            </w:pPr>
            <w:r w:rsidRPr="00B47AC3">
              <w:rPr>
                <w:rFonts w:cs="Arial"/>
                <w:b/>
              </w:rPr>
              <w:t>CQUIN calculation</w:t>
            </w:r>
          </w:p>
          <w:p w:rsidR="007A6BFE" w:rsidRPr="00B47AC3" w:rsidRDefault="007A6BFE" w:rsidP="00040AE2">
            <w:pPr>
              <w:rPr>
                <w:rFonts w:cs="Arial"/>
                <w:b/>
                <w:bCs w:val="0"/>
              </w:rPr>
            </w:pPr>
          </w:p>
          <w:p w:rsidR="007A6BFE" w:rsidRPr="00B47AC3" w:rsidRDefault="007A6BFE" w:rsidP="00040AE2">
            <w:pPr>
              <w:rPr>
                <w:rFonts w:cs="Arial"/>
                <w:bCs w:val="0"/>
              </w:rPr>
            </w:pPr>
            <w:r w:rsidRPr="00B47AC3">
              <w:rPr>
                <w:rFonts w:cs="Arial"/>
              </w:rPr>
              <w:t xml:space="preserve">Column A total is discarded from the sample and does not count towards numerator or denominator </w:t>
            </w:r>
          </w:p>
          <w:p w:rsidR="007A6BFE" w:rsidRPr="00B47AC3" w:rsidRDefault="007A6BFE" w:rsidP="00040AE2">
            <w:pPr>
              <w:rPr>
                <w:rFonts w:cs="Arial"/>
                <w:bCs w:val="0"/>
              </w:rPr>
            </w:pPr>
            <w:r w:rsidRPr="00B47AC3">
              <w:rPr>
                <w:rFonts w:cs="Arial"/>
              </w:rPr>
              <w:t xml:space="preserve">Column B total is the numerator total </w:t>
            </w:r>
          </w:p>
          <w:p w:rsidR="007A6BFE" w:rsidRPr="00B47AC3" w:rsidRDefault="007A6BFE" w:rsidP="00040AE2">
            <w:pPr>
              <w:rPr>
                <w:rFonts w:cs="Arial"/>
                <w:bCs w:val="0"/>
              </w:rPr>
            </w:pPr>
            <w:r w:rsidRPr="00B47AC3">
              <w:rPr>
                <w:rFonts w:cs="Arial"/>
              </w:rPr>
              <w:t xml:space="preserve">[Column B total + Column C total] = denominator total </w:t>
            </w:r>
          </w:p>
          <w:p w:rsidR="007A6BFE" w:rsidRPr="00B47AC3" w:rsidRDefault="007A6BFE" w:rsidP="00040AE2">
            <w:pPr>
              <w:rPr>
                <w:rFonts w:cs="Arial"/>
                <w:bCs w:val="0"/>
              </w:rPr>
            </w:pPr>
            <w:r w:rsidRPr="00B47AC3">
              <w:rPr>
                <w:rFonts w:cs="Arial"/>
              </w:rPr>
              <w:t xml:space="preserve">Percentage Part 1 (sepsis screening) CQUIN achievement = (B ÷ [B+C]) x 100 </w:t>
            </w:r>
          </w:p>
          <w:p w:rsidR="007A6BFE" w:rsidRPr="00B47AC3" w:rsidRDefault="007A6BFE" w:rsidP="00040AE2">
            <w:pPr>
              <w:rPr>
                <w:rFonts w:cs="Arial"/>
                <w:b/>
                <w:bCs w:val="0"/>
              </w:rPr>
            </w:pPr>
          </w:p>
        </w:tc>
      </w:tr>
    </w:tbl>
    <w:p w:rsidR="0055283A" w:rsidRPr="00B47AC3" w:rsidRDefault="0055283A" w:rsidP="0055283A">
      <w:pPr>
        <w:rPr>
          <w:rFonts w:cs="Arial"/>
          <w:bCs w:val="0"/>
        </w:rPr>
      </w:pPr>
    </w:p>
    <w:p w:rsidR="002F00EF" w:rsidRDefault="002F00EF">
      <w:pPr>
        <w:rPr>
          <w:rFonts w:eastAsiaTheme="majorEastAsia" w:cstheme="majorBidi"/>
          <w:b/>
          <w:bCs w:val="0"/>
          <w:iCs/>
          <w:color w:val="A00054" w:themeColor="accent2"/>
          <w:lang w:eastAsia="en-GB"/>
        </w:rPr>
      </w:pPr>
      <w:r>
        <w:rPr>
          <w:lang w:eastAsia="en-GB"/>
        </w:rPr>
        <w:br w:type="page"/>
      </w:r>
    </w:p>
    <w:p w:rsidR="00711C75" w:rsidRDefault="00711C75" w:rsidP="00711C75">
      <w:pPr>
        <w:pStyle w:val="Heading4"/>
        <w:rPr>
          <w:lang w:eastAsia="en-GB"/>
        </w:rPr>
      </w:pPr>
      <w:r>
        <w:rPr>
          <w:lang w:eastAsia="en-GB"/>
        </w:rPr>
        <w:lastRenderedPageBreak/>
        <w:t>Indicator 2b</w:t>
      </w:r>
      <w:r w:rsidRPr="00702E87">
        <w:rPr>
          <w:lang w:eastAsia="en-GB"/>
        </w:rPr>
        <w:t xml:space="preserve"> Timely treatment </w:t>
      </w:r>
      <w:r>
        <w:rPr>
          <w:lang w:eastAsia="en-GB"/>
        </w:rPr>
        <w:t xml:space="preserve">of </w:t>
      </w:r>
      <w:r w:rsidRPr="00702E87">
        <w:rPr>
          <w:lang w:eastAsia="en-GB"/>
        </w:rPr>
        <w:t>sepsis in emergency departments and acute inpatient settings</w:t>
      </w:r>
    </w:p>
    <w:p w:rsidR="00711C75" w:rsidRDefault="00711C75" w:rsidP="00711C75">
      <w:pPr>
        <w:rPr>
          <w:lang w:eastAsia="en-GB"/>
        </w:rPr>
      </w:pPr>
    </w:p>
    <w:tbl>
      <w:tblPr>
        <w:tblStyle w:val="TableGrid"/>
        <w:tblW w:w="4870" w:type="pct"/>
        <w:tblLook w:val="04A0" w:firstRow="1" w:lastRow="0" w:firstColumn="1" w:lastColumn="0" w:noHBand="0" w:noVBand="1"/>
        <w:tblCaption w:val="Please add a description of this table"/>
      </w:tblPr>
      <w:tblGrid>
        <w:gridCol w:w="2804"/>
        <w:gridCol w:w="6235"/>
      </w:tblGrid>
      <w:tr w:rsidR="00711C75" w:rsidRPr="00B47AC3" w:rsidTr="006A0823">
        <w:trPr>
          <w:tblHeader/>
        </w:trPr>
        <w:tc>
          <w:tcPr>
            <w:tcW w:w="5000" w:type="pct"/>
            <w:gridSpan w:val="2"/>
            <w:shd w:val="clear" w:color="auto" w:fill="0070C0"/>
          </w:tcPr>
          <w:p w:rsidR="00711C75" w:rsidRPr="00B47AC3" w:rsidRDefault="00711C75" w:rsidP="006A0823">
            <w:pPr>
              <w:spacing w:before="20" w:after="20"/>
              <w:jc w:val="center"/>
              <w:rPr>
                <w:b/>
                <w:bCs w:val="0"/>
                <w:color w:val="FFFFFF"/>
              </w:rPr>
            </w:pPr>
            <w:r w:rsidRPr="00114E58">
              <w:rPr>
                <w:b/>
                <w:color w:val="FFFFFF" w:themeColor="background1"/>
              </w:rPr>
              <w:t>Indicator 2b</w:t>
            </w:r>
          </w:p>
        </w:tc>
      </w:tr>
      <w:tr w:rsidR="00711C75" w:rsidRPr="00B47AC3" w:rsidTr="006A0823">
        <w:tc>
          <w:tcPr>
            <w:tcW w:w="1551" w:type="pct"/>
          </w:tcPr>
          <w:p w:rsidR="00711C75" w:rsidRPr="00B47AC3" w:rsidRDefault="00711C75" w:rsidP="006A0823">
            <w:pPr>
              <w:spacing w:before="20" w:after="20"/>
              <w:rPr>
                <w:b/>
                <w:bCs w:val="0"/>
              </w:rPr>
            </w:pPr>
            <w:r w:rsidRPr="00B47AC3">
              <w:rPr>
                <w:rFonts w:cs="Arial"/>
                <w:b/>
                <w:color w:val="000000"/>
              </w:rPr>
              <w:t>Indicator name</w:t>
            </w:r>
          </w:p>
        </w:tc>
        <w:tc>
          <w:tcPr>
            <w:tcW w:w="3449" w:type="pct"/>
          </w:tcPr>
          <w:p w:rsidR="00711C75" w:rsidRPr="00B47AC3" w:rsidRDefault="00711C75" w:rsidP="006A0823">
            <w:pPr>
              <w:spacing w:before="20" w:after="20"/>
              <w:rPr>
                <w:bCs w:val="0"/>
              </w:rPr>
            </w:pPr>
            <w:r w:rsidRPr="00B47AC3">
              <w:t>Ti</w:t>
            </w:r>
            <w:r>
              <w:t>m</w:t>
            </w:r>
            <w:r w:rsidRPr="00B47AC3">
              <w:t xml:space="preserve">ely treatment </w:t>
            </w:r>
            <w:r>
              <w:t xml:space="preserve">of </w:t>
            </w:r>
            <w:r w:rsidRPr="00B47AC3">
              <w:t>sepsis in emergency department</w:t>
            </w:r>
            <w:r>
              <w:t>s and acute inpatient settings</w:t>
            </w:r>
            <w:r w:rsidRPr="00B47AC3">
              <w:t xml:space="preserve"> </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 xml:space="preserve">Indicator weighting </w:t>
            </w:r>
            <w:r w:rsidRPr="00B47AC3">
              <w:rPr>
                <w:rFonts w:cs="Arial"/>
                <w:b/>
                <w:color w:val="000000"/>
              </w:rPr>
              <w:br/>
              <w:t>(% of CQUIN scheme available)</w:t>
            </w:r>
          </w:p>
        </w:tc>
        <w:tc>
          <w:tcPr>
            <w:tcW w:w="3449" w:type="pct"/>
          </w:tcPr>
          <w:p w:rsidR="00711C75" w:rsidRPr="00B47AC3" w:rsidRDefault="00711C75" w:rsidP="006A0823">
            <w:pPr>
              <w:rPr>
                <w:rFonts w:eastAsia="MS Mincho" w:cs="Arial"/>
                <w:bCs w:val="0"/>
                <w:lang w:eastAsia="ja-JP"/>
              </w:rPr>
            </w:pPr>
            <w:r>
              <w:rPr>
                <w:rFonts w:cs="Arial"/>
              </w:rPr>
              <w:t>25% of 0.25% (0.625%)</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Description of indicator</w:t>
            </w:r>
          </w:p>
        </w:tc>
        <w:tc>
          <w:tcPr>
            <w:tcW w:w="3449" w:type="pct"/>
          </w:tcPr>
          <w:p w:rsidR="00711C75" w:rsidRPr="009134B2" w:rsidRDefault="00711C75" w:rsidP="006A0823">
            <w:pPr>
              <w:rPr>
                <w:rFonts w:cs="Arial"/>
                <w:szCs w:val="24"/>
              </w:rPr>
            </w:pPr>
            <w:r w:rsidRPr="00E962C0">
              <w:rPr>
                <w:rFonts w:cs="Arial"/>
                <w:szCs w:val="24"/>
              </w:rPr>
              <w:t xml:space="preserve">The percentage of patients who </w:t>
            </w:r>
            <w:r>
              <w:rPr>
                <w:rFonts w:cs="Arial"/>
                <w:szCs w:val="24"/>
              </w:rPr>
              <w:t>were found to have sepsis in sample 2a and received IV antibiotics within 1 hour.</w:t>
            </w:r>
            <w:r w:rsidRPr="00E962C0">
              <w:rPr>
                <w:rFonts w:cs="Arial"/>
                <w:szCs w:val="24"/>
              </w:rPr>
              <w:br/>
            </w:r>
            <w:r w:rsidRPr="00E962C0">
              <w:rPr>
                <w:rFonts w:cs="Arial"/>
                <w:szCs w:val="24"/>
              </w:rPr>
              <w:br/>
              <w:t>The indicator applies to adults and child patients arriving in hospital as emergency admissions and to all patients on acute in-patient wards.</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Numerator</w:t>
            </w:r>
          </w:p>
        </w:tc>
        <w:tc>
          <w:tcPr>
            <w:tcW w:w="3449" w:type="pct"/>
          </w:tcPr>
          <w:p w:rsidR="00711C75" w:rsidRPr="009134B2" w:rsidRDefault="00711C75" w:rsidP="006A0823">
            <w:pPr>
              <w:contextualSpacing/>
              <w:rPr>
                <w:rFonts w:cs="Arial"/>
                <w:color w:val="000000"/>
                <w:szCs w:val="24"/>
              </w:rPr>
            </w:pPr>
            <w:r>
              <w:rPr>
                <w:rFonts w:cs="Arial"/>
                <w:color w:val="000000"/>
                <w:szCs w:val="24"/>
              </w:rPr>
              <w:t>Total number of patients found to have sepsis in emergency departments and acute inpatient services in sample 2a who received IV antibiotics within 1 hour of the diagnosis of sepsis</w:t>
            </w:r>
            <w:r w:rsidR="00D11CB8">
              <w:rPr>
                <w:rFonts w:cs="Arial"/>
                <w:color w:val="000000"/>
                <w:szCs w:val="24"/>
              </w:rPr>
              <w:t>.</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Denominator</w:t>
            </w:r>
          </w:p>
        </w:tc>
        <w:tc>
          <w:tcPr>
            <w:tcW w:w="3449" w:type="pct"/>
          </w:tcPr>
          <w:p w:rsidR="00711C75" w:rsidRPr="00E962C0" w:rsidRDefault="00711C75" w:rsidP="006A0823">
            <w:r>
              <w:t>The total number of patients from the sample in the numerator in 2a who were diagnosed with sepsis.</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Rationale for inclusion</w:t>
            </w:r>
          </w:p>
        </w:tc>
        <w:tc>
          <w:tcPr>
            <w:tcW w:w="3449" w:type="pct"/>
          </w:tcPr>
          <w:p w:rsidR="00711C75" w:rsidRPr="002F00EF" w:rsidRDefault="00711C75" w:rsidP="006A0823">
            <w:pPr>
              <w:rPr>
                <w:rFonts w:eastAsiaTheme="minorHAnsi" w:cs="Arial"/>
                <w:szCs w:val="24"/>
              </w:rPr>
            </w:pPr>
            <w:r>
              <w:rPr>
                <w:rFonts w:eastAsiaTheme="minorHAnsi" w:cs="Arial"/>
                <w:szCs w:val="24"/>
              </w:rPr>
              <w:t>Prompt treatment of sepsis reduces the mortality and the morbidity associated with this condition.</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Data source</w:t>
            </w:r>
          </w:p>
        </w:tc>
        <w:tc>
          <w:tcPr>
            <w:tcW w:w="3449" w:type="pct"/>
          </w:tcPr>
          <w:p w:rsidR="00711C75" w:rsidRPr="002F00EF" w:rsidRDefault="00711C75" w:rsidP="006A0823">
            <w:pPr>
              <w:pStyle w:val="CommentText"/>
              <w:rPr>
                <w:sz w:val="24"/>
                <w:szCs w:val="24"/>
              </w:rPr>
            </w:pPr>
            <w:r>
              <w:rPr>
                <w:sz w:val="24"/>
                <w:szCs w:val="24"/>
              </w:rPr>
              <w:t>The records identified in the numerator of sample 2a</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Frequency of data collection</w:t>
            </w:r>
          </w:p>
        </w:tc>
        <w:tc>
          <w:tcPr>
            <w:tcW w:w="3449" w:type="pct"/>
          </w:tcPr>
          <w:p w:rsidR="00711C75" w:rsidRPr="00E962C0" w:rsidRDefault="00711C75" w:rsidP="006A0823">
            <w:pPr>
              <w:keepNext/>
              <w:contextualSpacing/>
              <w:rPr>
                <w:rFonts w:cs="Arial"/>
                <w:bCs w:val="0"/>
                <w:szCs w:val="24"/>
              </w:rPr>
            </w:pPr>
            <w:r w:rsidRPr="00E962C0">
              <w:rPr>
                <w:rFonts w:cs="Arial"/>
                <w:szCs w:val="24"/>
              </w:rPr>
              <w:t>Monthly</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Organisation responsible for data collection</w:t>
            </w:r>
          </w:p>
        </w:tc>
        <w:tc>
          <w:tcPr>
            <w:tcW w:w="3449" w:type="pct"/>
          </w:tcPr>
          <w:p w:rsidR="00711C75" w:rsidRPr="00E962C0" w:rsidRDefault="00711C75" w:rsidP="006A0823">
            <w:pPr>
              <w:keepNext/>
              <w:contextualSpacing/>
              <w:rPr>
                <w:rFonts w:cs="Arial"/>
                <w:bCs w:val="0"/>
                <w:szCs w:val="24"/>
              </w:rPr>
            </w:pPr>
            <w:r w:rsidRPr="00E962C0">
              <w:rPr>
                <w:rFonts w:cs="Arial"/>
                <w:szCs w:val="24"/>
              </w:rPr>
              <w:t>Provider</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Frequency of reporting to commissioner</w:t>
            </w:r>
          </w:p>
        </w:tc>
        <w:tc>
          <w:tcPr>
            <w:tcW w:w="3449" w:type="pct"/>
          </w:tcPr>
          <w:p w:rsidR="00711C75" w:rsidRPr="00E962C0" w:rsidRDefault="00711C75" w:rsidP="006A0823">
            <w:pPr>
              <w:keepNext/>
              <w:contextualSpacing/>
              <w:rPr>
                <w:rFonts w:cs="Arial"/>
                <w:bCs w:val="0"/>
                <w:szCs w:val="24"/>
              </w:rPr>
            </w:pPr>
            <w:r w:rsidRPr="00E962C0">
              <w:rPr>
                <w:rFonts w:cs="Arial"/>
                <w:szCs w:val="24"/>
              </w:rPr>
              <w:t>Quarterly</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Baseline period/date</w:t>
            </w:r>
          </w:p>
        </w:tc>
        <w:tc>
          <w:tcPr>
            <w:tcW w:w="3449" w:type="pct"/>
          </w:tcPr>
          <w:p w:rsidR="00711C75" w:rsidRDefault="00662B4D" w:rsidP="006A0823">
            <w:pPr>
              <w:keepNext/>
              <w:contextualSpacing/>
              <w:rPr>
                <w:rFonts w:cs="Arial"/>
                <w:szCs w:val="24"/>
              </w:rPr>
            </w:pPr>
            <w:r>
              <w:rPr>
                <w:rFonts w:cs="Arial"/>
                <w:szCs w:val="24"/>
              </w:rPr>
              <w:t xml:space="preserve">Year 1 - </w:t>
            </w:r>
            <w:r w:rsidR="00711C75" w:rsidRPr="00E962C0">
              <w:rPr>
                <w:rFonts w:cs="Arial"/>
                <w:szCs w:val="24"/>
              </w:rPr>
              <w:t>Q4 2016/17</w:t>
            </w:r>
          </w:p>
          <w:p w:rsidR="00662B4D" w:rsidRPr="00E962C0" w:rsidRDefault="00662B4D" w:rsidP="006A0823">
            <w:pPr>
              <w:keepNext/>
              <w:contextualSpacing/>
              <w:rPr>
                <w:rFonts w:cs="Arial"/>
                <w:bCs w:val="0"/>
                <w:szCs w:val="24"/>
              </w:rPr>
            </w:pPr>
            <w:r>
              <w:rPr>
                <w:rFonts w:cs="Arial"/>
                <w:szCs w:val="24"/>
              </w:rPr>
              <w:t>Year 2 – Q4 2017/18</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Baseline value</w:t>
            </w:r>
          </w:p>
        </w:tc>
        <w:tc>
          <w:tcPr>
            <w:tcW w:w="3449" w:type="pct"/>
          </w:tcPr>
          <w:p w:rsidR="00711C75" w:rsidRPr="00E962C0" w:rsidRDefault="00711C75" w:rsidP="006A0823">
            <w:pPr>
              <w:keepNext/>
              <w:contextualSpacing/>
              <w:rPr>
                <w:rFonts w:cs="Arial"/>
                <w:bCs w:val="0"/>
                <w:szCs w:val="24"/>
              </w:rPr>
            </w:pPr>
            <w:r w:rsidRPr="00E962C0">
              <w:rPr>
                <w:rFonts w:cs="Arial"/>
                <w:szCs w:val="24"/>
              </w:rPr>
              <w:t>See section on payments</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Final indicator period/date (on which payment is based)</w:t>
            </w:r>
          </w:p>
        </w:tc>
        <w:tc>
          <w:tcPr>
            <w:tcW w:w="3449" w:type="pct"/>
          </w:tcPr>
          <w:p w:rsidR="00711C75" w:rsidRPr="00E962C0" w:rsidRDefault="00711C75" w:rsidP="006A0823">
            <w:pPr>
              <w:keepNext/>
              <w:contextualSpacing/>
              <w:rPr>
                <w:rFonts w:cs="Arial"/>
                <w:bCs w:val="0"/>
                <w:szCs w:val="24"/>
              </w:rPr>
            </w:pPr>
            <w:r w:rsidRPr="00E962C0">
              <w:rPr>
                <w:rFonts w:cs="Arial"/>
                <w:szCs w:val="24"/>
              </w:rPr>
              <w:t>See section on payments</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Final indicator value (payment threshold)</w:t>
            </w:r>
          </w:p>
        </w:tc>
        <w:tc>
          <w:tcPr>
            <w:tcW w:w="3449" w:type="pct"/>
          </w:tcPr>
          <w:p w:rsidR="00711C75" w:rsidRPr="00E962C0" w:rsidRDefault="00711C75" w:rsidP="006A0823">
            <w:pPr>
              <w:keepNext/>
              <w:contextualSpacing/>
              <w:rPr>
                <w:rFonts w:cs="Arial"/>
                <w:bCs w:val="0"/>
                <w:szCs w:val="24"/>
              </w:rPr>
            </w:pPr>
            <w:r w:rsidRPr="00E962C0">
              <w:rPr>
                <w:rFonts w:cs="Arial"/>
                <w:szCs w:val="24"/>
              </w:rPr>
              <w:t>See section on payments below for full information</w:t>
            </w:r>
          </w:p>
          <w:p w:rsidR="00711C75" w:rsidRPr="00E962C0" w:rsidRDefault="00711C75" w:rsidP="006A0823">
            <w:pPr>
              <w:keepNext/>
              <w:contextualSpacing/>
              <w:rPr>
                <w:rFonts w:cs="Arial"/>
                <w:bCs w:val="0"/>
                <w:szCs w:val="24"/>
              </w:rPr>
            </w:pPr>
          </w:p>
          <w:p w:rsidR="00711C75" w:rsidRPr="002F00EF" w:rsidRDefault="00711C75" w:rsidP="00114E58">
            <w:pPr>
              <w:keepNext/>
              <w:contextualSpacing/>
              <w:rPr>
                <w:rFonts w:cs="Arial"/>
                <w:bCs w:val="0"/>
                <w:szCs w:val="24"/>
              </w:rPr>
            </w:pPr>
            <w:r w:rsidRPr="00E962C0">
              <w:rPr>
                <w:rFonts w:cs="Arial"/>
                <w:szCs w:val="24"/>
              </w:rPr>
              <w:t xml:space="preserve">Screening – national thresholds have been set for payment based on absolute performance levels. </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 xml:space="preserve">Rules for calculation of payment due at final indicator period/date (including evidence to be </w:t>
            </w:r>
            <w:r w:rsidRPr="00B47AC3">
              <w:rPr>
                <w:rFonts w:cs="Arial"/>
                <w:b/>
                <w:color w:val="000000"/>
              </w:rPr>
              <w:lastRenderedPageBreak/>
              <w:t>supplied to commissioner)</w:t>
            </w:r>
          </w:p>
        </w:tc>
        <w:tc>
          <w:tcPr>
            <w:tcW w:w="3449" w:type="pct"/>
          </w:tcPr>
          <w:p w:rsidR="00711C75" w:rsidRPr="00E962C0" w:rsidRDefault="00711C75" w:rsidP="006A0823">
            <w:pPr>
              <w:keepNext/>
              <w:contextualSpacing/>
              <w:rPr>
                <w:rFonts w:cs="Arial"/>
                <w:bCs w:val="0"/>
                <w:szCs w:val="24"/>
              </w:rPr>
            </w:pPr>
            <w:r w:rsidRPr="00E962C0">
              <w:rPr>
                <w:rFonts w:eastAsia="Calibri" w:cs="Arial"/>
                <w:szCs w:val="24"/>
              </w:rPr>
              <w:lastRenderedPageBreak/>
              <w:t>Yes – see payment section below</w:t>
            </w:r>
          </w:p>
          <w:p w:rsidR="00711C75" w:rsidRPr="00E962C0" w:rsidRDefault="00711C75" w:rsidP="006A0823">
            <w:pPr>
              <w:keepNext/>
              <w:contextualSpacing/>
              <w:rPr>
                <w:rFonts w:cs="Arial"/>
                <w:bCs w:val="0"/>
                <w:szCs w:val="24"/>
              </w:rPr>
            </w:pP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lastRenderedPageBreak/>
              <w:t>Final indicator reporting date</w:t>
            </w:r>
          </w:p>
        </w:tc>
        <w:tc>
          <w:tcPr>
            <w:tcW w:w="3449" w:type="pct"/>
          </w:tcPr>
          <w:p w:rsidR="00711C75" w:rsidRDefault="00662B4D" w:rsidP="006A0823">
            <w:pPr>
              <w:keepNext/>
              <w:contextualSpacing/>
              <w:rPr>
                <w:rFonts w:cs="Arial"/>
                <w:szCs w:val="24"/>
              </w:rPr>
            </w:pPr>
            <w:r>
              <w:rPr>
                <w:rFonts w:cs="Arial"/>
                <w:szCs w:val="24"/>
              </w:rPr>
              <w:t xml:space="preserve">Year 1 - </w:t>
            </w:r>
            <w:r w:rsidR="00711C75" w:rsidRPr="00E962C0">
              <w:rPr>
                <w:rFonts w:cs="Arial"/>
                <w:szCs w:val="24"/>
              </w:rPr>
              <w:t>As soon as possible after Q4 2017/18</w:t>
            </w:r>
          </w:p>
          <w:p w:rsidR="00662B4D" w:rsidRPr="00E962C0" w:rsidRDefault="00662B4D" w:rsidP="006A0823">
            <w:pPr>
              <w:keepNext/>
              <w:contextualSpacing/>
              <w:rPr>
                <w:rFonts w:cs="Arial"/>
                <w:bCs w:val="0"/>
                <w:szCs w:val="24"/>
              </w:rPr>
            </w:pPr>
            <w:r>
              <w:rPr>
                <w:rFonts w:cs="Arial"/>
                <w:bCs w:val="0"/>
                <w:szCs w:val="24"/>
              </w:rPr>
              <w:t xml:space="preserve">Year 2 - </w:t>
            </w:r>
            <w:r w:rsidRPr="00662B4D">
              <w:rPr>
                <w:rFonts w:cs="Arial"/>
                <w:bCs w:val="0"/>
                <w:szCs w:val="24"/>
              </w:rPr>
              <w:t>As soon as possible after Q4 2017/18</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Are there rules for any agreed in-year milestones that result in payment?</w:t>
            </w:r>
          </w:p>
        </w:tc>
        <w:tc>
          <w:tcPr>
            <w:tcW w:w="3449" w:type="pct"/>
          </w:tcPr>
          <w:p w:rsidR="00711C75" w:rsidRPr="00E962C0" w:rsidRDefault="00711C75" w:rsidP="006A0823">
            <w:pPr>
              <w:keepNext/>
              <w:contextualSpacing/>
              <w:rPr>
                <w:rFonts w:cs="Arial"/>
                <w:bCs w:val="0"/>
                <w:szCs w:val="24"/>
              </w:rPr>
            </w:pPr>
            <w:r w:rsidRPr="00E962C0">
              <w:rPr>
                <w:rFonts w:eastAsia="Calibri" w:cs="Arial"/>
                <w:szCs w:val="24"/>
              </w:rPr>
              <w:t>Yes – see payment section below</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Are there any rules for partial achievement of the indicator at the final indicator period/date?</w:t>
            </w:r>
          </w:p>
        </w:tc>
        <w:tc>
          <w:tcPr>
            <w:tcW w:w="3449" w:type="pct"/>
          </w:tcPr>
          <w:p w:rsidR="00711C75" w:rsidRPr="00E962C0" w:rsidRDefault="00711C75" w:rsidP="006A0823">
            <w:pPr>
              <w:keepNext/>
              <w:contextualSpacing/>
              <w:rPr>
                <w:rFonts w:eastAsia="Calibri" w:cs="Arial"/>
                <w:bCs w:val="0"/>
                <w:szCs w:val="24"/>
              </w:rPr>
            </w:pPr>
            <w:r w:rsidRPr="00E962C0">
              <w:rPr>
                <w:rFonts w:eastAsia="Calibri" w:cs="Arial"/>
                <w:szCs w:val="24"/>
              </w:rPr>
              <w:t>Yes – see payment section below</w:t>
            </w:r>
          </w:p>
        </w:tc>
      </w:tr>
      <w:tr w:rsidR="00711C75" w:rsidRPr="00B47AC3" w:rsidTr="006A0823">
        <w:tc>
          <w:tcPr>
            <w:tcW w:w="1551" w:type="pct"/>
          </w:tcPr>
          <w:p w:rsidR="00711C75" w:rsidRPr="00B47AC3" w:rsidRDefault="00711C75" w:rsidP="006A0823">
            <w:pPr>
              <w:spacing w:before="20" w:after="20"/>
              <w:rPr>
                <w:rFonts w:cs="Arial"/>
                <w:b/>
                <w:bCs w:val="0"/>
                <w:color w:val="000000"/>
              </w:rPr>
            </w:pPr>
            <w:r w:rsidRPr="00B47AC3">
              <w:rPr>
                <w:rFonts w:cs="Arial"/>
                <w:b/>
                <w:color w:val="000000"/>
              </w:rPr>
              <w:t>EXIT Route</w:t>
            </w:r>
          </w:p>
        </w:tc>
        <w:tc>
          <w:tcPr>
            <w:tcW w:w="3449" w:type="pct"/>
          </w:tcPr>
          <w:p w:rsidR="00711C75" w:rsidRPr="00E962C0" w:rsidRDefault="00711C75" w:rsidP="006A0823">
            <w:pPr>
              <w:keepNext/>
              <w:contextualSpacing/>
              <w:rPr>
                <w:rFonts w:cs="Arial"/>
                <w:bCs w:val="0"/>
                <w:color w:val="000000"/>
                <w:szCs w:val="24"/>
              </w:rPr>
            </w:pPr>
            <w:r w:rsidRPr="00E962C0">
              <w:rPr>
                <w:rFonts w:cs="Arial"/>
                <w:color w:val="000000"/>
                <w:szCs w:val="24"/>
              </w:rPr>
              <w:t>To be determined locally</w:t>
            </w:r>
          </w:p>
        </w:tc>
      </w:tr>
    </w:tbl>
    <w:p w:rsidR="00711C75" w:rsidRDefault="00711C75" w:rsidP="00711C75">
      <w:pPr>
        <w:rPr>
          <w:lang w:eastAsia="en-GB"/>
        </w:rPr>
      </w:pPr>
    </w:p>
    <w:p w:rsidR="00711C75" w:rsidRDefault="00711C75" w:rsidP="00711C75">
      <w:pPr>
        <w:pStyle w:val="Heading4"/>
        <w:rPr>
          <w:lang w:eastAsia="en-GB"/>
        </w:rPr>
      </w:pPr>
      <w:r w:rsidRPr="00702E87">
        <w:rPr>
          <w:lang w:eastAsia="en-GB"/>
        </w:rPr>
        <w:t>Rules for in-year payments</w:t>
      </w:r>
      <w:r>
        <w:rPr>
          <w:lang w:eastAsia="en-GB"/>
        </w:rPr>
        <w:t xml:space="preserve"> for indicator 2b</w:t>
      </w:r>
      <w:r w:rsidR="00662B4D">
        <w:rPr>
          <w:lang w:eastAsia="en-GB"/>
        </w:rPr>
        <w:t xml:space="preserve"> in 17/18 and 18/19</w:t>
      </w:r>
    </w:p>
    <w:p w:rsidR="00711C75" w:rsidRDefault="00711C75" w:rsidP="00711C75">
      <w:pPr>
        <w:rPr>
          <w:lang w:eastAsia="en-GB"/>
        </w:rPr>
      </w:pPr>
    </w:p>
    <w:p w:rsidR="00711C75" w:rsidRDefault="00711C75" w:rsidP="00711C75">
      <w:pPr>
        <w:rPr>
          <w:b/>
        </w:rPr>
      </w:pPr>
      <w:r w:rsidRPr="00C56BCA">
        <w:rPr>
          <w:b/>
        </w:rPr>
        <w:t>Emergency Department and Acute Inpatient Settings</w:t>
      </w:r>
    </w:p>
    <w:p w:rsidR="00711C75" w:rsidRPr="00C56BCA" w:rsidRDefault="00711C75" w:rsidP="00711C75">
      <w:pPr>
        <w:rPr>
          <w:b/>
        </w:rPr>
      </w:pPr>
    </w:p>
    <w:tbl>
      <w:tblPr>
        <w:tblStyle w:val="TableGrid"/>
        <w:tblW w:w="9039" w:type="dxa"/>
        <w:tblLook w:val="04A0" w:firstRow="1" w:lastRow="0" w:firstColumn="1" w:lastColumn="0" w:noHBand="0" w:noVBand="1"/>
        <w:tblCaption w:val="Emergency Department Setting"/>
        <w:tblDescription w:val="Quarter, Screening, Treatment and day 3 review"/>
      </w:tblPr>
      <w:tblGrid>
        <w:gridCol w:w="2802"/>
        <w:gridCol w:w="1626"/>
        <w:gridCol w:w="4611"/>
      </w:tblGrid>
      <w:tr w:rsidR="00711C75" w:rsidRPr="00761E35" w:rsidTr="006A0823">
        <w:trPr>
          <w:trHeight w:val="268"/>
          <w:tblHeader/>
        </w:trPr>
        <w:tc>
          <w:tcPr>
            <w:tcW w:w="2802" w:type="dxa"/>
            <w:shd w:val="clear" w:color="auto" w:fill="0072C6" w:themeFill="text2"/>
          </w:tcPr>
          <w:p w:rsidR="00711C75" w:rsidRPr="00C56BCA" w:rsidRDefault="00711C75" w:rsidP="006A0823">
            <w:pPr>
              <w:rPr>
                <w:rFonts w:cs="Arial"/>
                <w:b/>
                <w:color w:val="FFFFFF" w:themeColor="background1"/>
              </w:rPr>
            </w:pPr>
            <w:r w:rsidRPr="00C56BCA">
              <w:rPr>
                <w:rFonts w:eastAsiaTheme="minorHAnsi" w:cs="Arial"/>
                <w:b/>
                <w:color w:val="FFFFFF" w:themeColor="background1"/>
              </w:rPr>
              <w:t>Quarter</w:t>
            </w:r>
          </w:p>
        </w:tc>
        <w:tc>
          <w:tcPr>
            <w:tcW w:w="6237" w:type="dxa"/>
            <w:gridSpan w:val="2"/>
            <w:shd w:val="clear" w:color="auto" w:fill="0072C6" w:themeFill="text2"/>
          </w:tcPr>
          <w:p w:rsidR="00711C75" w:rsidRPr="00C56BCA" w:rsidRDefault="00711C75" w:rsidP="006A0823">
            <w:pPr>
              <w:rPr>
                <w:rFonts w:cs="Arial"/>
                <w:b/>
                <w:color w:val="FFFFFF" w:themeColor="background1"/>
              </w:rPr>
            </w:pPr>
            <w:r w:rsidRPr="00C56BCA">
              <w:rPr>
                <w:rFonts w:eastAsiaTheme="minorHAnsi" w:cs="Arial"/>
                <w:b/>
                <w:color w:val="FFFFFF" w:themeColor="background1"/>
              </w:rPr>
              <w:t xml:space="preserve">Timely </w:t>
            </w:r>
            <w:r>
              <w:rPr>
                <w:rFonts w:eastAsiaTheme="minorHAnsi" w:cs="Arial"/>
                <w:b/>
                <w:color w:val="FFFFFF" w:themeColor="background1"/>
              </w:rPr>
              <w:t>treatment</w:t>
            </w:r>
          </w:p>
        </w:tc>
      </w:tr>
      <w:tr w:rsidR="00711C75" w:rsidRPr="00761E35" w:rsidTr="006A0823">
        <w:trPr>
          <w:trHeight w:val="588"/>
        </w:trPr>
        <w:tc>
          <w:tcPr>
            <w:tcW w:w="2802" w:type="dxa"/>
            <w:vMerge w:val="restart"/>
          </w:tcPr>
          <w:p w:rsidR="00711C75" w:rsidRPr="00761E35" w:rsidRDefault="00711C75" w:rsidP="006A0823">
            <w:pPr>
              <w:rPr>
                <w:rFonts w:eastAsiaTheme="minorHAnsi" w:cs="Arial"/>
              </w:rPr>
            </w:pPr>
            <w:r w:rsidRPr="00761E35">
              <w:rPr>
                <w:rFonts w:eastAsiaTheme="minorHAnsi" w:cs="Arial"/>
              </w:rPr>
              <w:t>Q1</w:t>
            </w:r>
          </w:p>
        </w:tc>
        <w:tc>
          <w:tcPr>
            <w:tcW w:w="6237" w:type="dxa"/>
            <w:gridSpan w:val="2"/>
          </w:tcPr>
          <w:p w:rsidR="00711C75" w:rsidRPr="00761E35" w:rsidRDefault="00711C75" w:rsidP="006A0823">
            <w:pPr>
              <w:rPr>
                <w:rFonts w:cs="Arial"/>
                <w:b/>
              </w:rPr>
            </w:pPr>
            <w:r w:rsidRPr="00761E35">
              <w:rPr>
                <w:rFonts w:eastAsiaTheme="minorHAnsi" w:cs="Arial"/>
              </w:rPr>
              <w:t>Payment based on % of patients</w:t>
            </w:r>
            <w:r>
              <w:rPr>
                <w:rFonts w:eastAsiaTheme="minorHAnsi" w:cs="Arial"/>
              </w:rPr>
              <w:t xml:space="preserve"> with sepsis treated within 1 hour</w:t>
            </w:r>
            <w:r w:rsidRPr="00761E35">
              <w:rPr>
                <w:rFonts w:eastAsiaTheme="minorHAnsi" w:cs="Arial"/>
              </w:rPr>
              <w:t xml:space="preserve"> (based on</w:t>
            </w:r>
            <w:r>
              <w:rPr>
                <w:rFonts w:eastAsiaTheme="minorHAnsi" w:cs="Arial"/>
              </w:rPr>
              <w:t xml:space="preserve"> those identified in sample 2a)</w:t>
            </w:r>
          </w:p>
        </w:tc>
      </w:tr>
      <w:tr w:rsidR="00711C75" w:rsidRPr="00761E35" w:rsidTr="006A0823">
        <w:trPr>
          <w:trHeight w:val="383"/>
        </w:trPr>
        <w:tc>
          <w:tcPr>
            <w:tcW w:w="2802" w:type="dxa"/>
            <w:vMerge/>
          </w:tcPr>
          <w:p w:rsidR="00711C75" w:rsidRPr="00761E35" w:rsidRDefault="00711C75" w:rsidP="006A0823">
            <w:pPr>
              <w:rPr>
                <w:rFonts w:cs="Arial"/>
              </w:rPr>
            </w:pPr>
          </w:p>
        </w:tc>
        <w:tc>
          <w:tcPr>
            <w:tcW w:w="1626" w:type="dxa"/>
          </w:tcPr>
          <w:p w:rsidR="00711C75" w:rsidRPr="00761E35" w:rsidRDefault="00711C75" w:rsidP="006A0823">
            <w:pPr>
              <w:rPr>
                <w:rFonts w:cs="Arial"/>
                <w:b/>
              </w:rPr>
            </w:pPr>
            <w:r w:rsidRPr="00761E35">
              <w:rPr>
                <w:rFonts w:eastAsiaTheme="minorHAnsi" w:cs="Arial"/>
                <w:b/>
              </w:rPr>
              <w:t xml:space="preserve">Less than 50.0%: </w:t>
            </w:r>
          </w:p>
        </w:tc>
        <w:tc>
          <w:tcPr>
            <w:tcW w:w="4611" w:type="dxa"/>
          </w:tcPr>
          <w:p w:rsidR="00711C75" w:rsidRPr="00761E35" w:rsidRDefault="00711C75" w:rsidP="006A0823">
            <w:pPr>
              <w:rPr>
                <w:rFonts w:cs="Arial"/>
              </w:rPr>
            </w:pPr>
            <w:r w:rsidRPr="00761E35">
              <w:rPr>
                <w:rFonts w:eastAsiaTheme="minorHAnsi" w:cs="Arial"/>
              </w:rPr>
              <w:t>No payment</w:t>
            </w:r>
          </w:p>
        </w:tc>
      </w:tr>
      <w:tr w:rsidR="00711C75" w:rsidRPr="00761E35" w:rsidTr="006A0823">
        <w:trPr>
          <w:trHeight w:val="276"/>
        </w:trPr>
        <w:tc>
          <w:tcPr>
            <w:tcW w:w="2802" w:type="dxa"/>
            <w:vMerge/>
          </w:tcPr>
          <w:p w:rsidR="00711C75" w:rsidRPr="00761E35" w:rsidRDefault="00711C75" w:rsidP="006A0823">
            <w:pPr>
              <w:rPr>
                <w:rFonts w:cs="Arial"/>
              </w:rPr>
            </w:pPr>
          </w:p>
        </w:tc>
        <w:tc>
          <w:tcPr>
            <w:tcW w:w="1626" w:type="dxa"/>
          </w:tcPr>
          <w:p w:rsidR="00711C75" w:rsidRPr="00761E35" w:rsidRDefault="00711C75" w:rsidP="006A0823">
            <w:pPr>
              <w:rPr>
                <w:rFonts w:cs="Arial"/>
                <w:b/>
              </w:rPr>
            </w:pPr>
            <w:r w:rsidRPr="00761E35">
              <w:rPr>
                <w:rFonts w:eastAsiaTheme="minorHAnsi" w:cs="Arial"/>
                <w:b/>
              </w:rPr>
              <w:t xml:space="preserve">50.0%-89.9%: </w:t>
            </w:r>
          </w:p>
        </w:tc>
        <w:tc>
          <w:tcPr>
            <w:tcW w:w="4611" w:type="dxa"/>
          </w:tcPr>
          <w:p w:rsidR="00711C75" w:rsidRPr="00761E35" w:rsidRDefault="00711C75" w:rsidP="006A0823">
            <w:pPr>
              <w:rPr>
                <w:rFonts w:cs="Arial"/>
              </w:rPr>
            </w:pPr>
            <w:r w:rsidRPr="00737430">
              <w:rPr>
                <w:rFonts w:eastAsiaTheme="minorHAnsi" w:cs="Arial"/>
              </w:rPr>
              <w:t>5.0</w:t>
            </w:r>
            <w:r>
              <w:rPr>
                <w:rFonts w:eastAsiaTheme="minorHAnsi" w:cs="Arial"/>
              </w:rPr>
              <w:t>%</w:t>
            </w:r>
          </w:p>
        </w:tc>
      </w:tr>
      <w:tr w:rsidR="00711C75" w:rsidRPr="00761E35" w:rsidTr="006A0823">
        <w:trPr>
          <w:trHeight w:val="406"/>
        </w:trPr>
        <w:tc>
          <w:tcPr>
            <w:tcW w:w="2802" w:type="dxa"/>
            <w:vMerge/>
          </w:tcPr>
          <w:p w:rsidR="00711C75" w:rsidRPr="00761E35" w:rsidRDefault="00711C75" w:rsidP="006A0823">
            <w:pPr>
              <w:rPr>
                <w:rFonts w:cs="Arial"/>
              </w:rPr>
            </w:pPr>
          </w:p>
        </w:tc>
        <w:tc>
          <w:tcPr>
            <w:tcW w:w="1626" w:type="dxa"/>
          </w:tcPr>
          <w:p w:rsidR="00711C75" w:rsidRPr="00761E35" w:rsidRDefault="00711C75" w:rsidP="006A0823">
            <w:pPr>
              <w:rPr>
                <w:rFonts w:cs="Arial"/>
              </w:rPr>
            </w:pPr>
            <w:r w:rsidRPr="00761E35">
              <w:rPr>
                <w:rFonts w:eastAsiaTheme="minorHAnsi" w:cs="Arial"/>
                <w:b/>
              </w:rPr>
              <w:t xml:space="preserve">90.0% or above: </w:t>
            </w:r>
          </w:p>
        </w:tc>
        <w:tc>
          <w:tcPr>
            <w:tcW w:w="4611" w:type="dxa"/>
          </w:tcPr>
          <w:p w:rsidR="00711C75" w:rsidRPr="00761E35" w:rsidRDefault="00711C75" w:rsidP="006A0823">
            <w:pPr>
              <w:rPr>
                <w:rFonts w:cs="Arial"/>
              </w:rPr>
            </w:pPr>
            <w:r>
              <w:rPr>
                <w:rFonts w:eastAsiaTheme="minorHAnsi" w:cs="Arial"/>
              </w:rPr>
              <w:t>12.5%</w:t>
            </w:r>
          </w:p>
        </w:tc>
      </w:tr>
      <w:tr w:rsidR="00711C75" w:rsidRPr="00761E35" w:rsidTr="006A0823">
        <w:trPr>
          <w:trHeight w:val="281"/>
        </w:trPr>
        <w:tc>
          <w:tcPr>
            <w:tcW w:w="2802" w:type="dxa"/>
          </w:tcPr>
          <w:p w:rsidR="00711C75" w:rsidRPr="00761E35" w:rsidRDefault="00711C75" w:rsidP="006A0823">
            <w:pPr>
              <w:rPr>
                <w:rFonts w:eastAsiaTheme="minorHAnsi" w:cs="Arial"/>
              </w:rPr>
            </w:pPr>
            <w:r w:rsidRPr="00761E35">
              <w:rPr>
                <w:rFonts w:eastAsiaTheme="minorHAnsi" w:cs="Arial"/>
              </w:rPr>
              <w:t>Q2</w:t>
            </w:r>
          </w:p>
        </w:tc>
        <w:tc>
          <w:tcPr>
            <w:tcW w:w="6237" w:type="dxa"/>
            <w:gridSpan w:val="2"/>
          </w:tcPr>
          <w:p w:rsidR="00711C75" w:rsidRPr="00761E35" w:rsidRDefault="00711C75" w:rsidP="006A0823">
            <w:pPr>
              <w:rPr>
                <w:rFonts w:cs="Arial"/>
                <w:b/>
              </w:rPr>
            </w:pPr>
            <w:r w:rsidRPr="00761E35">
              <w:rPr>
                <w:rFonts w:eastAsiaTheme="minorHAnsi" w:cs="Arial"/>
              </w:rPr>
              <w:t>As Q1</w:t>
            </w:r>
          </w:p>
        </w:tc>
      </w:tr>
      <w:tr w:rsidR="00711C75" w:rsidRPr="00761E35" w:rsidTr="006A0823">
        <w:trPr>
          <w:trHeight w:val="247"/>
        </w:trPr>
        <w:tc>
          <w:tcPr>
            <w:tcW w:w="2802" w:type="dxa"/>
          </w:tcPr>
          <w:p w:rsidR="00711C75" w:rsidRPr="00761E35" w:rsidRDefault="00711C75" w:rsidP="006A0823">
            <w:pPr>
              <w:rPr>
                <w:rFonts w:eastAsiaTheme="minorHAnsi" w:cs="Arial"/>
              </w:rPr>
            </w:pPr>
            <w:r w:rsidRPr="00761E35">
              <w:rPr>
                <w:rFonts w:eastAsiaTheme="minorHAnsi" w:cs="Arial"/>
              </w:rPr>
              <w:t>Q3</w:t>
            </w:r>
          </w:p>
        </w:tc>
        <w:tc>
          <w:tcPr>
            <w:tcW w:w="6237" w:type="dxa"/>
            <w:gridSpan w:val="2"/>
          </w:tcPr>
          <w:p w:rsidR="00711C75" w:rsidRPr="00761E35" w:rsidRDefault="00711C75" w:rsidP="006A0823">
            <w:pPr>
              <w:rPr>
                <w:rFonts w:cs="Arial"/>
                <w:b/>
              </w:rPr>
            </w:pPr>
            <w:r w:rsidRPr="00761E35">
              <w:rPr>
                <w:rFonts w:eastAsiaTheme="minorHAnsi" w:cs="Arial"/>
              </w:rPr>
              <w:t>As Q1</w:t>
            </w:r>
          </w:p>
        </w:tc>
      </w:tr>
      <w:tr w:rsidR="00711C75" w:rsidRPr="00761E35" w:rsidTr="006A0823">
        <w:trPr>
          <w:trHeight w:val="251"/>
        </w:trPr>
        <w:tc>
          <w:tcPr>
            <w:tcW w:w="2802" w:type="dxa"/>
          </w:tcPr>
          <w:p w:rsidR="00711C75" w:rsidRPr="00761E35" w:rsidRDefault="00711C75" w:rsidP="006A0823">
            <w:pPr>
              <w:rPr>
                <w:rFonts w:eastAsiaTheme="minorHAnsi" w:cs="Arial"/>
              </w:rPr>
            </w:pPr>
            <w:r w:rsidRPr="00761E35">
              <w:rPr>
                <w:rFonts w:eastAsiaTheme="minorHAnsi" w:cs="Arial"/>
              </w:rPr>
              <w:t>Q4</w:t>
            </w:r>
          </w:p>
        </w:tc>
        <w:tc>
          <w:tcPr>
            <w:tcW w:w="6237" w:type="dxa"/>
            <w:gridSpan w:val="2"/>
          </w:tcPr>
          <w:p w:rsidR="00711C75" w:rsidRPr="00761E35" w:rsidRDefault="00711C75" w:rsidP="006A0823">
            <w:pPr>
              <w:rPr>
                <w:rFonts w:cs="Arial"/>
                <w:b/>
              </w:rPr>
            </w:pPr>
            <w:r w:rsidRPr="00761E35">
              <w:rPr>
                <w:rFonts w:eastAsiaTheme="minorHAnsi" w:cs="Arial"/>
              </w:rPr>
              <w:t>As Q1</w:t>
            </w:r>
          </w:p>
        </w:tc>
      </w:tr>
      <w:tr w:rsidR="00711C75" w:rsidRPr="00761E35" w:rsidTr="006A0823">
        <w:trPr>
          <w:trHeight w:val="896"/>
        </w:trPr>
        <w:tc>
          <w:tcPr>
            <w:tcW w:w="2802" w:type="dxa"/>
          </w:tcPr>
          <w:p w:rsidR="00711C75" w:rsidRPr="00761E35" w:rsidRDefault="00711C75" w:rsidP="006A0823">
            <w:pPr>
              <w:rPr>
                <w:rFonts w:cs="Arial"/>
                <w:b/>
              </w:rPr>
            </w:pPr>
            <w:r w:rsidRPr="00761E35">
              <w:rPr>
                <w:rFonts w:eastAsiaTheme="minorHAnsi" w:cs="Arial"/>
                <w:b/>
              </w:rPr>
              <w:t xml:space="preserve">Full year – </w:t>
            </w:r>
            <w:r>
              <w:rPr>
                <w:rFonts w:eastAsiaTheme="minorHAnsi" w:cs="Arial"/>
                <w:b/>
              </w:rPr>
              <w:t xml:space="preserve">% of indicator weighting </w:t>
            </w:r>
            <w:r w:rsidRPr="00761E35">
              <w:rPr>
                <w:rFonts w:eastAsiaTheme="minorHAnsi" w:cs="Arial"/>
                <w:b/>
              </w:rPr>
              <w:t>available</w:t>
            </w:r>
          </w:p>
        </w:tc>
        <w:tc>
          <w:tcPr>
            <w:tcW w:w="6237" w:type="dxa"/>
            <w:gridSpan w:val="2"/>
          </w:tcPr>
          <w:p w:rsidR="00711C75" w:rsidRPr="00761E35" w:rsidRDefault="00711C75" w:rsidP="006A0823">
            <w:pPr>
              <w:jc w:val="right"/>
              <w:rPr>
                <w:rFonts w:cs="Arial"/>
                <w:b/>
              </w:rPr>
            </w:pPr>
            <w:r>
              <w:rPr>
                <w:rFonts w:eastAsiaTheme="minorHAnsi" w:cs="Arial"/>
                <w:b/>
              </w:rPr>
              <w:t xml:space="preserve"> </w:t>
            </w:r>
            <w:r w:rsidRPr="00AD69B8">
              <w:rPr>
                <w:rFonts w:eastAsiaTheme="minorHAnsi" w:cs="Arial"/>
                <w:b/>
              </w:rPr>
              <w:t>(max)</w:t>
            </w:r>
          </w:p>
        </w:tc>
      </w:tr>
    </w:tbl>
    <w:p w:rsidR="00711C75" w:rsidRDefault="00711C75" w:rsidP="00711C75">
      <w:pPr>
        <w:rPr>
          <w:lang w:eastAsia="en-GB"/>
        </w:rPr>
      </w:pPr>
    </w:p>
    <w:p w:rsidR="00711C75" w:rsidRDefault="00711C75" w:rsidP="00711C75">
      <w:pPr>
        <w:pStyle w:val="Heading4"/>
        <w:rPr>
          <w:lang w:eastAsia="en-GB"/>
        </w:rPr>
      </w:pPr>
      <w:r w:rsidRPr="00702E87">
        <w:rPr>
          <w:lang w:eastAsia="en-GB"/>
        </w:rPr>
        <w:t>Supporting Guidance and References</w:t>
      </w:r>
    </w:p>
    <w:p w:rsidR="00711C75" w:rsidRDefault="00711C75" w:rsidP="00711C75">
      <w:pPr>
        <w:rPr>
          <w:lang w:eastAsia="en-GB"/>
        </w:rPr>
      </w:pPr>
    </w:p>
    <w:p w:rsidR="00711C75" w:rsidRPr="00C56BCA" w:rsidRDefault="00711C75" w:rsidP="00711C75">
      <w:pPr>
        <w:rPr>
          <w:b/>
          <w:color w:val="A00054"/>
        </w:rPr>
      </w:pPr>
      <w:r w:rsidRPr="00C56BCA">
        <w:rPr>
          <w:b/>
        </w:rPr>
        <w:t>Key Components of Local Protocols</w:t>
      </w:r>
    </w:p>
    <w:p w:rsidR="00711C75" w:rsidRDefault="00711C75" w:rsidP="00711C75">
      <w:pPr>
        <w:rPr>
          <w:rFonts w:cs="Arial"/>
        </w:rPr>
      </w:pPr>
    </w:p>
    <w:p w:rsidR="00711C75" w:rsidRDefault="00711C75" w:rsidP="00711C75">
      <w:pPr>
        <w:rPr>
          <w:rFonts w:cs="Arial"/>
          <w:bCs w:val="0"/>
        </w:rPr>
      </w:pPr>
      <w:r>
        <w:rPr>
          <w:rFonts w:cs="Arial"/>
        </w:rPr>
        <w:t xml:space="preserve">Following the publication of the NICE guidance in 2016 on </w:t>
      </w:r>
      <w:r w:rsidRPr="00852081">
        <w:rPr>
          <w:rFonts w:cs="Arial"/>
          <w:i/>
        </w:rPr>
        <w:t>Sepsis: recognition, diagnosis and early management</w:t>
      </w:r>
      <w:r>
        <w:rPr>
          <w:rFonts w:cs="Arial"/>
        </w:rPr>
        <w:t xml:space="preserve"> [NG51] providers should ensure their protocols follow this guidance</w:t>
      </w:r>
    </w:p>
    <w:p w:rsidR="00711C75" w:rsidRDefault="00711C75" w:rsidP="00711C75">
      <w:pPr>
        <w:rPr>
          <w:rFonts w:cs="Arial"/>
          <w:bCs w:val="0"/>
        </w:rPr>
      </w:pPr>
    </w:p>
    <w:p w:rsidR="00711C75" w:rsidRDefault="0023312F" w:rsidP="00711C75">
      <w:pPr>
        <w:rPr>
          <w:rFonts w:cs="Arial"/>
          <w:bCs w:val="0"/>
        </w:rPr>
      </w:pPr>
      <w:hyperlink r:id="rId22" w:history="1">
        <w:r w:rsidR="00711C75" w:rsidRPr="00115056">
          <w:rPr>
            <w:rStyle w:val="Hyperlink"/>
            <w:rFonts w:cs="Arial"/>
          </w:rPr>
          <w:t>https://www.nice.org.uk/guidance/ng51</w:t>
        </w:r>
      </w:hyperlink>
    </w:p>
    <w:p w:rsidR="00711C75" w:rsidRDefault="00711C75" w:rsidP="00711C75">
      <w:pPr>
        <w:rPr>
          <w:rFonts w:cs="Arial"/>
          <w:bCs w:val="0"/>
        </w:rPr>
      </w:pPr>
    </w:p>
    <w:p w:rsidR="00711C75" w:rsidRPr="00B47AC3" w:rsidRDefault="00711C75" w:rsidP="00711C75">
      <w:pPr>
        <w:rPr>
          <w:rFonts w:cs="Arial"/>
          <w:bCs w:val="0"/>
        </w:rPr>
      </w:pPr>
      <w:r>
        <w:rPr>
          <w:rFonts w:cs="Arial"/>
        </w:rPr>
        <w:t>P</w:t>
      </w:r>
      <w:r w:rsidRPr="00B47AC3">
        <w:rPr>
          <w:rFonts w:cs="Arial"/>
        </w:rPr>
        <w:t xml:space="preserve">roviders should be mindful of the tools to support screening and management of Sepsis </w:t>
      </w:r>
      <w:r w:rsidRPr="00E35CF9">
        <w:rPr>
          <w:rFonts w:cs="Arial"/>
          <w:color w:val="0070C0"/>
        </w:rPr>
        <w:t xml:space="preserve">at </w:t>
      </w:r>
      <w:hyperlink r:id="rId23" w:history="1">
        <w:r w:rsidRPr="00E35CF9">
          <w:rPr>
            <w:rFonts w:cs="Arial"/>
            <w:color w:val="0070C0"/>
            <w:u w:val="single"/>
          </w:rPr>
          <w:t>http://sepsistrust.org/clinical-toolkit</w:t>
        </w:r>
      </w:hyperlink>
      <w:r w:rsidRPr="00E35CF9">
        <w:rPr>
          <w:rFonts w:cs="Arial"/>
          <w:color w:val="0070C0"/>
        </w:rPr>
        <w:t xml:space="preserve">. </w:t>
      </w:r>
    </w:p>
    <w:p w:rsidR="00711C75" w:rsidRPr="00B47AC3" w:rsidRDefault="00711C75" w:rsidP="00711C75">
      <w:pPr>
        <w:rPr>
          <w:rFonts w:cs="Arial"/>
          <w:bCs w:val="0"/>
        </w:rPr>
      </w:pPr>
    </w:p>
    <w:p w:rsidR="00711C75" w:rsidRPr="00C56BCA" w:rsidRDefault="00711C75" w:rsidP="00711C75">
      <w:pPr>
        <w:rPr>
          <w:b/>
          <w:iCs/>
        </w:rPr>
      </w:pPr>
      <w:r w:rsidRPr="00C56BCA">
        <w:rPr>
          <w:b/>
        </w:rPr>
        <w:t>Appropriate tools for sepsis s</w:t>
      </w:r>
      <w:r w:rsidRPr="00C56BCA">
        <w:rPr>
          <w:b/>
          <w:iCs/>
        </w:rPr>
        <w:t>creening</w:t>
      </w:r>
    </w:p>
    <w:p w:rsidR="00711C75" w:rsidRDefault="00711C75" w:rsidP="00711C75">
      <w:pPr>
        <w:rPr>
          <w:rFonts w:cs="Arial"/>
          <w:color w:val="000000"/>
        </w:rPr>
      </w:pPr>
    </w:p>
    <w:p w:rsidR="00711C75" w:rsidRPr="00B47AC3" w:rsidRDefault="00711C75" w:rsidP="00711C75">
      <w:pPr>
        <w:rPr>
          <w:rFonts w:cs="Arial"/>
          <w:bCs w:val="0"/>
        </w:rPr>
      </w:pPr>
      <w:r w:rsidRPr="00B47AC3">
        <w:rPr>
          <w:rFonts w:cs="Arial"/>
          <w:color w:val="000000"/>
        </w:rPr>
        <w:t xml:space="preserve">Tools used should be either </w:t>
      </w:r>
      <w:proofErr w:type="gramStart"/>
      <w:r w:rsidRPr="00B47AC3">
        <w:rPr>
          <w:rFonts w:cs="Arial"/>
          <w:color w:val="000000"/>
        </w:rPr>
        <w:t>those</w:t>
      </w:r>
      <w:proofErr w:type="gramEnd"/>
      <w:r w:rsidRPr="00B47AC3">
        <w:rPr>
          <w:rFonts w:cs="Arial"/>
          <w:color w:val="000000"/>
        </w:rPr>
        <w:t xml:space="preserve"> produced in conjunction with relevant professional bodies at: </w:t>
      </w:r>
      <w:hyperlink r:id="rId24" w:history="1">
        <w:r w:rsidRPr="00E35CF9">
          <w:rPr>
            <w:rFonts w:cs="Arial"/>
            <w:color w:val="0070C0"/>
            <w:u w:val="single"/>
          </w:rPr>
          <w:t>http://sepsistrust.org/clinical-toolkit</w:t>
        </w:r>
      </w:hyperlink>
      <w:r w:rsidRPr="00E35CF9">
        <w:rPr>
          <w:rFonts w:cs="Arial"/>
          <w:color w:val="0070C0"/>
        </w:rPr>
        <w:t xml:space="preserve"> </w:t>
      </w:r>
      <w:r w:rsidRPr="00B47AC3">
        <w:rPr>
          <w:rFonts w:cs="Arial"/>
          <w:color w:val="000000"/>
        </w:rPr>
        <w:t xml:space="preserve">or equivalents that conform to the International Consensus Definitions modified by the Surviving Sepsis Campaign on recognition and diagnosis of sepsis available </w:t>
      </w:r>
      <w:r w:rsidRPr="00E35CF9">
        <w:rPr>
          <w:rFonts w:cs="Arial"/>
          <w:color w:val="0070C0"/>
        </w:rPr>
        <w:t xml:space="preserve">at </w:t>
      </w:r>
      <w:hyperlink r:id="rId25" w:history="1">
        <w:r w:rsidRPr="00E35CF9">
          <w:rPr>
            <w:rFonts w:cs="Arial"/>
            <w:color w:val="0070C0"/>
            <w:u w:val="single"/>
          </w:rPr>
          <w:t>http://ccforum.com/content/supplementary/cc11895-s2.pdf</w:t>
        </w:r>
      </w:hyperlink>
      <w:r w:rsidRPr="00B47AC3">
        <w:rPr>
          <w:rFonts w:cs="Arial"/>
        </w:rPr>
        <w:t xml:space="preserve">. </w:t>
      </w:r>
    </w:p>
    <w:p w:rsidR="00711C75" w:rsidRPr="00B47AC3" w:rsidRDefault="00711C75" w:rsidP="00711C75">
      <w:pPr>
        <w:rPr>
          <w:rFonts w:cs="Arial"/>
          <w:bCs w:val="0"/>
        </w:rPr>
      </w:pPr>
    </w:p>
    <w:p w:rsidR="00711C75" w:rsidRPr="00B47AC3" w:rsidRDefault="00711C75" w:rsidP="00711C75">
      <w:pPr>
        <w:rPr>
          <w:rFonts w:cs="Arial"/>
          <w:bCs w:val="0"/>
        </w:rPr>
      </w:pPr>
      <w:r w:rsidRPr="00B47AC3">
        <w:rPr>
          <w:rFonts w:cs="Arial"/>
        </w:rPr>
        <w:t xml:space="preserve">There are other examples of tools for suitable use in inpatient services at: </w:t>
      </w:r>
      <w:hyperlink r:id="rId26" w:history="1">
        <w:r w:rsidRPr="00E35CF9">
          <w:rPr>
            <w:rFonts w:cs="Arial"/>
            <w:color w:val="0070C0"/>
            <w:u w:val="single"/>
          </w:rPr>
          <w:t>http://sepsistrust.org/professional/professional-resources/</w:t>
        </w:r>
      </w:hyperlink>
    </w:p>
    <w:p w:rsidR="00711C75" w:rsidRPr="00B47AC3" w:rsidRDefault="00711C75" w:rsidP="00711C75">
      <w:pPr>
        <w:rPr>
          <w:rFonts w:cs="Arial"/>
          <w:bCs w:val="0"/>
        </w:rPr>
      </w:pPr>
    </w:p>
    <w:p w:rsidR="00711C75" w:rsidRDefault="00711C75" w:rsidP="00711C75">
      <w:pPr>
        <w:pStyle w:val="Heading4"/>
        <w:rPr>
          <w:lang w:eastAsia="en-GB"/>
        </w:rPr>
      </w:pPr>
      <w:r w:rsidRPr="00B942E6">
        <w:t>Suggested Format for Local Data Collection</w:t>
      </w:r>
    </w:p>
    <w:p w:rsidR="00711C75" w:rsidRDefault="00711C75" w:rsidP="00711C75">
      <w:pPr>
        <w:rPr>
          <w:lang w:eastAsia="en-GB"/>
        </w:rPr>
      </w:pPr>
    </w:p>
    <w:p w:rsidR="00711C75" w:rsidRDefault="00711C75" w:rsidP="00711C75">
      <w:pPr>
        <w:rPr>
          <w:b/>
        </w:rPr>
      </w:pPr>
      <w:r>
        <w:rPr>
          <w:b/>
        </w:rPr>
        <w:t>Sepsis treatment in Emergency Departments and acute inpatient settings</w:t>
      </w:r>
    </w:p>
    <w:p w:rsidR="00711C75" w:rsidRPr="00C56BCA" w:rsidRDefault="00711C75" w:rsidP="00711C75">
      <w:pPr>
        <w:rPr>
          <w:rFonts w:cs="Arial"/>
          <w:b/>
        </w:rPr>
      </w:pPr>
    </w:p>
    <w:p w:rsidR="00711C75" w:rsidRDefault="00711C75" w:rsidP="00711C75">
      <w:pPr>
        <w:rPr>
          <w:rFonts w:cs="Arial"/>
        </w:rPr>
      </w:pPr>
      <w:proofErr w:type="gramStart"/>
      <w:r w:rsidRPr="00B47AC3">
        <w:rPr>
          <w:rFonts w:cs="Arial"/>
          <w:b/>
        </w:rPr>
        <w:t>N.B.</w:t>
      </w:r>
      <w:proofErr w:type="gramEnd"/>
      <w:r w:rsidRPr="00B47AC3">
        <w:rPr>
          <w:rFonts w:cs="Arial"/>
        </w:rPr>
        <w:t xml:space="preserve"> These could be separately collated for adults and for children and then stated as a final total (although also setting out the adult and child totals) </w:t>
      </w:r>
    </w:p>
    <w:p w:rsidR="00711C75" w:rsidRDefault="00711C75" w:rsidP="00711C75">
      <w:pPr>
        <w:rPr>
          <w:rFonts w:cs="Arial"/>
        </w:rPr>
      </w:pPr>
      <w:r>
        <w:rPr>
          <w:rFonts w:cs="Arial"/>
        </w:rPr>
        <w:t>This table can be combined with the tables in indicator 2a.</w:t>
      </w:r>
    </w:p>
    <w:p w:rsidR="00711C75" w:rsidRDefault="00711C75" w:rsidP="00711C75">
      <w:pPr>
        <w:rPr>
          <w:rFonts w:cs="Arial"/>
        </w:rPr>
      </w:pPr>
    </w:p>
    <w:tbl>
      <w:tblPr>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379"/>
        <w:gridCol w:w="2687"/>
        <w:gridCol w:w="2770"/>
      </w:tblGrid>
      <w:tr w:rsidR="00711C75" w:rsidRPr="00B47AC3" w:rsidTr="000E28AE">
        <w:trPr>
          <w:trHeight w:val="960"/>
        </w:trPr>
        <w:tc>
          <w:tcPr>
            <w:tcW w:w="990" w:type="dxa"/>
            <w:shd w:val="clear" w:color="auto" w:fill="0070C0"/>
          </w:tcPr>
          <w:p w:rsidR="00711C75" w:rsidRPr="00B47AC3" w:rsidRDefault="00711C75" w:rsidP="006A0823">
            <w:pPr>
              <w:rPr>
                <w:rFonts w:cs="Arial"/>
                <w:bCs w:val="0"/>
                <w:color w:val="FFFFFF"/>
              </w:rPr>
            </w:pPr>
          </w:p>
        </w:tc>
        <w:tc>
          <w:tcPr>
            <w:tcW w:w="2379" w:type="dxa"/>
            <w:shd w:val="clear" w:color="auto" w:fill="0070C0"/>
          </w:tcPr>
          <w:p w:rsidR="00711C75" w:rsidRPr="00B47AC3" w:rsidRDefault="00711C75" w:rsidP="006A0823">
            <w:pPr>
              <w:rPr>
                <w:rFonts w:cs="Arial"/>
                <w:b/>
                <w:bCs w:val="0"/>
                <w:color w:val="FFFFFF"/>
              </w:rPr>
            </w:pPr>
            <w:r w:rsidRPr="00B47AC3">
              <w:rPr>
                <w:rFonts w:cs="Arial"/>
                <w:b/>
                <w:color w:val="FFFFFF"/>
              </w:rPr>
              <w:t>Tick column below if the patient NEEDED sepsis screening according to the local protocol and RECEIVED sepsis screening</w:t>
            </w:r>
          </w:p>
        </w:tc>
        <w:tc>
          <w:tcPr>
            <w:tcW w:w="2687" w:type="dxa"/>
            <w:shd w:val="clear" w:color="auto" w:fill="0070C0"/>
          </w:tcPr>
          <w:p w:rsidR="00711C75" w:rsidRPr="00B47AC3" w:rsidRDefault="00711C75" w:rsidP="006A0823">
            <w:pPr>
              <w:rPr>
                <w:rFonts w:cs="Arial"/>
                <w:b/>
                <w:bCs w:val="0"/>
                <w:color w:val="FFFFFF"/>
              </w:rPr>
            </w:pPr>
            <w:r>
              <w:rPr>
                <w:rFonts w:cs="Arial"/>
                <w:b/>
                <w:bCs w:val="0"/>
                <w:color w:val="FFFFFF"/>
              </w:rPr>
              <w:t xml:space="preserve">Tick column below if the patient was diagnosed with sepsis and received IV antibiotics within 1 hour of diagnosis </w:t>
            </w:r>
          </w:p>
        </w:tc>
        <w:tc>
          <w:tcPr>
            <w:tcW w:w="2770" w:type="dxa"/>
            <w:shd w:val="clear" w:color="auto" w:fill="0070C0"/>
          </w:tcPr>
          <w:p w:rsidR="00711C75" w:rsidRPr="00B47AC3" w:rsidRDefault="00711C75" w:rsidP="006A0823">
            <w:pPr>
              <w:rPr>
                <w:rFonts w:cs="Arial"/>
                <w:b/>
                <w:bCs w:val="0"/>
                <w:color w:val="FFFFFF"/>
              </w:rPr>
            </w:pPr>
            <w:r>
              <w:rPr>
                <w:rFonts w:cs="Arial"/>
                <w:b/>
                <w:bCs w:val="0"/>
                <w:color w:val="FFFFFF"/>
              </w:rPr>
              <w:t>Tick column below if the patient was diagnosed with sepsis and did not receive IV antibiotics within 1 hour of diagnosis</w:t>
            </w:r>
          </w:p>
        </w:tc>
      </w:tr>
      <w:tr w:rsidR="00711C75" w:rsidRPr="00B47AC3" w:rsidTr="000E28AE">
        <w:trPr>
          <w:trHeight w:val="236"/>
        </w:trPr>
        <w:tc>
          <w:tcPr>
            <w:tcW w:w="990" w:type="dxa"/>
            <w:shd w:val="clear" w:color="auto" w:fill="auto"/>
          </w:tcPr>
          <w:p w:rsidR="00711C75" w:rsidRPr="00B47AC3" w:rsidRDefault="00711C75" w:rsidP="006A0823">
            <w:pPr>
              <w:ind w:left="360"/>
              <w:rPr>
                <w:rFonts w:cs="Arial"/>
                <w:bCs w:val="0"/>
              </w:rPr>
            </w:pPr>
            <w:r w:rsidRPr="00B47AC3">
              <w:rPr>
                <w:rFonts w:cs="Arial"/>
              </w:rPr>
              <w:t>1.</w:t>
            </w:r>
          </w:p>
        </w:tc>
        <w:tc>
          <w:tcPr>
            <w:tcW w:w="2379" w:type="dxa"/>
            <w:shd w:val="clear" w:color="auto" w:fill="auto"/>
          </w:tcPr>
          <w:p w:rsidR="00711C75" w:rsidRPr="00B47AC3" w:rsidRDefault="00711C75" w:rsidP="006A0823">
            <w:pPr>
              <w:rPr>
                <w:rFonts w:cs="Arial"/>
                <w:bCs w:val="0"/>
              </w:rPr>
            </w:pPr>
          </w:p>
        </w:tc>
        <w:tc>
          <w:tcPr>
            <w:tcW w:w="2687" w:type="dxa"/>
            <w:shd w:val="clear" w:color="auto" w:fill="auto"/>
          </w:tcPr>
          <w:p w:rsidR="00711C75" w:rsidRPr="00B47AC3" w:rsidRDefault="00711C75" w:rsidP="006A0823">
            <w:pPr>
              <w:rPr>
                <w:rFonts w:cs="Arial"/>
                <w:bCs w:val="0"/>
              </w:rPr>
            </w:pPr>
          </w:p>
        </w:tc>
        <w:tc>
          <w:tcPr>
            <w:tcW w:w="2770" w:type="dxa"/>
            <w:shd w:val="clear" w:color="auto" w:fill="auto"/>
          </w:tcPr>
          <w:p w:rsidR="00711C75" w:rsidRPr="00B47AC3" w:rsidRDefault="00711C75" w:rsidP="006A0823">
            <w:pPr>
              <w:rPr>
                <w:rFonts w:cs="Arial"/>
                <w:bCs w:val="0"/>
              </w:rPr>
            </w:pPr>
          </w:p>
        </w:tc>
      </w:tr>
      <w:tr w:rsidR="00711C75" w:rsidRPr="00B47AC3" w:rsidTr="000E28AE">
        <w:trPr>
          <w:trHeight w:val="236"/>
        </w:trPr>
        <w:tc>
          <w:tcPr>
            <w:tcW w:w="990" w:type="dxa"/>
            <w:shd w:val="clear" w:color="auto" w:fill="auto"/>
          </w:tcPr>
          <w:p w:rsidR="00711C75" w:rsidRPr="00B47AC3" w:rsidRDefault="00711C75" w:rsidP="006A0823">
            <w:pPr>
              <w:ind w:left="360"/>
              <w:rPr>
                <w:rFonts w:cs="Arial"/>
                <w:bCs w:val="0"/>
              </w:rPr>
            </w:pPr>
            <w:r w:rsidRPr="00B47AC3">
              <w:rPr>
                <w:rFonts w:cs="Arial"/>
              </w:rPr>
              <w:t>2.</w:t>
            </w:r>
          </w:p>
        </w:tc>
        <w:tc>
          <w:tcPr>
            <w:tcW w:w="2379" w:type="dxa"/>
            <w:shd w:val="clear" w:color="auto" w:fill="auto"/>
          </w:tcPr>
          <w:p w:rsidR="00711C75" w:rsidRPr="00B47AC3" w:rsidRDefault="00711C75" w:rsidP="006A0823">
            <w:pPr>
              <w:rPr>
                <w:rFonts w:cs="Arial"/>
                <w:bCs w:val="0"/>
              </w:rPr>
            </w:pPr>
          </w:p>
        </w:tc>
        <w:tc>
          <w:tcPr>
            <w:tcW w:w="2687" w:type="dxa"/>
            <w:shd w:val="clear" w:color="auto" w:fill="auto"/>
          </w:tcPr>
          <w:p w:rsidR="00711C75" w:rsidRPr="00B47AC3" w:rsidRDefault="00711C75" w:rsidP="006A0823">
            <w:pPr>
              <w:rPr>
                <w:rFonts w:cs="Arial"/>
                <w:bCs w:val="0"/>
              </w:rPr>
            </w:pPr>
          </w:p>
        </w:tc>
        <w:tc>
          <w:tcPr>
            <w:tcW w:w="2770" w:type="dxa"/>
            <w:shd w:val="clear" w:color="auto" w:fill="auto"/>
          </w:tcPr>
          <w:p w:rsidR="00711C75" w:rsidRPr="00B47AC3" w:rsidRDefault="00711C75" w:rsidP="006A0823">
            <w:pPr>
              <w:rPr>
                <w:rFonts w:cs="Arial"/>
                <w:bCs w:val="0"/>
              </w:rPr>
            </w:pPr>
          </w:p>
        </w:tc>
      </w:tr>
      <w:tr w:rsidR="00711C75" w:rsidRPr="00B47AC3" w:rsidTr="000E28AE">
        <w:trPr>
          <w:trHeight w:val="236"/>
        </w:trPr>
        <w:tc>
          <w:tcPr>
            <w:tcW w:w="990" w:type="dxa"/>
            <w:shd w:val="clear" w:color="auto" w:fill="auto"/>
          </w:tcPr>
          <w:p w:rsidR="00711C75" w:rsidRPr="00B47AC3" w:rsidRDefault="00711C75" w:rsidP="006A0823">
            <w:pPr>
              <w:ind w:left="360"/>
              <w:rPr>
                <w:rFonts w:cs="Arial"/>
                <w:bCs w:val="0"/>
              </w:rPr>
            </w:pPr>
            <w:r w:rsidRPr="00B47AC3">
              <w:rPr>
                <w:rFonts w:cs="Arial"/>
              </w:rPr>
              <w:t>3.</w:t>
            </w:r>
          </w:p>
        </w:tc>
        <w:tc>
          <w:tcPr>
            <w:tcW w:w="2379" w:type="dxa"/>
            <w:shd w:val="clear" w:color="auto" w:fill="auto"/>
          </w:tcPr>
          <w:p w:rsidR="00711C75" w:rsidRPr="00B47AC3" w:rsidRDefault="00711C75" w:rsidP="006A0823">
            <w:pPr>
              <w:rPr>
                <w:rFonts w:cs="Arial"/>
                <w:bCs w:val="0"/>
              </w:rPr>
            </w:pPr>
          </w:p>
        </w:tc>
        <w:tc>
          <w:tcPr>
            <w:tcW w:w="2687" w:type="dxa"/>
            <w:shd w:val="clear" w:color="auto" w:fill="auto"/>
          </w:tcPr>
          <w:p w:rsidR="00711C75" w:rsidRPr="00B47AC3" w:rsidRDefault="00711C75" w:rsidP="006A0823">
            <w:pPr>
              <w:rPr>
                <w:rFonts w:cs="Arial"/>
                <w:bCs w:val="0"/>
              </w:rPr>
            </w:pPr>
          </w:p>
        </w:tc>
        <w:tc>
          <w:tcPr>
            <w:tcW w:w="2770" w:type="dxa"/>
            <w:shd w:val="clear" w:color="auto" w:fill="auto"/>
          </w:tcPr>
          <w:p w:rsidR="00711C75" w:rsidRPr="00B47AC3" w:rsidRDefault="00711C75" w:rsidP="006A0823">
            <w:pPr>
              <w:rPr>
                <w:rFonts w:cs="Arial"/>
                <w:bCs w:val="0"/>
              </w:rPr>
            </w:pPr>
          </w:p>
        </w:tc>
      </w:tr>
      <w:tr w:rsidR="00711C75" w:rsidRPr="00B47AC3" w:rsidTr="000E28AE">
        <w:trPr>
          <w:trHeight w:val="236"/>
        </w:trPr>
        <w:tc>
          <w:tcPr>
            <w:tcW w:w="990" w:type="dxa"/>
            <w:shd w:val="clear" w:color="auto" w:fill="auto"/>
          </w:tcPr>
          <w:p w:rsidR="00711C75" w:rsidRPr="00B47AC3" w:rsidRDefault="00711C75" w:rsidP="006A0823">
            <w:pPr>
              <w:ind w:left="360"/>
              <w:rPr>
                <w:rFonts w:cs="Arial"/>
                <w:bCs w:val="0"/>
              </w:rPr>
            </w:pPr>
            <w:r w:rsidRPr="00B47AC3">
              <w:rPr>
                <w:rFonts w:cs="Arial"/>
              </w:rPr>
              <w:t>4.</w:t>
            </w:r>
          </w:p>
        </w:tc>
        <w:tc>
          <w:tcPr>
            <w:tcW w:w="2379" w:type="dxa"/>
            <w:shd w:val="clear" w:color="auto" w:fill="auto"/>
          </w:tcPr>
          <w:p w:rsidR="00711C75" w:rsidRPr="00B47AC3" w:rsidRDefault="00711C75" w:rsidP="006A0823">
            <w:pPr>
              <w:rPr>
                <w:rFonts w:cs="Arial"/>
                <w:bCs w:val="0"/>
              </w:rPr>
            </w:pPr>
          </w:p>
        </w:tc>
        <w:tc>
          <w:tcPr>
            <w:tcW w:w="2687" w:type="dxa"/>
            <w:shd w:val="clear" w:color="auto" w:fill="auto"/>
          </w:tcPr>
          <w:p w:rsidR="00711C75" w:rsidRPr="00B47AC3" w:rsidRDefault="00711C75" w:rsidP="006A0823">
            <w:pPr>
              <w:rPr>
                <w:rFonts w:cs="Arial"/>
                <w:bCs w:val="0"/>
              </w:rPr>
            </w:pPr>
          </w:p>
        </w:tc>
        <w:tc>
          <w:tcPr>
            <w:tcW w:w="2770" w:type="dxa"/>
            <w:shd w:val="clear" w:color="auto" w:fill="auto"/>
          </w:tcPr>
          <w:p w:rsidR="00711C75" w:rsidRPr="00B47AC3" w:rsidRDefault="00711C75" w:rsidP="006A0823">
            <w:pPr>
              <w:rPr>
                <w:rFonts w:cs="Arial"/>
                <w:bCs w:val="0"/>
              </w:rPr>
            </w:pPr>
          </w:p>
        </w:tc>
      </w:tr>
      <w:tr w:rsidR="00711C75" w:rsidRPr="00B47AC3" w:rsidTr="000E28AE">
        <w:trPr>
          <w:trHeight w:val="236"/>
        </w:trPr>
        <w:tc>
          <w:tcPr>
            <w:tcW w:w="990" w:type="dxa"/>
            <w:shd w:val="clear" w:color="auto" w:fill="auto"/>
          </w:tcPr>
          <w:p w:rsidR="00711C75" w:rsidRPr="00B47AC3" w:rsidRDefault="00711C75" w:rsidP="006A0823">
            <w:pPr>
              <w:ind w:left="360"/>
              <w:rPr>
                <w:rFonts w:cs="Arial"/>
                <w:bCs w:val="0"/>
              </w:rPr>
            </w:pPr>
            <w:r w:rsidRPr="00B47AC3">
              <w:rPr>
                <w:rFonts w:cs="Arial"/>
              </w:rPr>
              <w:t>5.</w:t>
            </w:r>
          </w:p>
        </w:tc>
        <w:tc>
          <w:tcPr>
            <w:tcW w:w="2379" w:type="dxa"/>
            <w:shd w:val="clear" w:color="auto" w:fill="auto"/>
          </w:tcPr>
          <w:p w:rsidR="00711C75" w:rsidRPr="00B47AC3" w:rsidRDefault="00711C75" w:rsidP="006A0823">
            <w:pPr>
              <w:rPr>
                <w:rFonts w:cs="Arial"/>
                <w:bCs w:val="0"/>
              </w:rPr>
            </w:pPr>
          </w:p>
        </w:tc>
        <w:tc>
          <w:tcPr>
            <w:tcW w:w="2687" w:type="dxa"/>
            <w:shd w:val="clear" w:color="auto" w:fill="auto"/>
          </w:tcPr>
          <w:p w:rsidR="00711C75" w:rsidRPr="00B47AC3" w:rsidRDefault="00711C75" w:rsidP="006A0823">
            <w:pPr>
              <w:rPr>
                <w:rFonts w:cs="Arial"/>
                <w:bCs w:val="0"/>
              </w:rPr>
            </w:pPr>
          </w:p>
        </w:tc>
        <w:tc>
          <w:tcPr>
            <w:tcW w:w="2770" w:type="dxa"/>
            <w:shd w:val="clear" w:color="auto" w:fill="auto"/>
          </w:tcPr>
          <w:p w:rsidR="00711C75" w:rsidRPr="00B47AC3" w:rsidRDefault="00711C75" w:rsidP="006A0823">
            <w:pPr>
              <w:rPr>
                <w:rFonts w:cs="Arial"/>
                <w:bCs w:val="0"/>
              </w:rPr>
            </w:pPr>
          </w:p>
        </w:tc>
      </w:tr>
      <w:tr w:rsidR="00711C75" w:rsidRPr="00B47AC3" w:rsidTr="000E28AE">
        <w:trPr>
          <w:trHeight w:val="249"/>
        </w:trPr>
        <w:tc>
          <w:tcPr>
            <w:tcW w:w="990" w:type="dxa"/>
            <w:shd w:val="clear" w:color="auto" w:fill="auto"/>
          </w:tcPr>
          <w:p w:rsidR="00711C75" w:rsidRPr="00B47AC3" w:rsidRDefault="00711C75" w:rsidP="006A0823">
            <w:pPr>
              <w:ind w:left="360"/>
              <w:rPr>
                <w:rFonts w:cs="Arial"/>
                <w:bCs w:val="0"/>
              </w:rPr>
            </w:pPr>
            <w:r w:rsidRPr="00B47AC3">
              <w:rPr>
                <w:rFonts w:cs="Arial"/>
              </w:rPr>
              <w:t>Etc.</w:t>
            </w:r>
          </w:p>
        </w:tc>
        <w:tc>
          <w:tcPr>
            <w:tcW w:w="2379" w:type="dxa"/>
            <w:shd w:val="clear" w:color="auto" w:fill="auto"/>
          </w:tcPr>
          <w:p w:rsidR="00711C75" w:rsidRPr="00B47AC3" w:rsidRDefault="00711C75" w:rsidP="006A0823">
            <w:pPr>
              <w:rPr>
                <w:rFonts w:cs="Arial"/>
                <w:bCs w:val="0"/>
              </w:rPr>
            </w:pPr>
          </w:p>
        </w:tc>
        <w:tc>
          <w:tcPr>
            <w:tcW w:w="2687" w:type="dxa"/>
            <w:shd w:val="clear" w:color="auto" w:fill="auto"/>
          </w:tcPr>
          <w:p w:rsidR="00711C75" w:rsidRPr="00B47AC3" w:rsidRDefault="00711C75" w:rsidP="006A0823">
            <w:pPr>
              <w:rPr>
                <w:rFonts w:cs="Arial"/>
                <w:bCs w:val="0"/>
              </w:rPr>
            </w:pPr>
          </w:p>
        </w:tc>
        <w:tc>
          <w:tcPr>
            <w:tcW w:w="2770" w:type="dxa"/>
            <w:shd w:val="clear" w:color="auto" w:fill="auto"/>
          </w:tcPr>
          <w:p w:rsidR="00711C75" w:rsidRPr="00B47AC3" w:rsidRDefault="00711C75" w:rsidP="006A0823">
            <w:pPr>
              <w:rPr>
                <w:rFonts w:cs="Arial"/>
                <w:bCs w:val="0"/>
              </w:rPr>
            </w:pPr>
          </w:p>
        </w:tc>
      </w:tr>
      <w:tr w:rsidR="00711C75" w:rsidRPr="00B47AC3" w:rsidTr="000E28AE">
        <w:trPr>
          <w:trHeight w:val="236"/>
        </w:trPr>
        <w:tc>
          <w:tcPr>
            <w:tcW w:w="990" w:type="dxa"/>
            <w:shd w:val="clear" w:color="auto" w:fill="auto"/>
          </w:tcPr>
          <w:p w:rsidR="00711C75" w:rsidRPr="00B47AC3" w:rsidRDefault="00711C75" w:rsidP="006A0823">
            <w:pPr>
              <w:rPr>
                <w:rFonts w:cs="Arial"/>
                <w:b/>
                <w:bCs w:val="0"/>
              </w:rPr>
            </w:pPr>
            <w:r w:rsidRPr="00B47AC3">
              <w:rPr>
                <w:rFonts w:cs="Arial"/>
                <w:b/>
              </w:rPr>
              <w:t>Totals</w:t>
            </w:r>
          </w:p>
        </w:tc>
        <w:tc>
          <w:tcPr>
            <w:tcW w:w="2379" w:type="dxa"/>
            <w:shd w:val="clear" w:color="auto" w:fill="E4E9EF"/>
          </w:tcPr>
          <w:p w:rsidR="00711C75" w:rsidRPr="00B47AC3" w:rsidRDefault="00711C75" w:rsidP="006A0823">
            <w:pPr>
              <w:rPr>
                <w:rFonts w:cs="Arial"/>
                <w:b/>
                <w:bCs w:val="0"/>
              </w:rPr>
            </w:pPr>
            <w:r w:rsidRPr="00B47AC3">
              <w:rPr>
                <w:rFonts w:cs="Arial"/>
                <w:b/>
              </w:rPr>
              <w:t xml:space="preserve">Column A total </w:t>
            </w:r>
          </w:p>
        </w:tc>
        <w:tc>
          <w:tcPr>
            <w:tcW w:w="2687" w:type="dxa"/>
            <w:shd w:val="clear" w:color="auto" w:fill="E4E9EF"/>
          </w:tcPr>
          <w:p w:rsidR="00711C75" w:rsidRPr="00B47AC3" w:rsidRDefault="00711C75" w:rsidP="006A0823">
            <w:pPr>
              <w:rPr>
                <w:rFonts w:cs="Arial"/>
                <w:b/>
                <w:bCs w:val="0"/>
              </w:rPr>
            </w:pPr>
            <w:r w:rsidRPr="00B47AC3">
              <w:rPr>
                <w:rFonts w:cs="Arial"/>
                <w:b/>
              </w:rPr>
              <w:t xml:space="preserve">Column B total  </w:t>
            </w:r>
          </w:p>
        </w:tc>
        <w:tc>
          <w:tcPr>
            <w:tcW w:w="2770" w:type="dxa"/>
            <w:shd w:val="clear" w:color="auto" w:fill="E4E9EF"/>
          </w:tcPr>
          <w:p w:rsidR="00711C75" w:rsidRPr="00B47AC3" w:rsidRDefault="00711C75" w:rsidP="006A0823">
            <w:pPr>
              <w:rPr>
                <w:rFonts w:cs="Arial"/>
                <w:b/>
                <w:bCs w:val="0"/>
              </w:rPr>
            </w:pPr>
            <w:r w:rsidRPr="00B47AC3">
              <w:rPr>
                <w:rFonts w:cs="Arial"/>
                <w:b/>
              </w:rPr>
              <w:t xml:space="preserve">Column C total </w:t>
            </w:r>
          </w:p>
        </w:tc>
      </w:tr>
      <w:tr w:rsidR="00711C75" w:rsidRPr="00B47AC3" w:rsidTr="000E28AE">
        <w:trPr>
          <w:trHeight w:val="410"/>
        </w:trPr>
        <w:tc>
          <w:tcPr>
            <w:tcW w:w="8826" w:type="dxa"/>
            <w:gridSpan w:val="4"/>
            <w:shd w:val="clear" w:color="auto" w:fill="auto"/>
          </w:tcPr>
          <w:p w:rsidR="00711C75" w:rsidRPr="00B47AC3" w:rsidRDefault="00711C75" w:rsidP="006A0823">
            <w:pPr>
              <w:rPr>
                <w:rFonts w:cs="Arial"/>
                <w:b/>
                <w:bCs w:val="0"/>
              </w:rPr>
            </w:pPr>
            <w:r w:rsidRPr="00B47AC3">
              <w:rPr>
                <w:rFonts w:cs="Arial"/>
                <w:b/>
              </w:rPr>
              <w:t>CQUIN calculation</w:t>
            </w:r>
          </w:p>
          <w:p w:rsidR="00711C75" w:rsidRPr="00B47AC3" w:rsidRDefault="00711C75" w:rsidP="006A0823">
            <w:pPr>
              <w:rPr>
                <w:rFonts w:cs="Arial"/>
                <w:b/>
                <w:bCs w:val="0"/>
              </w:rPr>
            </w:pPr>
          </w:p>
          <w:p w:rsidR="00711C75" w:rsidRPr="00B47AC3" w:rsidRDefault="00711C75" w:rsidP="006A0823">
            <w:pPr>
              <w:rPr>
                <w:rFonts w:cs="Arial"/>
                <w:bCs w:val="0"/>
              </w:rPr>
            </w:pPr>
            <w:r w:rsidRPr="00B47AC3">
              <w:rPr>
                <w:rFonts w:cs="Arial"/>
              </w:rPr>
              <w:t xml:space="preserve">Column A total is discarded from the sample and does not count towards numerator or denominator </w:t>
            </w:r>
          </w:p>
          <w:p w:rsidR="00711C75" w:rsidRPr="00B47AC3" w:rsidRDefault="00711C75" w:rsidP="006A0823">
            <w:pPr>
              <w:rPr>
                <w:rFonts w:cs="Arial"/>
                <w:bCs w:val="0"/>
              </w:rPr>
            </w:pPr>
            <w:r w:rsidRPr="00B47AC3">
              <w:rPr>
                <w:rFonts w:cs="Arial"/>
              </w:rPr>
              <w:t xml:space="preserve">Column B total is the numerator total </w:t>
            </w:r>
          </w:p>
          <w:p w:rsidR="00711C75" w:rsidRPr="00B47AC3" w:rsidRDefault="00711C75" w:rsidP="006A0823">
            <w:pPr>
              <w:rPr>
                <w:rFonts w:cs="Arial"/>
                <w:bCs w:val="0"/>
              </w:rPr>
            </w:pPr>
            <w:r w:rsidRPr="00B47AC3">
              <w:rPr>
                <w:rFonts w:cs="Arial"/>
              </w:rPr>
              <w:t xml:space="preserve">[Column B total + Column C total] = denominator total </w:t>
            </w:r>
          </w:p>
          <w:p w:rsidR="00711C75" w:rsidRPr="004779A7" w:rsidRDefault="00711C75" w:rsidP="006A0823">
            <w:pPr>
              <w:rPr>
                <w:rFonts w:cs="Arial"/>
                <w:bCs w:val="0"/>
              </w:rPr>
            </w:pPr>
            <w:r w:rsidRPr="00B47AC3">
              <w:rPr>
                <w:rFonts w:cs="Arial"/>
              </w:rPr>
              <w:t>Per</w:t>
            </w:r>
            <w:r>
              <w:rPr>
                <w:rFonts w:cs="Arial"/>
              </w:rPr>
              <w:t>centage Part 1 (sepsis treatment</w:t>
            </w:r>
            <w:r w:rsidRPr="00B47AC3">
              <w:rPr>
                <w:rFonts w:cs="Arial"/>
              </w:rPr>
              <w:t xml:space="preserve">) CQUIN achievement = (B ÷ [B+C]) x 100 </w:t>
            </w:r>
          </w:p>
        </w:tc>
      </w:tr>
    </w:tbl>
    <w:p w:rsidR="00711C75" w:rsidRDefault="00711C75">
      <w:pPr>
        <w:rPr>
          <w:rFonts w:eastAsiaTheme="majorEastAsia" w:cstheme="majorBidi"/>
          <w:b/>
          <w:bCs w:val="0"/>
          <w:iCs/>
          <w:color w:val="A00054" w:themeColor="accent2"/>
          <w:lang w:eastAsia="en-GB"/>
        </w:rPr>
      </w:pPr>
      <w:r>
        <w:rPr>
          <w:lang w:eastAsia="en-GB"/>
        </w:rPr>
        <w:br w:type="page"/>
      </w:r>
    </w:p>
    <w:p w:rsidR="00702E87" w:rsidRDefault="00702E87" w:rsidP="00702E87">
      <w:pPr>
        <w:pStyle w:val="Heading4"/>
        <w:rPr>
          <w:lang w:eastAsia="en-GB"/>
        </w:rPr>
      </w:pPr>
      <w:r>
        <w:rPr>
          <w:lang w:eastAsia="en-GB"/>
        </w:rPr>
        <w:lastRenderedPageBreak/>
        <w:t>Indicator 2</w:t>
      </w:r>
      <w:r w:rsidR="00114E58">
        <w:rPr>
          <w:lang w:eastAsia="en-GB"/>
        </w:rPr>
        <w:t>c</w:t>
      </w:r>
      <w:r w:rsidRPr="00702E87">
        <w:rPr>
          <w:lang w:eastAsia="en-GB"/>
        </w:rPr>
        <w:t xml:space="preserve"> </w:t>
      </w:r>
      <w:r w:rsidR="000D4728">
        <w:rPr>
          <w:lang w:eastAsia="en-GB"/>
        </w:rPr>
        <w:t>A</w:t>
      </w:r>
      <w:r w:rsidRPr="00702E87">
        <w:rPr>
          <w:lang w:eastAsia="en-GB"/>
        </w:rPr>
        <w:t xml:space="preserve">ntibiotic </w:t>
      </w:r>
      <w:r w:rsidR="000D4728">
        <w:rPr>
          <w:lang w:eastAsia="en-GB"/>
        </w:rPr>
        <w:t>review</w:t>
      </w:r>
    </w:p>
    <w:p w:rsidR="00702E87" w:rsidRDefault="00702E87" w:rsidP="00702E87">
      <w:pPr>
        <w:rPr>
          <w:lang w:eastAsia="en-GB"/>
        </w:rPr>
      </w:pPr>
    </w:p>
    <w:tbl>
      <w:tblPr>
        <w:tblStyle w:val="TableGrid"/>
        <w:tblW w:w="4641" w:type="pct"/>
        <w:tblLook w:val="04A0" w:firstRow="1" w:lastRow="0" w:firstColumn="1" w:lastColumn="0" w:noHBand="0" w:noVBand="1"/>
        <w:tblCaption w:val="Please add a description of this table"/>
      </w:tblPr>
      <w:tblGrid>
        <w:gridCol w:w="2660"/>
        <w:gridCol w:w="5954"/>
      </w:tblGrid>
      <w:tr w:rsidR="007A6BFE" w:rsidRPr="00923A9F" w:rsidTr="00C56BCA">
        <w:trPr>
          <w:trHeight w:val="161"/>
          <w:tblHeader/>
        </w:trPr>
        <w:tc>
          <w:tcPr>
            <w:tcW w:w="5000" w:type="pct"/>
            <w:gridSpan w:val="2"/>
            <w:shd w:val="clear" w:color="auto" w:fill="0072C6" w:themeFill="text2"/>
          </w:tcPr>
          <w:p w:rsidR="00E962C0" w:rsidRPr="009134B2" w:rsidRDefault="009134B2" w:rsidP="00AD69B8">
            <w:pPr>
              <w:spacing w:before="20" w:after="20"/>
              <w:jc w:val="center"/>
              <w:rPr>
                <w:b/>
                <w:color w:val="FFFFFF" w:themeColor="background1"/>
              </w:rPr>
            </w:pPr>
            <w:r>
              <w:rPr>
                <w:b/>
                <w:color w:val="FFFFFF" w:themeColor="background1"/>
              </w:rPr>
              <w:t>Indicator 2</w:t>
            </w:r>
            <w:r w:rsidR="00E33BF4">
              <w:rPr>
                <w:b/>
                <w:color w:val="FFFFFF" w:themeColor="background1"/>
              </w:rPr>
              <w:t>c</w:t>
            </w:r>
            <w:r w:rsidR="00F9693D">
              <w:rPr>
                <w:b/>
                <w:color w:val="FFFFFF" w:themeColor="background1"/>
              </w:rPr>
              <w:t xml:space="preserve"> </w:t>
            </w:r>
          </w:p>
        </w:tc>
      </w:tr>
      <w:tr w:rsidR="007A6BFE" w:rsidRPr="00923A9F" w:rsidTr="004363C2">
        <w:trPr>
          <w:trHeight w:val="298"/>
        </w:trPr>
        <w:tc>
          <w:tcPr>
            <w:tcW w:w="1544" w:type="pct"/>
          </w:tcPr>
          <w:p w:rsidR="007A6BFE" w:rsidRPr="00923A9F" w:rsidRDefault="007A6BFE" w:rsidP="00040AE2">
            <w:pPr>
              <w:spacing w:before="20" w:after="20"/>
              <w:rPr>
                <w:b/>
              </w:rPr>
            </w:pPr>
            <w:r w:rsidRPr="00923A9F">
              <w:rPr>
                <w:rFonts w:cs="Arial"/>
                <w:b/>
                <w:color w:val="000000"/>
              </w:rPr>
              <w:t>Indicator name</w:t>
            </w:r>
          </w:p>
        </w:tc>
        <w:tc>
          <w:tcPr>
            <w:tcW w:w="3456" w:type="pct"/>
          </w:tcPr>
          <w:p w:rsidR="007A6BFE" w:rsidRPr="008E08BE" w:rsidRDefault="007A6BFE" w:rsidP="00040AE2">
            <w:pPr>
              <w:spacing w:before="20" w:after="20"/>
            </w:pPr>
            <w:r w:rsidRPr="008E08BE">
              <w:rPr>
                <w:rFonts w:cs="Arial"/>
                <w:lang w:val="en-US"/>
              </w:rPr>
              <w:t xml:space="preserve">Assessment of clinical </w:t>
            </w:r>
            <w:r w:rsidRPr="00114E58">
              <w:rPr>
                <w:rFonts w:cs="Arial"/>
                <w:b/>
                <w:lang w:val="en-US"/>
              </w:rPr>
              <w:t>antibiotic review</w:t>
            </w:r>
            <w:r w:rsidRPr="008E08BE">
              <w:rPr>
                <w:rFonts w:cs="Arial"/>
                <w:lang w:val="en-US"/>
              </w:rPr>
              <w:t xml:space="preserve"> between 24-72 hours of patients with sepsis who are still inpatients at 72 hours.</w:t>
            </w:r>
          </w:p>
        </w:tc>
      </w:tr>
      <w:tr w:rsidR="007A6BFE" w:rsidRPr="00923A9F" w:rsidTr="004363C2">
        <w:trPr>
          <w:trHeight w:val="443"/>
        </w:trPr>
        <w:tc>
          <w:tcPr>
            <w:tcW w:w="1544" w:type="pct"/>
          </w:tcPr>
          <w:p w:rsidR="007A6BFE" w:rsidRPr="00923A9F" w:rsidRDefault="007A6BFE" w:rsidP="00040AE2">
            <w:pPr>
              <w:spacing w:before="20" w:after="20"/>
              <w:rPr>
                <w:rFonts w:cs="Arial"/>
                <w:b/>
                <w:color w:val="000000"/>
              </w:rPr>
            </w:pPr>
            <w:r w:rsidRPr="00923A9F">
              <w:rPr>
                <w:rFonts w:cs="Arial"/>
                <w:b/>
                <w:color w:val="000000"/>
              </w:rPr>
              <w:t xml:space="preserve">Indicator weighting </w:t>
            </w:r>
            <w:r w:rsidRPr="00923A9F">
              <w:rPr>
                <w:rFonts w:cs="Arial"/>
                <w:b/>
                <w:color w:val="000000"/>
              </w:rPr>
              <w:br/>
              <w:t>(% of CQUIN scheme available)</w:t>
            </w:r>
          </w:p>
        </w:tc>
        <w:tc>
          <w:tcPr>
            <w:tcW w:w="3456" w:type="pct"/>
          </w:tcPr>
          <w:p w:rsidR="007A6BFE" w:rsidRPr="008E08BE" w:rsidRDefault="007A6BFE" w:rsidP="00040AE2">
            <w:pPr>
              <w:rPr>
                <w:rFonts w:eastAsiaTheme="minorEastAsia" w:cs="Arial"/>
                <w:lang w:eastAsia="ja-JP"/>
              </w:rPr>
            </w:pPr>
            <w:r w:rsidRPr="008E08BE">
              <w:rPr>
                <w:rFonts w:cs="Arial"/>
              </w:rPr>
              <w:t>25% of 0.25% (0.0625%)</w:t>
            </w:r>
          </w:p>
        </w:tc>
      </w:tr>
      <w:tr w:rsidR="007A6BFE" w:rsidRPr="00923A9F" w:rsidTr="004363C2">
        <w:trPr>
          <w:trHeight w:val="514"/>
        </w:trPr>
        <w:tc>
          <w:tcPr>
            <w:tcW w:w="1544" w:type="pct"/>
          </w:tcPr>
          <w:p w:rsidR="007A6BFE" w:rsidRPr="00923A9F" w:rsidRDefault="007A6BFE" w:rsidP="00040AE2">
            <w:pPr>
              <w:spacing w:before="20" w:after="20"/>
              <w:rPr>
                <w:rFonts w:cs="Arial"/>
                <w:b/>
                <w:color w:val="000000"/>
              </w:rPr>
            </w:pPr>
            <w:r w:rsidRPr="00923A9F">
              <w:rPr>
                <w:rFonts w:cs="Arial"/>
                <w:b/>
                <w:color w:val="000000"/>
              </w:rPr>
              <w:t>Description of indicator</w:t>
            </w:r>
          </w:p>
        </w:tc>
        <w:tc>
          <w:tcPr>
            <w:tcW w:w="3456" w:type="pct"/>
          </w:tcPr>
          <w:p w:rsidR="007A6BFE" w:rsidRPr="008E08BE" w:rsidRDefault="007A6BFE" w:rsidP="00040AE2">
            <w:pPr>
              <w:spacing w:before="20" w:after="20"/>
              <w:rPr>
                <w:rFonts w:cstheme="minorHAnsi"/>
              </w:rPr>
            </w:pPr>
            <w:r w:rsidRPr="008E08BE">
              <w:rPr>
                <w:rFonts w:cstheme="minorHAnsi"/>
              </w:rPr>
              <w:t>Percentage of antibiotic prescriptions documented and reviewed by a competent clinician within 72 hours</w:t>
            </w:r>
          </w:p>
          <w:p w:rsidR="007A6BFE" w:rsidRPr="008E08BE" w:rsidRDefault="007A6BFE" w:rsidP="00040AE2">
            <w:pPr>
              <w:spacing w:before="20" w:after="20"/>
              <w:rPr>
                <w:rFonts w:cs="Arial"/>
              </w:rPr>
            </w:pPr>
          </w:p>
          <w:p w:rsidR="007A6BFE" w:rsidRPr="008E08BE" w:rsidRDefault="007A6BFE" w:rsidP="00040AE2">
            <w:pPr>
              <w:spacing w:before="20" w:after="20"/>
              <w:rPr>
                <w:rFonts w:cs="Arial"/>
              </w:rPr>
            </w:pPr>
            <w:r w:rsidRPr="008E08BE">
              <w:rPr>
                <w:rFonts w:cs="Arial"/>
              </w:rPr>
              <w:t>Appropriate clinical review by either:</w:t>
            </w:r>
          </w:p>
          <w:p w:rsidR="007A6BFE" w:rsidRPr="008E08BE" w:rsidRDefault="007A6BFE" w:rsidP="002378B0">
            <w:pPr>
              <w:pStyle w:val="ListParagraph"/>
              <w:numPr>
                <w:ilvl w:val="0"/>
                <w:numId w:val="18"/>
              </w:numPr>
              <w:spacing w:before="20" w:after="20"/>
              <w:rPr>
                <w:rFonts w:cs="Arial"/>
              </w:rPr>
            </w:pPr>
            <w:r w:rsidRPr="008E08BE">
              <w:rPr>
                <w:rFonts w:cs="Arial"/>
              </w:rPr>
              <w:t>Infection (infectious diseases/ clinical microbiologist) senior doctor</w:t>
            </w:r>
          </w:p>
          <w:p w:rsidR="007A6BFE" w:rsidRPr="008E08BE" w:rsidRDefault="007A6BFE" w:rsidP="002378B0">
            <w:pPr>
              <w:pStyle w:val="ListParagraph"/>
              <w:numPr>
                <w:ilvl w:val="0"/>
                <w:numId w:val="18"/>
              </w:numPr>
              <w:spacing w:before="20" w:after="20"/>
              <w:rPr>
                <w:rFonts w:cs="Arial"/>
              </w:rPr>
            </w:pPr>
            <w:r w:rsidRPr="008E08BE">
              <w:rPr>
                <w:rFonts w:cs="Arial"/>
              </w:rPr>
              <w:t>Infection pharmacist</w:t>
            </w:r>
          </w:p>
          <w:p w:rsidR="007A6BFE" w:rsidRPr="008E08BE" w:rsidRDefault="007A6BFE" w:rsidP="002378B0">
            <w:pPr>
              <w:pStyle w:val="ListParagraph"/>
              <w:numPr>
                <w:ilvl w:val="0"/>
                <w:numId w:val="18"/>
              </w:numPr>
              <w:spacing w:before="20" w:after="20"/>
              <w:rPr>
                <w:rFonts w:cs="Arial"/>
              </w:rPr>
            </w:pPr>
            <w:r w:rsidRPr="008E08BE">
              <w:rPr>
                <w:rFonts w:cs="Arial"/>
              </w:rPr>
              <w:t>Senior member of clinical team</w:t>
            </w:r>
          </w:p>
          <w:p w:rsidR="007A6BFE" w:rsidRPr="008E08BE" w:rsidRDefault="007A6BFE" w:rsidP="00040AE2">
            <w:pPr>
              <w:spacing w:before="20" w:after="20"/>
              <w:rPr>
                <w:rFonts w:cs="Arial"/>
              </w:rPr>
            </w:pPr>
          </w:p>
          <w:p w:rsidR="007A6BFE" w:rsidRPr="008E08BE" w:rsidRDefault="007A6BFE" w:rsidP="00040AE2">
            <w:pPr>
              <w:spacing w:before="20" w:after="20"/>
              <w:rPr>
                <w:rFonts w:cs="Arial"/>
              </w:rPr>
            </w:pPr>
            <w:r w:rsidRPr="008E08BE">
              <w:rPr>
                <w:rFonts w:cs="Arial"/>
              </w:rPr>
              <w:t>With the proportions of antibiotic outcomes in each group submitted, assessed  by the following parameters: started on sepsis antibiotic treatment pathway and alive and still an / in-patients at time of review</w:t>
            </w:r>
            <w:r w:rsidR="00114E58">
              <w:rPr>
                <w:rFonts w:cs="Arial"/>
              </w:rPr>
              <w:t>:</w:t>
            </w:r>
            <w:r w:rsidRPr="008E08BE">
              <w:rPr>
                <w:rFonts w:cs="Arial"/>
              </w:rPr>
              <w:t xml:space="preserve"> </w:t>
            </w:r>
          </w:p>
          <w:p w:rsidR="007A6BFE" w:rsidRPr="008E08BE" w:rsidRDefault="007A6BFE" w:rsidP="002378B0">
            <w:pPr>
              <w:pStyle w:val="ListParagraph"/>
              <w:numPr>
                <w:ilvl w:val="0"/>
                <w:numId w:val="19"/>
              </w:numPr>
              <w:spacing w:before="20" w:after="20"/>
              <w:rPr>
                <w:rFonts w:cs="Arial"/>
              </w:rPr>
            </w:pPr>
            <w:r w:rsidRPr="008E08BE">
              <w:rPr>
                <w:rFonts w:cs="Arial"/>
              </w:rPr>
              <w:t xml:space="preserve">If no blood cultures were not sent  or blood cultures negative at 24-72 hours, a clinical review documenting why antibiotics need to be continued by describing the clinical syndrome, antibiotic choice based on syndrome, local IV to oral switch guidelines,  and duration defined </w:t>
            </w:r>
          </w:p>
          <w:p w:rsidR="007A6BFE" w:rsidRPr="008E08BE" w:rsidRDefault="007A6BFE" w:rsidP="002378B0">
            <w:pPr>
              <w:pStyle w:val="ListParagraph"/>
              <w:numPr>
                <w:ilvl w:val="0"/>
                <w:numId w:val="19"/>
              </w:numPr>
              <w:spacing w:before="20" w:after="20"/>
              <w:rPr>
                <w:rFonts w:cs="Arial"/>
              </w:rPr>
            </w:pPr>
            <w:r w:rsidRPr="008E08BE">
              <w:rPr>
                <w:rFonts w:cs="Arial"/>
              </w:rPr>
              <w:t xml:space="preserve">If blood cultures were sent and positive by 24-72 hours, clinical review should document these results, ensure the narrowest spectrum antibiotic treatment is prescribed following local IV to oral switch guidelines  AND duration defined </w:t>
            </w:r>
          </w:p>
          <w:p w:rsidR="007A6BFE" w:rsidRPr="008E08BE" w:rsidRDefault="007A6BFE" w:rsidP="00040AE2">
            <w:pPr>
              <w:spacing w:before="20" w:after="20"/>
              <w:rPr>
                <w:rFonts w:cs="Arial"/>
              </w:rPr>
            </w:pPr>
          </w:p>
          <w:p w:rsidR="007A6BFE" w:rsidRPr="008E08BE" w:rsidRDefault="007A6BFE" w:rsidP="00040AE2">
            <w:pPr>
              <w:spacing w:before="20" w:after="20"/>
              <w:rPr>
                <w:rFonts w:cs="Arial"/>
              </w:rPr>
            </w:pPr>
            <w:r w:rsidRPr="008E08BE">
              <w:rPr>
                <w:rFonts w:cs="Arial"/>
              </w:rPr>
              <w:t>It would be expected that the documented outcome of this review will be recorded as follows</w:t>
            </w:r>
            <w:r w:rsidR="00114E58">
              <w:rPr>
                <w:rFonts w:cs="Arial"/>
              </w:rPr>
              <w:t>:</w:t>
            </w:r>
          </w:p>
          <w:p w:rsidR="007A6BFE" w:rsidRPr="008E08BE" w:rsidRDefault="007A6BFE" w:rsidP="002378B0">
            <w:pPr>
              <w:pStyle w:val="ListParagraph"/>
              <w:numPr>
                <w:ilvl w:val="0"/>
                <w:numId w:val="20"/>
              </w:numPr>
              <w:spacing w:before="20" w:after="20"/>
              <w:rPr>
                <w:rFonts w:cs="Arial"/>
              </w:rPr>
            </w:pPr>
            <w:r w:rsidRPr="008E08BE">
              <w:rPr>
                <w:rFonts w:cs="Arial"/>
              </w:rPr>
              <w:t>Stop</w:t>
            </w:r>
          </w:p>
          <w:p w:rsidR="007A6BFE" w:rsidRPr="008E08BE" w:rsidRDefault="007A6BFE" w:rsidP="002378B0">
            <w:pPr>
              <w:pStyle w:val="ListParagraph"/>
              <w:numPr>
                <w:ilvl w:val="0"/>
                <w:numId w:val="20"/>
              </w:numPr>
              <w:spacing w:before="20" w:after="20"/>
              <w:rPr>
                <w:rFonts w:cs="Arial"/>
              </w:rPr>
            </w:pPr>
            <w:r w:rsidRPr="008E08BE">
              <w:rPr>
                <w:rFonts w:cs="Arial"/>
              </w:rPr>
              <w:t>IV to oral switch</w:t>
            </w:r>
          </w:p>
          <w:p w:rsidR="007A6BFE" w:rsidRPr="008E08BE" w:rsidRDefault="007A6BFE" w:rsidP="002378B0">
            <w:pPr>
              <w:pStyle w:val="ListParagraph"/>
              <w:numPr>
                <w:ilvl w:val="0"/>
                <w:numId w:val="20"/>
              </w:numPr>
              <w:spacing w:before="20" w:after="20"/>
              <w:rPr>
                <w:rFonts w:cs="Arial"/>
              </w:rPr>
            </w:pPr>
            <w:r w:rsidRPr="008E08BE">
              <w:rPr>
                <w:rFonts w:cs="Arial"/>
              </w:rPr>
              <w:t>OPAT (Outpatient Parenteral Antibiotic Therapy)</w:t>
            </w:r>
          </w:p>
          <w:p w:rsidR="007A6BFE" w:rsidRPr="008E08BE" w:rsidRDefault="007A6BFE" w:rsidP="002378B0">
            <w:pPr>
              <w:pStyle w:val="ListParagraph"/>
              <w:numPr>
                <w:ilvl w:val="0"/>
                <w:numId w:val="20"/>
              </w:numPr>
              <w:spacing w:before="20" w:after="20"/>
              <w:rPr>
                <w:rFonts w:cs="Arial"/>
              </w:rPr>
            </w:pPr>
            <w:r w:rsidRPr="008E08BE">
              <w:rPr>
                <w:rFonts w:cs="Arial"/>
              </w:rPr>
              <w:t>Continue with new review date</w:t>
            </w:r>
          </w:p>
          <w:p w:rsidR="007A6BFE" w:rsidRPr="008E08BE" w:rsidRDefault="007A6BFE" w:rsidP="002378B0">
            <w:pPr>
              <w:pStyle w:val="ListParagraph"/>
              <w:numPr>
                <w:ilvl w:val="0"/>
                <w:numId w:val="20"/>
              </w:numPr>
              <w:spacing w:before="20" w:after="20"/>
              <w:rPr>
                <w:rFonts w:cs="Arial"/>
              </w:rPr>
            </w:pPr>
            <w:r w:rsidRPr="008E08BE">
              <w:rPr>
                <w:rFonts w:cs="Arial"/>
              </w:rPr>
              <w:t>Continue no new review date</w:t>
            </w:r>
          </w:p>
          <w:p w:rsidR="007A6BFE" w:rsidRPr="008E08BE" w:rsidRDefault="007A6BFE" w:rsidP="002378B0">
            <w:pPr>
              <w:pStyle w:val="ListParagraph"/>
              <w:numPr>
                <w:ilvl w:val="0"/>
                <w:numId w:val="20"/>
              </w:numPr>
              <w:spacing w:before="20" w:after="20"/>
              <w:rPr>
                <w:rFonts w:cs="Arial"/>
              </w:rPr>
            </w:pPr>
            <w:r w:rsidRPr="008E08BE">
              <w:rPr>
                <w:rFonts w:cs="Arial"/>
              </w:rPr>
              <w:t>Change antibiotic with Escalation to broader spectrum antibiotic</w:t>
            </w:r>
          </w:p>
          <w:p w:rsidR="007A6BFE" w:rsidRPr="008E08BE" w:rsidRDefault="007A6BFE" w:rsidP="002378B0">
            <w:pPr>
              <w:pStyle w:val="ListParagraph"/>
              <w:numPr>
                <w:ilvl w:val="0"/>
                <w:numId w:val="20"/>
              </w:numPr>
              <w:spacing w:before="20" w:after="20"/>
              <w:rPr>
                <w:rFonts w:cs="Arial"/>
              </w:rPr>
            </w:pPr>
            <w:r w:rsidRPr="008E08BE">
              <w:rPr>
                <w:rFonts w:cs="Arial"/>
              </w:rPr>
              <w:t>Change antibiotic with de-escalation to a narrower spectrum antibiotic</w:t>
            </w:r>
          </w:p>
          <w:p w:rsidR="007A6BFE" w:rsidRPr="00F40149" w:rsidRDefault="007A6BFE" w:rsidP="002378B0">
            <w:pPr>
              <w:pStyle w:val="ListParagraph"/>
              <w:numPr>
                <w:ilvl w:val="0"/>
                <w:numId w:val="20"/>
              </w:numPr>
              <w:spacing w:before="20" w:after="20"/>
              <w:rPr>
                <w:rFonts w:cs="Arial"/>
              </w:rPr>
            </w:pPr>
            <w:r w:rsidRPr="008E08BE">
              <w:rPr>
                <w:rFonts w:cs="Arial"/>
              </w:rPr>
              <w:lastRenderedPageBreak/>
              <w:t xml:space="preserve">Change antibiotic e.g. to narrower/broader spectrum or as a result of blood culture results </w:t>
            </w:r>
          </w:p>
        </w:tc>
      </w:tr>
      <w:tr w:rsidR="007A6BFE" w:rsidRPr="00923A9F" w:rsidTr="004363C2">
        <w:trPr>
          <w:trHeight w:val="73"/>
        </w:trPr>
        <w:tc>
          <w:tcPr>
            <w:tcW w:w="1544" w:type="pct"/>
          </w:tcPr>
          <w:p w:rsidR="007A6BFE" w:rsidRPr="00923A9F" w:rsidRDefault="007A6BFE" w:rsidP="00040AE2">
            <w:pPr>
              <w:spacing w:before="20" w:after="20"/>
              <w:rPr>
                <w:rFonts w:cs="Arial"/>
                <w:b/>
                <w:color w:val="000000"/>
              </w:rPr>
            </w:pPr>
            <w:r w:rsidRPr="00923A9F">
              <w:rPr>
                <w:rFonts w:cs="Arial"/>
                <w:b/>
                <w:color w:val="000000"/>
              </w:rPr>
              <w:lastRenderedPageBreak/>
              <w:t>Numerator</w:t>
            </w:r>
          </w:p>
        </w:tc>
        <w:tc>
          <w:tcPr>
            <w:tcW w:w="3456" w:type="pct"/>
          </w:tcPr>
          <w:p w:rsidR="007A6BFE" w:rsidRPr="00923A9F" w:rsidRDefault="007A6BFE" w:rsidP="00040AE2">
            <w:pPr>
              <w:rPr>
                <w:rFonts w:cs="Arial"/>
              </w:rPr>
            </w:pPr>
            <w:r w:rsidRPr="00923A9F">
              <w:rPr>
                <w:rFonts w:cs="Arial"/>
              </w:rPr>
              <w:t>Number of antibiotic prescriptions reviewed within 72 hours</w:t>
            </w:r>
          </w:p>
        </w:tc>
      </w:tr>
      <w:tr w:rsidR="007A6BFE" w:rsidRPr="00923A9F" w:rsidTr="004363C2">
        <w:trPr>
          <w:trHeight w:val="73"/>
        </w:trPr>
        <w:tc>
          <w:tcPr>
            <w:tcW w:w="1544" w:type="pct"/>
          </w:tcPr>
          <w:p w:rsidR="007A6BFE" w:rsidRPr="00923A9F" w:rsidRDefault="007A6BFE" w:rsidP="00040AE2">
            <w:pPr>
              <w:spacing w:before="20" w:after="20"/>
              <w:rPr>
                <w:rFonts w:cs="Arial"/>
                <w:b/>
                <w:color w:val="000000"/>
              </w:rPr>
            </w:pPr>
            <w:r w:rsidRPr="00923A9F">
              <w:rPr>
                <w:rFonts w:cs="Arial"/>
                <w:b/>
                <w:color w:val="000000"/>
              </w:rPr>
              <w:t>Denominator</w:t>
            </w:r>
          </w:p>
        </w:tc>
        <w:tc>
          <w:tcPr>
            <w:tcW w:w="3456" w:type="pct"/>
          </w:tcPr>
          <w:p w:rsidR="007A6BFE" w:rsidRPr="00923A9F" w:rsidRDefault="007A6BFE" w:rsidP="00040AE2">
            <w:pPr>
              <w:rPr>
                <w:rFonts w:cs="Arial"/>
              </w:rPr>
            </w:pPr>
            <w:r w:rsidRPr="00923A9F">
              <w:rPr>
                <w:rFonts w:cs="Arial"/>
              </w:rPr>
              <w:t>Number of antibiotic prescriptions included in the sample</w:t>
            </w:r>
          </w:p>
        </w:tc>
      </w:tr>
      <w:tr w:rsidR="007A6BFE" w:rsidRPr="00923A9F" w:rsidTr="004363C2">
        <w:trPr>
          <w:trHeight w:val="73"/>
        </w:trPr>
        <w:tc>
          <w:tcPr>
            <w:tcW w:w="1544" w:type="pct"/>
          </w:tcPr>
          <w:p w:rsidR="007A6BFE" w:rsidRPr="00923A9F" w:rsidRDefault="007A6BFE" w:rsidP="00040AE2">
            <w:pPr>
              <w:spacing w:before="20" w:after="20"/>
              <w:rPr>
                <w:rFonts w:cs="Arial"/>
                <w:b/>
                <w:color w:val="000000"/>
              </w:rPr>
            </w:pPr>
            <w:r w:rsidRPr="00923A9F">
              <w:rPr>
                <w:rFonts w:cs="Arial"/>
                <w:b/>
                <w:color w:val="000000"/>
              </w:rPr>
              <w:t>Rationale for inclusion</w:t>
            </w:r>
          </w:p>
        </w:tc>
        <w:tc>
          <w:tcPr>
            <w:tcW w:w="3456" w:type="pct"/>
          </w:tcPr>
          <w:p w:rsidR="007A6BFE" w:rsidRPr="00923A9F" w:rsidRDefault="007A6BFE" w:rsidP="00040AE2">
            <w:pPr>
              <w:spacing w:before="20" w:after="20"/>
              <w:rPr>
                <w:rFonts w:cs="Arial"/>
                <w:color w:val="000000"/>
              </w:rPr>
            </w:pPr>
            <w:r>
              <w:rPr>
                <w:rFonts w:cs="Arial"/>
                <w:color w:val="000000"/>
              </w:rPr>
              <w:t xml:space="preserve">Rationale is as per part </w:t>
            </w:r>
            <w:r w:rsidR="00EE6064">
              <w:rPr>
                <w:rFonts w:cs="Arial"/>
                <w:color w:val="000000"/>
              </w:rPr>
              <w:t>2</w:t>
            </w:r>
            <w:r>
              <w:rPr>
                <w:rFonts w:cs="Arial"/>
                <w:color w:val="000000"/>
              </w:rPr>
              <w:t>a</w:t>
            </w:r>
          </w:p>
        </w:tc>
      </w:tr>
      <w:tr w:rsidR="007A6BFE" w:rsidRPr="00923A9F" w:rsidTr="004363C2">
        <w:trPr>
          <w:trHeight w:val="73"/>
        </w:trPr>
        <w:tc>
          <w:tcPr>
            <w:tcW w:w="1544" w:type="pct"/>
          </w:tcPr>
          <w:p w:rsidR="007A6BFE" w:rsidRPr="00923A9F" w:rsidRDefault="007A6BFE" w:rsidP="00040AE2">
            <w:pPr>
              <w:spacing w:before="20" w:after="20"/>
              <w:rPr>
                <w:rFonts w:cs="Arial"/>
                <w:b/>
                <w:color w:val="000000"/>
              </w:rPr>
            </w:pPr>
            <w:r w:rsidRPr="00923A9F">
              <w:rPr>
                <w:rFonts w:cs="Arial"/>
                <w:b/>
                <w:color w:val="000000"/>
              </w:rPr>
              <w:t>Data source</w:t>
            </w:r>
          </w:p>
        </w:tc>
        <w:tc>
          <w:tcPr>
            <w:tcW w:w="3456" w:type="pct"/>
          </w:tcPr>
          <w:p w:rsidR="007A6BFE" w:rsidRPr="008E08BE" w:rsidRDefault="007A6BFE" w:rsidP="00040AE2">
            <w:pPr>
              <w:widowControl w:val="0"/>
              <w:autoSpaceDE w:val="0"/>
              <w:autoSpaceDN w:val="0"/>
              <w:adjustRightInd w:val="0"/>
              <w:rPr>
                <w:rFonts w:cstheme="minorHAnsi"/>
              </w:rPr>
            </w:pPr>
            <w:r w:rsidRPr="008E08BE">
              <w:rPr>
                <w:rFonts w:cstheme="minorHAnsi"/>
              </w:rPr>
              <w:t>Local audit of a minimum of 30 patients diagnosed with sepsis. Audit data should be submitted to PHE via an online submission portal.</w:t>
            </w:r>
            <w:r w:rsidRPr="008E08BE">
              <w:rPr>
                <w:rFonts w:cs="Arial"/>
              </w:rPr>
              <w:t xml:space="preserve"> </w:t>
            </w:r>
          </w:p>
        </w:tc>
      </w:tr>
      <w:tr w:rsidR="007A6BFE" w:rsidRPr="00923A9F" w:rsidTr="004363C2">
        <w:trPr>
          <w:trHeight w:val="73"/>
        </w:trPr>
        <w:tc>
          <w:tcPr>
            <w:tcW w:w="1544" w:type="pct"/>
          </w:tcPr>
          <w:p w:rsidR="007A6BFE" w:rsidRPr="00923A9F" w:rsidRDefault="007A6BFE" w:rsidP="00040AE2">
            <w:pPr>
              <w:spacing w:before="20" w:after="20"/>
              <w:rPr>
                <w:rFonts w:cs="Arial"/>
                <w:b/>
                <w:color w:val="000000"/>
              </w:rPr>
            </w:pPr>
            <w:r w:rsidRPr="00923A9F">
              <w:rPr>
                <w:rFonts w:cs="Arial"/>
                <w:b/>
                <w:color w:val="000000"/>
              </w:rPr>
              <w:t>Frequency of data collection</w:t>
            </w:r>
          </w:p>
        </w:tc>
        <w:tc>
          <w:tcPr>
            <w:tcW w:w="3456" w:type="pct"/>
          </w:tcPr>
          <w:p w:rsidR="007A6BFE" w:rsidRPr="008E08BE" w:rsidRDefault="007A6BFE" w:rsidP="00040AE2">
            <w:pPr>
              <w:keepNext/>
              <w:contextualSpacing/>
              <w:rPr>
                <w:rFonts w:cs="Arial"/>
              </w:rPr>
            </w:pPr>
            <w:r w:rsidRPr="008E08BE">
              <w:rPr>
                <w:rFonts w:cs="Arial"/>
              </w:rPr>
              <w:t>Quarterly</w:t>
            </w:r>
          </w:p>
        </w:tc>
      </w:tr>
      <w:tr w:rsidR="007A6BFE" w:rsidRPr="00923A9F" w:rsidTr="004363C2">
        <w:trPr>
          <w:trHeight w:val="73"/>
        </w:trPr>
        <w:tc>
          <w:tcPr>
            <w:tcW w:w="1544" w:type="pct"/>
          </w:tcPr>
          <w:p w:rsidR="007A6BFE" w:rsidRPr="00923A9F" w:rsidRDefault="007A6BFE" w:rsidP="00040AE2">
            <w:pPr>
              <w:spacing w:before="20" w:after="20"/>
              <w:rPr>
                <w:rFonts w:cs="Arial"/>
                <w:b/>
                <w:color w:val="000000"/>
              </w:rPr>
            </w:pPr>
            <w:r w:rsidRPr="00923A9F">
              <w:rPr>
                <w:rFonts w:cs="Arial"/>
                <w:b/>
                <w:color w:val="000000"/>
              </w:rPr>
              <w:t>Organisation responsible for data collection</w:t>
            </w:r>
          </w:p>
        </w:tc>
        <w:tc>
          <w:tcPr>
            <w:tcW w:w="3456" w:type="pct"/>
          </w:tcPr>
          <w:p w:rsidR="007A6BFE" w:rsidRPr="008E08BE" w:rsidRDefault="007A6BFE" w:rsidP="00040AE2">
            <w:pPr>
              <w:keepNext/>
              <w:contextualSpacing/>
              <w:rPr>
                <w:rFonts w:cs="Arial"/>
              </w:rPr>
            </w:pPr>
            <w:r w:rsidRPr="008E08BE">
              <w:rPr>
                <w:rFonts w:cs="Arial"/>
              </w:rPr>
              <w:t>Provider</w:t>
            </w:r>
          </w:p>
        </w:tc>
      </w:tr>
      <w:tr w:rsidR="007A6BFE" w:rsidRPr="00923A9F" w:rsidTr="004363C2">
        <w:trPr>
          <w:trHeight w:val="73"/>
        </w:trPr>
        <w:tc>
          <w:tcPr>
            <w:tcW w:w="1544" w:type="pct"/>
          </w:tcPr>
          <w:p w:rsidR="007A6BFE" w:rsidRPr="00923A9F" w:rsidRDefault="007A6BFE" w:rsidP="00040AE2">
            <w:pPr>
              <w:spacing w:before="20" w:after="20"/>
              <w:rPr>
                <w:rFonts w:cs="Arial"/>
                <w:b/>
                <w:color w:val="000000"/>
              </w:rPr>
            </w:pPr>
            <w:r w:rsidRPr="00923A9F">
              <w:rPr>
                <w:rFonts w:cs="Arial"/>
                <w:b/>
                <w:color w:val="000000"/>
              </w:rPr>
              <w:t>Frequency of reporting to commissioner</w:t>
            </w:r>
          </w:p>
        </w:tc>
        <w:tc>
          <w:tcPr>
            <w:tcW w:w="3456" w:type="pct"/>
          </w:tcPr>
          <w:p w:rsidR="007A6BFE" w:rsidRPr="008E08BE" w:rsidRDefault="007A6BFE" w:rsidP="00040AE2">
            <w:pPr>
              <w:keepNext/>
              <w:contextualSpacing/>
              <w:rPr>
                <w:rFonts w:cs="Arial"/>
              </w:rPr>
            </w:pPr>
            <w:r w:rsidRPr="008E08BE">
              <w:rPr>
                <w:rFonts w:cs="Arial"/>
              </w:rPr>
              <w:t>Quarterly</w:t>
            </w:r>
          </w:p>
        </w:tc>
      </w:tr>
      <w:tr w:rsidR="007A6BFE" w:rsidRPr="00923A9F" w:rsidTr="004363C2">
        <w:trPr>
          <w:trHeight w:val="306"/>
        </w:trPr>
        <w:tc>
          <w:tcPr>
            <w:tcW w:w="1544" w:type="pct"/>
          </w:tcPr>
          <w:p w:rsidR="007A6BFE" w:rsidRPr="00923A9F" w:rsidRDefault="007A6BFE" w:rsidP="00040AE2">
            <w:pPr>
              <w:spacing w:before="20" w:after="20"/>
              <w:rPr>
                <w:rFonts w:cs="Arial"/>
                <w:b/>
                <w:color w:val="000000"/>
              </w:rPr>
            </w:pPr>
            <w:r w:rsidRPr="00923A9F">
              <w:rPr>
                <w:rFonts w:cs="Arial"/>
                <w:b/>
                <w:color w:val="000000"/>
              </w:rPr>
              <w:t>Baseline period/date</w:t>
            </w:r>
          </w:p>
        </w:tc>
        <w:tc>
          <w:tcPr>
            <w:tcW w:w="3456" w:type="pct"/>
          </w:tcPr>
          <w:p w:rsidR="007A6BFE" w:rsidRPr="00923A9F" w:rsidRDefault="007A6BFE" w:rsidP="00040AE2">
            <w:pPr>
              <w:keepNext/>
              <w:contextualSpacing/>
              <w:rPr>
                <w:rFonts w:cs="Arial"/>
              </w:rPr>
            </w:pPr>
            <w:r w:rsidRPr="00923A9F">
              <w:rPr>
                <w:rFonts w:cs="Arial"/>
              </w:rPr>
              <w:t>N/A</w:t>
            </w:r>
          </w:p>
        </w:tc>
      </w:tr>
      <w:tr w:rsidR="007A6BFE" w:rsidRPr="00923A9F" w:rsidTr="004363C2">
        <w:trPr>
          <w:trHeight w:val="73"/>
        </w:trPr>
        <w:tc>
          <w:tcPr>
            <w:tcW w:w="1544" w:type="pct"/>
          </w:tcPr>
          <w:p w:rsidR="007A6BFE" w:rsidRPr="00923A9F" w:rsidRDefault="007A6BFE" w:rsidP="00040AE2">
            <w:pPr>
              <w:spacing w:before="20" w:after="20"/>
              <w:rPr>
                <w:rFonts w:cs="Arial"/>
                <w:b/>
                <w:color w:val="000000"/>
              </w:rPr>
            </w:pPr>
            <w:r w:rsidRPr="00923A9F">
              <w:rPr>
                <w:rFonts w:cs="Arial"/>
                <w:b/>
                <w:color w:val="000000"/>
              </w:rPr>
              <w:t>Baseline value</w:t>
            </w:r>
          </w:p>
        </w:tc>
        <w:tc>
          <w:tcPr>
            <w:tcW w:w="3456" w:type="pct"/>
          </w:tcPr>
          <w:p w:rsidR="007A6BFE" w:rsidRPr="00923A9F" w:rsidRDefault="007A6BFE" w:rsidP="00040AE2">
            <w:pPr>
              <w:keepNext/>
              <w:contextualSpacing/>
              <w:rPr>
                <w:rFonts w:cs="Arial"/>
                <w:color w:val="000000"/>
              </w:rPr>
            </w:pPr>
            <w:r w:rsidRPr="00923A9F">
              <w:rPr>
                <w:rFonts w:cs="Arial"/>
                <w:color w:val="000000"/>
              </w:rPr>
              <w:t>N/A</w:t>
            </w:r>
          </w:p>
        </w:tc>
      </w:tr>
      <w:tr w:rsidR="007A6BFE" w:rsidRPr="00923A9F" w:rsidTr="004363C2">
        <w:trPr>
          <w:trHeight w:val="73"/>
        </w:trPr>
        <w:tc>
          <w:tcPr>
            <w:tcW w:w="1544" w:type="pct"/>
          </w:tcPr>
          <w:p w:rsidR="007A6BFE" w:rsidRPr="00923A9F" w:rsidRDefault="007A6BFE" w:rsidP="00040AE2">
            <w:pPr>
              <w:spacing w:before="20" w:after="20"/>
              <w:rPr>
                <w:rFonts w:cs="Arial"/>
                <w:b/>
                <w:color w:val="000000"/>
              </w:rPr>
            </w:pPr>
            <w:r w:rsidRPr="00923A9F">
              <w:rPr>
                <w:rFonts w:cs="Arial"/>
                <w:b/>
                <w:color w:val="000000"/>
              </w:rPr>
              <w:t>Final indicator period/date (on which payment is based)</w:t>
            </w:r>
          </w:p>
        </w:tc>
        <w:tc>
          <w:tcPr>
            <w:tcW w:w="3456" w:type="pct"/>
          </w:tcPr>
          <w:p w:rsidR="007A6BFE" w:rsidRPr="00923A9F" w:rsidRDefault="007A6BFE" w:rsidP="00040AE2">
            <w:pPr>
              <w:keepNext/>
              <w:contextualSpacing/>
              <w:rPr>
                <w:rFonts w:cs="Arial"/>
              </w:rPr>
            </w:pPr>
            <w:r w:rsidRPr="00923A9F">
              <w:rPr>
                <w:rFonts w:cs="Arial"/>
              </w:rPr>
              <w:t>Based on achieve</w:t>
            </w:r>
            <w:r>
              <w:rPr>
                <w:rFonts w:cs="Arial"/>
              </w:rPr>
              <w:t>ment in each quarter within 2017/18</w:t>
            </w:r>
          </w:p>
        </w:tc>
      </w:tr>
      <w:tr w:rsidR="007A6BFE" w:rsidRPr="00923A9F" w:rsidTr="004363C2">
        <w:trPr>
          <w:trHeight w:val="73"/>
        </w:trPr>
        <w:tc>
          <w:tcPr>
            <w:tcW w:w="1544" w:type="pct"/>
          </w:tcPr>
          <w:p w:rsidR="007A6BFE" w:rsidRPr="00923A9F" w:rsidRDefault="007A6BFE" w:rsidP="00040AE2">
            <w:pPr>
              <w:spacing w:before="20" w:after="20"/>
              <w:rPr>
                <w:rFonts w:cs="Arial"/>
                <w:b/>
                <w:color w:val="000000"/>
              </w:rPr>
            </w:pPr>
            <w:r w:rsidRPr="00923A9F">
              <w:rPr>
                <w:rFonts w:cs="Arial"/>
                <w:b/>
                <w:color w:val="000000"/>
              </w:rPr>
              <w:t>Final indicator value (payment threshold)</w:t>
            </w:r>
          </w:p>
        </w:tc>
        <w:tc>
          <w:tcPr>
            <w:tcW w:w="3456" w:type="pct"/>
          </w:tcPr>
          <w:p w:rsidR="007A6BFE" w:rsidRPr="00923A9F" w:rsidRDefault="007A6BFE" w:rsidP="00040AE2">
            <w:pPr>
              <w:keepNext/>
              <w:contextualSpacing/>
              <w:rPr>
                <w:rFonts w:cs="Arial"/>
              </w:rPr>
            </w:pPr>
            <w:r w:rsidRPr="00923A9F">
              <w:rPr>
                <w:rFonts w:cs="Arial"/>
              </w:rPr>
              <w:t>Based on achieve</w:t>
            </w:r>
            <w:r>
              <w:rPr>
                <w:rFonts w:cs="Arial"/>
              </w:rPr>
              <w:t>ment in each quarter within 2017/18</w:t>
            </w:r>
            <w:r w:rsidRPr="00923A9F">
              <w:rPr>
                <w:rFonts w:cs="Arial"/>
              </w:rPr>
              <w:t xml:space="preserve"> – see milestones section</w:t>
            </w:r>
          </w:p>
          <w:p w:rsidR="007A6BFE" w:rsidRPr="00923A9F" w:rsidRDefault="007A6BFE" w:rsidP="00040AE2">
            <w:pPr>
              <w:keepNext/>
              <w:contextualSpacing/>
              <w:rPr>
                <w:rFonts w:cs="Arial"/>
              </w:rPr>
            </w:pPr>
          </w:p>
        </w:tc>
      </w:tr>
      <w:tr w:rsidR="007A6BFE" w:rsidRPr="00923A9F" w:rsidTr="004363C2">
        <w:trPr>
          <w:trHeight w:val="73"/>
        </w:trPr>
        <w:tc>
          <w:tcPr>
            <w:tcW w:w="1544" w:type="pct"/>
          </w:tcPr>
          <w:p w:rsidR="007A6BFE" w:rsidRPr="00923A9F" w:rsidRDefault="007A6BFE" w:rsidP="00040AE2">
            <w:pPr>
              <w:spacing w:before="20" w:after="20"/>
              <w:rPr>
                <w:rFonts w:cs="Arial"/>
                <w:b/>
                <w:color w:val="000000"/>
              </w:rPr>
            </w:pPr>
            <w:r w:rsidRPr="00923A9F">
              <w:rPr>
                <w:rFonts w:cs="Arial"/>
                <w:b/>
                <w:color w:val="000000"/>
              </w:rPr>
              <w:t>Final indicator reporting date</w:t>
            </w:r>
          </w:p>
        </w:tc>
        <w:tc>
          <w:tcPr>
            <w:tcW w:w="3456" w:type="pct"/>
          </w:tcPr>
          <w:p w:rsidR="007A6BFE" w:rsidRPr="00923A9F" w:rsidRDefault="007A6BFE" w:rsidP="00040AE2">
            <w:pPr>
              <w:keepNext/>
              <w:contextualSpacing/>
              <w:rPr>
                <w:rFonts w:cs="Arial"/>
              </w:rPr>
            </w:pPr>
            <w:r w:rsidRPr="00923A9F">
              <w:rPr>
                <w:rFonts w:cs="Arial"/>
              </w:rPr>
              <w:t xml:space="preserve">As soon as </w:t>
            </w:r>
            <w:r>
              <w:rPr>
                <w:rFonts w:cs="Arial"/>
              </w:rPr>
              <w:t>possible after Q4 2017/18</w:t>
            </w:r>
          </w:p>
        </w:tc>
      </w:tr>
      <w:tr w:rsidR="007A6BFE" w:rsidRPr="00923A9F" w:rsidTr="004363C2">
        <w:trPr>
          <w:trHeight w:val="73"/>
        </w:trPr>
        <w:tc>
          <w:tcPr>
            <w:tcW w:w="1544" w:type="pct"/>
          </w:tcPr>
          <w:p w:rsidR="007A6BFE" w:rsidRPr="00923A9F" w:rsidRDefault="007A6BFE" w:rsidP="00040AE2">
            <w:pPr>
              <w:spacing w:before="20" w:after="20"/>
              <w:rPr>
                <w:rFonts w:cs="Arial"/>
                <w:b/>
                <w:color w:val="000000"/>
              </w:rPr>
            </w:pPr>
            <w:r w:rsidRPr="00923A9F">
              <w:rPr>
                <w:rFonts w:cs="Arial"/>
                <w:b/>
                <w:color w:val="000000"/>
              </w:rPr>
              <w:t>Are there rules for any agreed in-year milestones that result in payment?</w:t>
            </w:r>
          </w:p>
        </w:tc>
        <w:tc>
          <w:tcPr>
            <w:tcW w:w="3456" w:type="pct"/>
          </w:tcPr>
          <w:p w:rsidR="007A6BFE" w:rsidRPr="00923A9F" w:rsidRDefault="007A6BFE" w:rsidP="00040AE2">
            <w:pPr>
              <w:keepNext/>
              <w:contextualSpacing/>
              <w:rPr>
                <w:rFonts w:cs="Arial"/>
              </w:rPr>
            </w:pPr>
            <w:r w:rsidRPr="00923A9F">
              <w:rPr>
                <w:rFonts w:cs="Arial"/>
              </w:rPr>
              <w:t>Yes, see milestones section</w:t>
            </w:r>
          </w:p>
        </w:tc>
      </w:tr>
      <w:tr w:rsidR="007A6BFE" w:rsidRPr="00923A9F" w:rsidTr="004363C2">
        <w:trPr>
          <w:trHeight w:val="73"/>
        </w:trPr>
        <w:tc>
          <w:tcPr>
            <w:tcW w:w="1544" w:type="pct"/>
          </w:tcPr>
          <w:p w:rsidR="007A6BFE" w:rsidRPr="00923A9F" w:rsidRDefault="007A6BFE" w:rsidP="00040AE2">
            <w:pPr>
              <w:spacing w:before="20" w:after="20"/>
              <w:rPr>
                <w:rFonts w:cs="Arial"/>
                <w:b/>
                <w:color w:val="000000"/>
              </w:rPr>
            </w:pPr>
            <w:r w:rsidRPr="00923A9F">
              <w:rPr>
                <w:rFonts w:cs="Arial"/>
                <w:b/>
                <w:color w:val="000000"/>
              </w:rPr>
              <w:t>Are there any rules for partial achievement of the indicator at the final indicator period/date?</w:t>
            </w:r>
          </w:p>
        </w:tc>
        <w:tc>
          <w:tcPr>
            <w:tcW w:w="3456" w:type="pct"/>
          </w:tcPr>
          <w:p w:rsidR="007A6BFE" w:rsidRPr="00923A9F" w:rsidRDefault="007A6BFE" w:rsidP="00040AE2">
            <w:pPr>
              <w:keepNext/>
              <w:contextualSpacing/>
              <w:rPr>
                <w:rFonts w:eastAsia="Calibri" w:cs="Arial"/>
              </w:rPr>
            </w:pPr>
            <w:r w:rsidRPr="00923A9F">
              <w:rPr>
                <w:rFonts w:eastAsia="Calibri" w:cs="Arial"/>
              </w:rPr>
              <w:t>No</w:t>
            </w:r>
          </w:p>
        </w:tc>
      </w:tr>
      <w:tr w:rsidR="007A6BFE" w:rsidRPr="00923A9F" w:rsidTr="004363C2">
        <w:trPr>
          <w:trHeight w:val="73"/>
        </w:trPr>
        <w:tc>
          <w:tcPr>
            <w:tcW w:w="1544" w:type="pct"/>
          </w:tcPr>
          <w:p w:rsidR="007A6BFE" w:rsidRPr="00923A9F" w:rsidRDefault="007A6BFE" w:rsidP="00040AE2">
            <w:pPr>
              <w:spacing w:before="20" w:after="20"/>
              <w:rPr>
                <w:rFonts w:cs="Arial"/>
                <w:b/>
                <w:color w:val="000000"/>
              </w:rPr>
            </w:pPr>
            <w:r w:rsidRPr="00923A9F">
              <w:rPr>
                <w:rFonts w:cs="Arial"/>
                <w:b/>
                <w:color w:val="000000"/>
              </w:rPr>
              <w:t>EXIT Route</w:t>
            </w:r>
          </w:p>
        </w:tc>
        <w:tc>
          <w:tcPr>
            <w:tcW w:w="3456" w:type="pct"/>
          </w:tcPr>
          <w:p w:rsidR="007A6BFE" w:rsidRPr="00923A9F" w:rsidRDefault="007A6BFE" w:rsidP="00040AE2">
            <w:pPr>
              <w:keepNext/>
              <w:contextualSpacing/>
              <w:rPr>
                <w:rFonts w:cs="Arial"/>
                <w:color w:val="000000"/>
              </w:rPr>
            </w:pPr>
            <w:r w:rsidRPr="00923A9F">
              <w:rPr>
                <w:rFonts w:cs="Arial"/>
                <w:color w:val="000000"/>
              </w:rPr>
              <w:t>To be determined locally</w:t>
            </w:r>
          </w:p>
        </w:tc>
      </w:tr>
    </w:tbl>
    <w:p w:rsidR="007A6BFE" w:rsidRDefault="007A6BFE" w:rsidP="00702E87">
      <w:pPr>
        <w:rPr>
          <w:lang w:eastAsia="en-GB"/>
        </w:rPr>
      </w:pPr>
    </w:p>
    <w:p w:rsidR="004363C2" w:rsidRDefault="004363C2">
      <w:pPr>
        <w:rPr>
          <w:rFonts w:eastAsiaTheme="majorEastAsia" w:cstheme="majorBidi"/>
          <w:b/>
          <w:bCs w:val="0"/>
          <w:iCs/>
          <w:color w:val="A00054" w:themeColor="accent2"/>
          <w:lang w:eastAsia="en-GB"/>
        </w:rPr>
      </w:pPr>
      <w:r>
        <w:rPr>
          <w:lang w:eastAsia="en-GB"/>
        </w:rPr>
        <w:br w:type="page"/>
      </w:r>
    </w:p>
    <w:p w:rsidR="00702E87" w:rsidRDefault="00702E87" w:rsidP="00702E87">
      <w:pPr>
        <w:pStyle w:val="Heading4"/>
        <w:rPr>
          <w:lang w:eastAsia="en-GB"/>
        </w:rPr>
      </w:pPr>
      <w:r w:rsidRPr="00702E87">
        <w:rPr>
          <w:lang w:eastAsia="en-GB"/>
        </w:rPr>
        <w:lastRenderedPageBreak/>
        <w:t>Milestones</w:t>
      </w:r>
      <w:r>
        <w:rPr>
          <w:lang w:eastAsia="en-GB"/>
        </w:rPr>
        <w:t xml:space="preserve"> for indicator 2</w:t>
      </w:r>
      <w:r w:rsidR="00E33BF4">
        <w:rPr>
          <w:lang w:eastAsia="en-GB"/>
        </w:rPr>
        <w:t>c</w:t>
      </w:r>
    </w:p>
    <w:p w:rsidR="007A6BFE" w:rsidRDefault="007A6BFE" w:rsidP="00702E87">
      <w:pPr>
        <w:rPr>
          <w:b/>
          <w:lang w:eastAsia="en-GB"/>
        </w:rPr>
      </w:pPr>
    </w:p>
    <w:tbl>
      <w:tblPr>
        <w:tblStyle w:val="TableGrid"/>
        <w:tblW w:w="4595" w:type="pct"/>
        <w:tblLook w:val="04A0" w:firstRow="1" w:lastRow="0" w:firstColumn="1" w:lastColumn="0" w:noHBand="0" w:noVBand="1"/>
        <w:tblCaption w:val="Please add a description of this table"/>
      </w:tblPr>
      <w:tblGrid>
        <w:gridCol w:w="1537"/>
        <w:gridCol w:w="4063"/>
        <w:gridCol w:w="1337"/>
        <w:gridCol w:w="1591"/>
      </w:tblGrid>
      <w:tr w:rsidR="007A6BFE" w:rsidRPr="00923A9F" w:rsidTr="00C56BCA">
        <w:trPr>
          <w:trHeight w:val="1357"/>
          <w:tblHeader/>
        </w:trPr>
        <w:tc>
          <w:tcPr>
            <w:tcW w:w="901" w:type="pct"/>
            <w:shd w:val="clear" w:color="auto" w:fill="0070C0"/>
          </w:tcPr>
          <w:p w:rsidR="007A6BFE" w:rsidRPr="00923A9F" w:rsidRDefault="007A6BFE" w:rsidP="00040AE2">
            <w:pPr>
              <w:spacing w:before="20" w:after="20"/>
              <w:jc w:val="center"/>
              <w:rPr>
                <w:rFonts w:cs="Arial"/>
                <w:b/>
                <w:color w:val="FFFFFF" w:themeColor="background1"/>
              </w:rPr>
            </w:pPr>
            <w:r w:rsidRPr="00923A9F">
              <w:rPr>
                <w:rFonts w:cs="Arial"/>
                <w:b/>
                <w:color w:val="FFFFFF" w:themeColor="background1"/>
              </w:rPr>
              <w:t>Date/period milestone relates to</w:t>
            </w:r>
          </w:p>
        </w:tc>
        <w:tc>
          <w:tcPr>
            <w:tcW w:w="2382" w:type="pct"/>
            <w:shd w:val="clear" w:color="auto" w:fill="0070C0"/>
          </w:tcPr>
          <w:p w:rsidR="007A6BFE" w:rsidRPr="00923A9F" w:rsidRDefault="007A6BFE" w:rsidP="00040AE2">
            <w:pPr>
              <w:spacing w:before="20" w:after="20"/>
              <w:jc w:val="center"/>
              <w:rPr>
                <w:rFonts w:cs="Arial"/>
                <w:b/>
                <w:color w:val="FFFFFF" w:themeColor="background1"/>
              </w:rPr>
            </w:pPr>
            <w:r w:rsidRPr="00923A9F">
              <w:rPr>
                <w:rFonts w:cs="Arial"/>
                <w:b/>
                <w:color w:val="FFFFFF" w:themeColor="background1"/>
              </w:rPr>
              <w:t>Rules for achievement of milestones (including evidence to be supplied to commissioner)</w:t>
            </w:r>
          </w:p>
        </w:tc>
        <w:tc>
          <w:tcPr>
            <w:tcW w:w="784" w:type="pct"/>
            <w:shd w:val="clear" w:color="auto" w:fill="0070C0"/>
          </w:tcPr>
          <w:p w:rsidR="007A6BFE" w:rsidRPr="00923A9F" w:rsidRDefault="007A6BFE" w:rsidP="00040AE2">
            <w:pPr>
              <w:spacing w:before="20" w:after="20"/>
              <w:jc w:val="center"/>
              <w:rPr>
                <w:rFonts w:cs="Arial"/>
                <w:b/>
                <w:color w:val="FFFFFF" w:themeColor="background1"/>
              </w:rPr>
            </w:pPr>
            <w:r w:rsidRPr="00923A9F">
              <w:rPr>
                <w:rFonts w:cs="Arial"/>
                <w:b/>
                <w:color w:val="FFFFFF" w:themeColor="background1"/>
              </w:rPr>
              <w:t>Date milestone to be reported</w:t>
            </w:r>
          </w:p>
        </w:tc>
        <w:tc>
          <w:tcPr>
            <w:tcW w:w="933" w:type="pct"/>
            <w:shd w:val="clear" w:color="auto" w:fill="0070C0"/>
          </w:tcPr>
          <w:p w:rsidR="007A6BFE" w:rsidRPr="00923A9F" w:rsidRDefault="007A6BFE" w:rsidP="00040AE2">
            <w:pPr>
              <w:spacing w:before="20" w:after="20"/>
              <w:jc w:val="center"/>
              <w:rPr>
                <w:rFonts w:cs="Arial"/>
                <w:b/>
                <w:color w:val="FFFFFF" w:themeColor="background1"/>
              </w:rPr>
            </w:pPr>
            <w:r w:rsidRPr="00923A9F">
              <w:rPr>
                <w:rFonts w:cs="Arial"/>
                <w:b/>
                <w:color w:val="FFFFFF" w:themeColor="background1"/>
              </w:rPr>
              <w:t>Milestone weighting (% of CQUIN scheme available)</w:t>
            </w:r>
          </w:p>
        </w:tc>
      </w:tr>
      <w:tr w:rsidR="007A6BFE" w:rsidRPr="00923A9F" w:rsidTr="00C56BCA">
        <w:trPr>
          <w:trHeight w:val="838"/>
        </w:trPr>
        <w:tc>
          <w:tcPr>
            <w:tcW w:w="901" w:type="pct"/>
          </w:tcPr>
          <w:p w:rsidR="007A6BFE" w:rsidRPr="00923A9F" w:rsidRDefault="007A6BFE" w:rsidP="00040AE2">
            <w:pPr>
              <w:spacing w:before="20" w:after="20"/>
              <w:rPr>
                <w:rFonts w:cs="Arial"/>
                <w:b/>
              </w:rPr>
            </w:pPr>
            <w:r w:rsidRPr="00923A9F">
              <w:rPr>
                <w:rFonts w:cs="Arial"/>
              </w:rPr>
              <w:t>Quarter 1</w:t>
            </w:r>
          </w:p>
        </w:tc>
        <w:tc>
          <w:tcPr>
            <w:tcW w:w="2382" w:type="pct"/>
          </w:tcPr>
          <w:p w:rsidR="007A6BFE" w:rsidRPr="00923A9F" w:rsidRDefault="007A6BFE" w:rsidP="00040AE2">
            <w:pPr>
              <w:spacing w:before="20" w:after="20"/>
              <w:rPr>
                <w:rFonts w:cs="Arial"/>
              </w:rPr>
            </w:pPr>
            <w:r w:rsidRPr="00923A9F">
              <w:rPr>
                <w:rFonts w:cs="Arial"/>
              </w:rPr>
              <w:t xml:space="preserve">Perform an empiric review for at least 25% of cases in the sample </w:t>
            </w:r>
          </w:p>
        </w:tc>
        <w:tc>
          <w:tcPr>
            <w:tcW w:w="784" w:type="pct"/>
          </w:tcPr>
          <w:p w:rsidR="007A6BFE" w:rsidRPr="00923A9F" w:rsidRDefault="007A6BFE" w:rsidP="00040AE2">
            <w:pPr>
              <w:spacing w:before="20" w:after="20"/>
              <w:rPr>
                <w:rFonts w:cs="Arial"/>
              </w:rPr>
            </w:pPr>
            <w:r w:rsidRPr="00923A9F">
              <w:rPr>
                <w:rFonts w:cs="Arial"/>
              </w:rPr>
              <w:t>End Q1</w:t>
            </w:r>
          </w:p>
        </w:tc>
        <w:tc>
          <w:tcPr>
            <w:tcW w:w="933" w:type="pct"/>
          </w:tcPr>
          <w:p w:rsidR="007A6BFE" w:rsidRPr="00923A9F" w:rsidRDefault="007A6BFE" w:rsidP="00040AE2">
            <w:pPr>
              <w:spacing w:before="20" w:after="20"/>
              <w:rPr>
                <w:rFonts w:cs="Arial"/>
              </w:rPr>
            </w:pPr>
            <w:r w:rsidRPr="005512C7">
              <w:rPr>
                <w:rFonts w:cs="Arial"/>
              </w:rPr>
              <w:t>25% of 0.0</w:t>
            </w:r>
            <w:r>
              <w:rPr>
                <w:rFonts w:cs="Arial"/>
              </w:rPr>
              <w:t>62</w:t>
            </w:r>
            <w:r w:rsidRPr="005512C7">
              <w:rPr>
                <w:rFonts w:cs="Arial"/>
              </w:rPr>
              <w:t>5% (0.01</w:t>
            </w:r>
            <w:r>
              <w:rPr>
                <w:rFonts w:cs="Arial"/>
              </w:rPr>
              <w:t>56</w:t>
            </w:r>
            <w:r w:rsidRPr="005512C7">
              <w:rPr>
                <w:rFonts w:cs="Arial"/>
              </w:rPr>
              <w:t>25%)</w:t>
            </w:r>
          </w:p>
        </w:tc>
      </w:tr>
      <w:tr w:rsidR="007A6BFE" w:rsidRPr="00923A9F" w:rsidTr="00C56BCA">
        <w:trPr>
          <w:trHeight w:val="823"/>
        </w:trPr>
        <w:tc>
          <w:tcPr>
            <w:tcW w:w="901" w:type="pct"/>
          </w:tcPr>
          <w:p w:rsidR="007A6BFE" w:rsidRPr="00923A9F" w:rsidRDefault="007A6BFE" w:rsidP="00040AE2">
            <w:pPr>
              <w:spacing w:before="20" w:after="20"/>
              <w:rPr>
                <w:rFonts w:cs="Arial"/>
                <w:b/>
                <w:color w:val="000000"/>
              </w:rPr>
            </w:pPr>
            <w:r w:rsidRPr="00923A9F">
              <w:rPr>
                <w:rFonts w:cs="Arial"/>
              </w:rPr>
              <w:t>Quarter 2</w:t>
            </w:r>
          </w:p>
        </w:tc>
        <w:tc>
          <w:tcPr>
            <w:tcW w:w="2382" w:type="pct"/>
          </w:tcPr>
          <w:p w:rsidR="007A6BFE" w:rsidRPr="00923A9F" w:rsidRDefault="007A6BFE" w:rsidP="00040AE2">
            <w:pPr>
              <w:spacing w:before="20" w:after="20"/>
              <w:rPr>
                <w:rFonts w:cs="Arial"/>
              </w:rPr>
            </w:pPr>
            <w:r w:rsidRPr="00923A9F">
              <w:rPr>
                <w:rFonts w:cs="Arial"/>
              </w:rPr>
              <w:t>Perform an empiric review for at least 50% of cases in the sample</w:t>
            </w:r>
          </w:p>
        </w:tc>
        <w:tc>
          <w:tcPr>
            <w:tcW w:w="784" w:type="pct"/>
          </w:tcPr>
          <w:p w:rsidR="007A6BFE" w:rsidRPr="00923A9F" w:rsidRDefault="007A6BFE" w:rsidP="00040AE2">
            <w:pPr>
              <w:spacing w:before="20" w:after="20"/>
              <w:rPr>
                <w:rFonts w:cs="Arial"/>
              </w:rPr>
            </w:pPr>
            <w:r w:rsidRPr="00923A9F">
              <w:rPr>
                <w:rFonts w:cs="Arial"/>
              </w:rPr>
              <w:t>End Q2</w:t>
            </w:r>
          </w:p>
        </w:tc>
        <w:tc>
          <w:tcPr>
            <w:tcW w:w="933" w:type="pct"/>
          </w:tcPr>
          <w:p w:rsidR="007A6BFE" w:rsidRPr="00923A9F" w:rsidRDefault="007A6BFE" w:rsidP="00040AE2">
            <w:pPr>
              <w:spacing w:before="20" w:after="20"/>
              <w:rPr>
                <w:rFonts w:cs="Arial"/>
              </w:rPr>
            </w:pPr>
            <w:r w:rsidRPr="005512C7">
              <w:rPr>
                <w:rFonts w:cs="Arial"/>
              </w:rPr>
              <w:t>25% of 0.0</w:t>
            </w:r>
            <w:r>
              <w:rPr>
                <w:rFonts w:cs="Arial"/>
              </w:rPr>
              <w:t>62</w:t>
            </w:r>
            <w:r w:rsidRPr="005512C7">
              <w:rPr>
                <w:rFonts w:cs="Arial"/>
              </w:rPr>
              <w:t>5% (0.01</w:t>
            </w:r>
            <w:r>
              <w:rPr>
                <w:rFonts w:cs="Arial"/>
              </w:rPr>
              <w:t>56</w:t>
            </w:r>
            <w:r w:rsidRPr="005512C7">
              <w:rPr>
                <w:rFonts w:cs="Arial"/>
              </w:rPr>
              <w:t>25%)</w:t>
            </w:r>
          </w:p>
        </w:tc>
      </w:tr>
      <w:tr w:rsidR="007A6BFE" w:rsidRPr="00923A9F" w:rsidTr="00C56BCA">
        <w:trPr>
          <w:trHeight w:val="794"/>
        </w:trPr>
        <w:tc>
          <w:tcPr>
            <w:tcW w:w="901" w:type="pct"/>
          </w:tcPr>
          <w:p w:rsidR="007A6BFE" w:rsidRPr="00923A9F" w:rsidRDefault="007A6BFE" w:rsidP="00040AE2">
            <w:pPr>
              <w:spacing w:before="20" w:after="20"/>
              <w:rPr>
                <w:rFonts w:cs="Arial"/>
                <w:b/>
                <w:color w:val="000000"/>
              </w:rPr>
            </w:pPr>
            <w:r w:rsidRPr="00923A9F">
              <w:rPr>
                <w:rFonts w:cs="Arial"/>
              </w:rPr>
              <w:t>Quarter 3</w:t>
            </w:r>
          </w:p>
        </w:tc>
        <w:tc>
          <w:tcPr>
            <w:tcW w:w="2382" w:type="pct"/>
          </w:tcPr>
          <w:p w:rsidR="007A6BFE" w:rsidRPr="00923A9F" w:rsidRDefault="007A6BFE" w:rsidP="00040AE2">
            <w:pPr>
              <w:rPr>
                <w:rFonts w:cs="Arial"/>
              </w:rPr>
            </w:pPr>
            <w:r w:rsidRPr="00923A9F">
              <w:rPr>
                <w:rFonts w:cs="Arial"/>
              </w:rPr>
              <w:t>Perform an empiric review for at least 75% of cases in the sample</w:t>
            </w:r>
          </w:p>
        </w:tc>
        <w:tc>
          <w:tcPr>
            <w:tcW w:w="784" w:type="pct"/>
          </w:tcPr>
          <w:p w:rsidR="007A6BFE" w:rsidRPr="00923A9F" w:rsidRDefault="007A6BFE" w:rsidP="00040AE2">
            <w:pPr>
              <w:rPr>
                <w:rFonts w:cs="Arial"/>
              </w:rPr>
            </w:pPr>
            <w:r w:rsidRPr="00923A9F">
              <w:rPr>
                <w:rFonts w:cs="Arial"/>
              </w:rPr>
              <w:t>End Q3</w:t>
            </w:r>
          </w:p>
        </w:tc>
        <w:tc>
          <w:tcPr>
            <w:tcW w:w="933" w:type="pct"/>
          </w:tcPr>
          <w:p w:rsidR="007A6BFE" w:rsidRPr="00923A9F" w:rsidRDefault="007A6BFE" w:rsidP="00040AE2">
            <w:pPr>
              <w:rPr>
                <w:rFonts w:cs="Arial"/>
              </w:rPr>
            </w:pPr>
            <w:r w:rsidRPr="005512C7">
              <w:rPr>
                <w:rFonts w:cs="Arial"/>
              </w:rPr>
              <w:t>25% of 0.0</w:t>
            </w:r>
            <w:r>
              <w:rPr>
                <w:rFonts w:cs="Arial"/>
              </w:rPr>
              <w:t>62</w:t>
            </w:r>
            <w:r w:rsidRPr="005512C7">
              <w:rPr>
                <w:rFonts w:cs="Arial"/>
              </w:rPr>
              <w:t>5% (0.01</w:t>
            </w:r>
            <w:r>
              <w:rPr>
                <w:rFonts w:cs="Arial"/>
              </w:rPr>
              <w:t>56</w:t>
            </w:r>
            <w:r w:rsidRPr="005512C7">
              <w:rPr>
                <w:rFonts w:cs="Arial"/>
              </w:rPr>
              <w:t>25%)</w:t>
            </w:r>
          </w:p>
        </w:tc>
      </w:tr>
      <w:tr w:rsidR="007A6BFE" w:rsidRPr="00923A9F" w:rsidTr="00C56BCA">
        <w:trPr>
          <w:trHeight w:val="809"/>
        </w:trPr>
        <w:tc>
          <w:tcPr>
            <w:tcW w:w="901" w:type="pct"/>
          </w:tcPr>
          <w:p w:rsidR="007A6BFE" w:rsidRPr="00923A9F" w:rsidRDefault="007A6BFE" w:rsidP="00040AE2">
            <w:pPr>
              <w:spacing w:before="20" w:after="20"/>
              <w:rPr>
                <w:rFonts w:cs="Arial"/>
                <w:b/>
                <w:color w:val="000000"/>
              </w:rPr>
            </w:pPr>
            <w:r w:rsidRPr="00923A9F">
              <w:rPr>
                <w:rFonts w:cs="Arial"/>
              </w:rPr>
              <w:t>Quarter 4</w:t>
            </w:r>
          </w:p>
        </w:tc>
        <w:tc>
          <w:tcPr>
            <w:tcW w:w="2382" w:type="pct"/>
          </w:tcPr>
          <w:p w:rsidR="007A6BFE" w:rsidRPr="00923A9F" w:rsidRDefault="007A6BFE" w:rsidP="00040AE2">
            <w:pPr>
              <w:rPr>
                <w:rFonts w:cs="Arial"/>
              </w:rPr>
            </w:pPr>
            <w:r w:rsidRPr="00923A9F">
              <w:rPr>
                <w:rFonts w:cs="Arial"/>
              </w:rPr>
              <w:t>Perform an empiric review for at least 90% of cases in the sample</w:t>
            </w:r>
          </w:p>
        </w:tc>
        <w:tc>
          <w:tcPr>
            <w:tcW w:w="784" w:type="pct"/>
          </w:tcPr>
          <w:p w:rsidR="007A6BFE" w:rsidRPr="00923A9F" w:rsidRDefault="007A6BFE" w:rsidP="00040AE2">
            <w:pPr>
              <w:rPr>
                <w:rFonts w:cs="Arial"/>
              </w:rPr>
            </w:pPr>
            <w:r w:rsidRPr="00923A9F">
              <w:rPr>
                <w:rFonts w:cs="Arial"/>
              </w:rPr>
              <w:t>End Q</w:t>
            </w:r>
            <w:r w:rsidR="00633050">
              <w:rPr>
                <w:rFonts w:cs="Arial"/>
              </w:rPr>
              <w:t>4</w:t>
            </w:r>
          </w:p>
        </w:tc>
        <w:tc>
          <w:tcPr>
            <w:tcW w:w="933" w:type="pct"/>
          </w:tcPr>
          <w:p w:rsidR="007A6BFE" w:rsidRPr="00923A9F" w:rsidRDefault="007A6BFE" w:rsidP="00040AE2">
            <w:pPr>
              <w:rPr>
                <w:rFonts w:cs="Arial"/>
              </w:rPr>
            </w:pPr>
            <w:r w:rsidRPr="005512C7">
              <w:rPr>
                <w:rFonts w:cs="Arial"/>
              </w:rPr>
              <w:t>25% of 0.0</w:t>
            </w:r>
            <w:r>
              <w:rPr>
                <w:rFonts w:cs="Arial"/>
              </w:rPr>
              <w:t>62</w:t>
            </w:r>
            <w:r w:rsidRPr="005512C7">
              <w:rPr>
                <w:rFonts w:cs="Arial"/>
              </w:rPr>
              <w:t>5% (0.01</w:t>
            </w:r>
            <w:r>
              <w:rPr>
                <w:rFonts w:cs="Arial"/>
              </w:rPr>
              <w:t>56</w:t>
            </w:r>
            <w:r w:rsidRPr="005512C7">
              <w:rPr>
                <w:rFonts w:cs="Arial"/>
              </w:rPr>
              <w:t>25%)</w:t>
            </w:r>
          </w:p>
        </w:tc>
      </w:tr>
    </w:tbl>
    <w:p w:rsidR="00C56BCA" w:rsidRDefault="00C56BCA">
      <w:pPr>
        <w:rPr>
          <w:rFonts w:eastAsiaTheme="majorEastAsia" w:cstheme="majorBidi"/>
          <w:b/>
          <w:bCs w:val="0"/>
          <w:iCs/>
          <w:color w:val="A00054" w:themeColor="accent2"/>
          <w:lang w:eastAsia="en-GB"/>
        </w:rPr>
      </w:pPr>
    </w:p>
    <w:p w:rsidR="00702E87" w:rsidRPr="000D4728" w:rsidRDefault="00702E87" w:rsidP="000D4728">
      <w:pPr>
        <w:pStyle w:val="Heading4"/>
      </w:pPr>
      <w:r>
        <w:rPr>
          <w:lang w:eastAsia="en-GB"/>
        </w:rPr>
        <w:t>Indicator 2</w:t>
      </w:r>
      <w:r w:rsidR="00E33BF4">
        <w:rPr>
          <w:lang w:eastAsia="en-GB"/>
        </w:rPr>
        <w:t>d</w:t>
      </w:r>
      <w:r w:rsidRPr="00702E87">
        <w:rPr>
          <w:lang w:eastAsia="en-GB"/>
        </w:rPr>
        <w:t xml:space="preserve"> </w:t>
      </w:r>
      <w:r w:rsidR="000D4728" w:rsidRPr="008F55AF">
        <w:rPr>
          <w:lang w:val="en-US"/>
        </w:rPr>
        <w:t>Reduction in antibiotic consumption per 1,000 admissions</w:t>
      </w:r>
    </w:p>
    <w:p w:rsidR="00702E87" w:rsidRDefault="00702E87" w:rsidP="00702E87">
      <w:pPr>
        <w:rPr>
          <w:lang w:eastAsia="en-GB"/>
        </w:rPr>
      </w:pPr>
    </w:p>
    <w:tbl>
      <w:tblPr>
        <w:tblStyle w:val="TableGrid"/>
        <w:tblW w:w="4611" w:type="pct"/>
        <w:tblLook w:val="04A0" w:firstRow="1" w:lastRow="0" w:firstColumn="1" w:lastColumn="0" w:noHBand="0" w:noVBand="1"/>
        <w:tblCaption w:val="Please add a description of this table"/>
      </w:tblPr>
      <w:tblGrid>
        <w:gridCol w:w="2802"/>
        <w:gridCol w:w="5756"/>
      </w:tblGrid>
      <w:tr w:rsidR="007A6BFE" w:rsidRPr="00923A9F" w:rsidTr="00C56BCA">
        <w:trPr>
          <w:trHeight w:val="312"/>
          <w:tblHeader/>
        </w:trPr>
        <w:tc>
          <w:tcPr>
            <w:tcW w:w="5000" w:type="pct"/>
            <w:gridSpan w:val="2"/>
            <w:shd w:val="clear" w:color="auto" w:fill="0070C0"/>
          </w:tcPr>
          <w:p w:rsidR="007A6BFE" w:rsidRPr="00923A9F" w:rsidRDefault="00C56BCA" w:rsidP="00AD69B8">
            <w:pPr>
              <w:spacing w:before="20" w:after="20"/>
              <w:jc w:val="center"/>
              <w:rPr>
                <w:rFonts w:cs="Arial"/>
                <w:b/>
                <w:color w:val="FFFFFF" w:themeColor="background1"/>
              </w:rPr>
            </w:pPr>
            <w:r>
              <w:rPr>
                <w:rFonts w:cs="Arial"/>
                <w:b/>
                <w:color w:val="FFFFFF" w:themeColor="background1"/>
              </w:rPr>
              <w:t>Indicator 2</w:t>
            </w:r>
            <w:r w:rsidR="00E33BF4">
              <w:rPr>
                <w:rFonts w:cs="Arial"/>
                <w:b/>
                <w:color w:val="FFFFFF" w:themeColor="background1"/>
              </w:rPr>
              <w:t>d</w:t>
            </w:r>
            <w:r w:rsidR="00F9693D">
              <w:rPr>
                <w:rFonts w:cs="Arial"/>
                <w:b/>
                <w:color w:val="FFFFFF" w:themeColor="background1"/>
              </w:rPr>
              <w:t xml:space="preserve"> </w:t>
            </w:r>
          </w:p>
        </w:tc>
      </w:tr>
      <w:tr w:rsidR="007A6BFE" w:rsidRPr="00923A9F" w:rsidTr="004363C2">
        <w:trPr>
          <w:trHeight w:val="312"/>
        </w:trPr>
        <w:tc>
          <w:tcPr>
            <w:tcW w:w="1637" w:type="pct"/>
          </w:tcPr>
          <w:p w:rsidR="007A6BFE" w:rsidRPr="00923A9F" w:rsidRDefault="007A6BFE" w:rsidP="00040AE2">
            <w:pPr>
              <w:spacing w:before="20" w:after="20"/>
              <w:rPr>
                <w:rFonts w:cs="Arial"/>
                <w:b/>
              </w:rPr>
            </w:pPr>
            <w:r w:rsidRPr="00923A9F">
              <w:rPr>
                <w:rFonts w:cs="Arial"/>
                <w:b/>
                <w:color w:val="000000"/>
              </w:rPr>
              <w:t>Indicator name</w:t>
            </w:r>
          </w:p>
        </w:tc>
        <w:tc>
          <w:tcPr>
            <w:tcW w:w="3363" w:type="pct"/>
          </w:tcPr>
          <w:p w:rsidR="007A6BFE" w:rsidRPr="00923A9F" w:rsidRDefault="007A6BFE" w:rsidP="00040AE2">
            <w:pPr>
              <w:spacing w:before="20" w:after="20"/>
              <w:rPr>
                <w:rFonts w:cs="Arial"/>
              </w:rPr>
            </w:pPr>
            <w:r w:rsidRPr="00923A9F">
              <w:rPr>
                <w:rFonts w:cs="Arial"/>
              </w:rPr>
              <w:t>Reduction in antibiotic consumption per 1,000 admissions</w:t>
            </w:r>
          </w:p>
        </w:tc>
      </w:tr>
      <w:tr w:rsidR="007A6BFE" w:rsidRPr="00923A9F" w:rsidTr="004363C2">
        <w:trPr>
          <w:trHeight w:val="846"/>
        </w:trPr>
        <w:tc>
          <w:tcPr>
            <w:tcW w:w="1637" w:type="pct"/>
          </w:tcPr>
          <w:p w:rsidR="007A6BFE" w:rsidRPr="00923A9F" w:rsidRDefault="007A6BFE" w:rsidP="00040AE2">
            <w:pPr>
              <w:spacing w:before="20" w:after="20"/>
              <w:rPr>
                <w:rFonts w:cs="Arial"/>
                <w:b/>
                <w:color w:val="000000"/>
              </w:rPr>
            </w:pPr>
            <w:r w:rsidRPr="00923A9F">
              <w:rPr>
                <w:rFonts w:cs="Arial"/>
                <w:b/>
                <w:color w:val="000000"/>
              </w:rPr>
              <w:t xml:space="preserve">Indicator weighting </w:t>
            </w:r>
            <w:r w:rsidRPr="00923A9F">
              <w:rPr>
                <w:rFonts w:cs="Arial"/>
                <w:b/>
                <w:color w:val="000000"/>
              </w:rPr>
              <w:br/>
              <w:t>(% of CQUIN scheme available)</w:t>
            </w:r>
          </w:p>
        </w:tc>
        <w:tc>
          <w:tcPr>
            <w:tcW w:w="3363" w:type="pct"/>
          </w:tcPr>
          <w:p w:rsidR="007A6BFE" w:rsidRPr="00923A9F" w:rsidRDefault="007A6BFE" w:rsidP="00040AE2">
            <w:pPr>
              <w:rPr>
                <w:rFonts w:eastAsiaTheme="minorEastAsia" w:cs="Arial"/>
                <w:lang w:eastAsia="ja-JP"/>
              </w:rPr>
            </w:pPr>
            <w:r>
              <w:rPr>
                <w:rFonts w:eastAsiaTheme="minorEastAsia" w:cs="Arial"/>
                <w:lang w:eastAsia="ja-JP"/>
              </w:rPr>
              <w:t xml:space="preserve"> </w:t>
            </w:r>
            <w:r>
              <w:rPr>
                <w:rFonts w:cs="Arial"/>
              </w:rPr>
              <w:t>25% of 0.25% (0.0625%)</w:t>
            </w:r>
          </w:p>
        </w:tc>
      </w:tr>
      <w:tr w:rsidR="007A6BFE" w:rsidRPr="00923A9F" w:rsidTr="004363C2">
        <w:trPr>
          <w:trHeight w:val="2335"/>
        </w:trPr>
        <w:tc>
          <w:tcPr>
            <w:tcW w:w="1637" w:type="pct"/>
          </w:tcPr>
          <w:p w:rsidR="007A6BFE" w:rsidRPr="00923A9F" w:rsidRDefault="007A6BFE" w:rsidP="00040AE2">
            <w:pPr>
              <w:spacing w:before="20" w:after="20"/>
              <w:rPr>
                <w:rFonts w:cs="Arial"/>
                <w:b/>
                <w:color w:val="000000"/>
              </w:rPr>
            </w:pPr>
            <w:r w:rsidRPr="00923A9F">
              <w:rPr>
                <w:rFonts w:cs="Arial"/>
                <w:b/>
                <w:color w:val="000000"/>
              </w:rPr>
              <w:t>Description of indicator</w:t>
            </w:r>
          </w:p>
        </w:tc>
        <w:tc>
          <w:tcPr>
            <w:tcW w:w="3363" w:type="pct"/>
          </w:tcPr>
          <w:p w:rsidR="007A6BFE" w:rsidRDefault="007A6BFE" w:rsidP="008E08BE">
            <w:pPr>
              <w:spacing w:before="20" w:after="20"/>
              <w:rPr>
                <w:rFonts w:cs="Arial"/>
              </w:rPr>
            </w:pPr>
            <w:r w:rsidRPr="00923A9F">
              <w:rPr>
                <w:rFonts w:cs="Arial"/>
              </w:rPr>
              <w:t>There are three parts to this indicator.</w:t>
            </w:r>
          </w:p>
          <w:p w:rsidR="008E08BE" w:rsidRPr="00D35F62" w:rsidRDefault="008E08BE" w:rsidP="008E08BE">
            <w:pPr>
              <w:spacing w:before="20" w:after="20"/>
              <w:rPr>
                <w:rFonts w:cs="Arial"/>
              </w:rPr>
            </w:pPr>
          </w:p>
          <w:p w:rsidR="007A6BFE" w:rsidRPr="008E08BE" w:rsidRDefault="007A6BFE" w:rsidP="00040AE2">
            <w:pPr>
              <w:spacing w:before="20" w:after="20"/>
              <w:contextualSpacing/>
              <w:rPr>
                <w:rFonts w:cs="Arial"/>
              </w:rPr>
            </w:pPr>
            <w:r w:rsidRPr="008E08BE">
              <w:rPr>
                <w:rFonts w:cs="Arial"/>
              </w:rPr>
              <w:t>1. Total antibiotic usage (for both in-patients and out-patients) per 1,000 admissions</w:t>
            </w:r>
          </w:p>
          <w:p w:rsidR="007A6BFE" w:rsidRPr="008E08BE" w:rsidRDefault="007A6BFE" w:rsidP="00040AE2">
            <w:pPr>
              <w:spacing w:before="20" w:after="20"/>
              <w:contextualSpacing/>
              <w:rPr>
                <w:rFonts w:cs="Arial"/>
              </w:rPr>
            </w:pPr>
            <w:r w:rsidRPr="008E08BE">
              <w:rPr>
                <w:rFonts w:cs="Arial"/>
              </w:rPr>
              <w:t xml:space="preserve">2. Total usage (for both in-patients and out-patients) of </w:t>
            </w:r>
            <w:proofErr w:type="spellStart"/>
            <w:r w:rsidRPr="008E08BE">
              <w:rPr>
                <w:rFonts w:cs="Arial"/>
              </w:rPr>
              <w:t>carbapenem</w:t>
            </w:r>
            <w:proofErr w:type="spellEnd"/>
            <w:r w:rsidRPr="008E08BE">
              <w:rPr>
                <w:rFonts w:cs="Arial"/>
              </w:rPr>
              <w:t xml:space="preserve"> per 1,000 admissions</w:t>
            </w:r>
          </w:p>
          <w:p w:rsidR="007A6BFE" w:rsidRPr="00F40149" w:rsidRDefault="007A6BFE" w:rsidP="004779A7">
            <w:pPr>
              <w:spacing w:before="20" w:after="20"/>
              <w:contextualSpacing/>
              <w:rPr>
                <w:rFonts w:cs="Arial"/>
              </w:rPr>
            </w:pPr>
            <w:r w:rsidRPr="008E08BE">
              <w:rPr>
                <w:rFonts w:cs="Arial"/>
              </w:rPr>
              <w:t xml:space="preserve">3. Total usage (for both in-patients and out-patients) of </w:t>
            </w:r>
            <w:proofErr w:type="spellStart"/>
            <w:r w:rsidRPr="008E08BE">
              <w:rPr>
                <w:rFonts w:cs="Arial"/>
              </w:rPr>
              <w:t>piperacillin-tazobactam</w:t>
            </w:r>
            <w:proofErr w:type="spellEnd"/>
            <w:r w:rsidRPr="008E08BE">
              <w:rPr>
                <w:rFonts w:cs="Arial"/>
              </w:rPr>
              <w:t xml:space="preserve"> per 1,000 admissions</w:t>
            </w:r>
          </w:p>
        </w:tc>
      </w:tr>
      <w:tr w:rsidR="007A6BFE" w:rsidRPr="00923A9F" w:rsidTr="004363C2">
        <w:trPr>
          <w:trHeight w:val="1365"/>
        </w:trPr>
        <w:tc>
          <w:tcPr>
            <w:tcW w:w="1637" w:type="pct"/>
          </w:tcPr>
          <w:p w:rsidR="007A6BFE" w:rsidRPr="00923A9F" w:rsidRDefault="007A6BFE" w:rsidP="00040AE2">
            <w:pPr>
              <w:spacing w:before="20" w:after="20"/>
              <w:rPr>
                <w:rFonts w:cs="Arial"/>
                <w:b/>
                <w:color w:val="000000"/>
              </w:rPr>
            </w:pPr>
            <w:r w:rsidRPr="00923A9F">
              <w:rPr>
                <w:rFonts w:cs="Arial"/>
                <w:b/>
                <w:color w:val="000000"/>
              </w:rPr>
              <w:t>Numerator</w:t>
            </w:r>
          </w:p>
        </w:tc>
        <w:tc>
          <w:tcPr>
            <w:tcW w:w="3363" w:type="pct"/>
          </w:tcPr>
          <w:p w:rsidR="007A6BFE" w:rsidRPr="00923A9F" w:rsidRDefault="007A6BFE" w:rsidP="00040AE2">
            <w:pPr>
              <w:rPr>
                <w:rFonts w:cs="Arial"/>
              </w:rPr>
            </w:pPr>
            <w:r w:rsidRPr="00923A9F">
              <w:rPr>
                <w:rFonts w:cs="Arial"/>
              </w:rPr>
              <w:t>Total antibiotic consumption as measured by Defined Daily Dose (DDD)</w:t>
            </w:r>
          </w:p>
          <w:p w:rsidR="007A6BFE" w:rsidRPr="00923A9F" w:rsidRDefault="007A6BFE" w:rsidP="00040AE2">
            <w:pPr>
              <w:rPr>
                <w:rFonts w:cs="Arial"/>
              </w:rPr>
            </w:pPr>
            <w:r w:rsidRPr="00923A9F">
              <w:rPr>
                <w:rFonts w:cs="Arial"/>
              </w:rPr>
              <w:t xml:space="preserve">Total consumption of </w:t>
            </w:r>
            <w:proofErr w:type="spellStart"/>
            <w:r w:rsidRPr="00923A9F">
              <w:rPr>
                <w:rFonts w:cs="Arial"/>
              </w:rPr>
              <w:t>carbapenem</w:t>
            </w:r>
            <w:proofErr w:type="spellEnd"/>
            <w:r w:rsidRPr="00923A9F">
              <w:rPr>
                <w:rFonts w:cs="Arial"/>
              </w:rPr>
              <w:t xml:space="preserve"> as measured by Defined Daily Dose (DDD)</w:t>
            </w:r>
          </w:p>
          <w:p w:rsidR="007A6BFE" w:rsidRPr="00923A9F" w:rsidRDefault="007A6BFE" w:rsidP="00040AE2">
            <w:pPr>
              <w:rPr>
                <w:rFonts w:cs="Arial"/>
              </w:rPr>
            </w:pPr>
            <w:r w:rsidRPr="00923A9F">
              <w:rPr>
                <w:rFonts w:cs="Arial"/>
              </w:rPr>
              <w:t xml:space="preserve">Total consumption of </w:t>
            </w:r>
            <w:proofErr w:type="spellStart"/>
            <w:r w:rsidRPr="00923A9F">
              <w:rPr>
                <w:rFonts w:cs="Arial"/>
                <w:color w:val="000000"/>
              </w:rPr>
              <w:t>piperacillin-tazobactam</w:t>
            </w:r>
            <w:proofErr w:type="spellEnd"/>
            <w:r w:rsidRPr="00923A9F">
              <w:rPr>
                <w:rFonts w:cs="Arial"/>
              </w:rPr>
              <w:t xml:space="preserve"> as measured by Defined Daily Dose (DDD)</w:t>
            </w:r>
          </w:p>
        </w:tc>
      </w:tr>
      <w:tr w:rsidR="007A6BFE" w:rsidRPr="00923A9F" w:rsidTr="004363C2">
        <w:trPr>
          <w:trHeight w:val="142"/>
        </w:trPr>
        <w:tc>
          <w:tcPr>
            <w:tcW w:w="1637" w:type="pct"/>
          </w:tcPr>
          <w:p w:rsidR="007A6BFE" w:rsidRPr="00923A9F" w:rsidRDefault="007A6BFE" w:rsidP="00040AE2">
            <w:pPr>
              <w:spacing w:before="20" w:after="20"/>
              <w:rPr>
                <w:rFonts w:cs="Arial"/>
                <w:b/>
                <w:color w:val="000000"/>
              </w:rPr>
            </w:pPr>
            <w:r w:rsidRPr="00923A9F">
              <w:rPr>
                <w:rFonts w:cs="Arial"/>
                <w:b/>
                <w:color w:val="000000"/>
              </w:rPr>
              <w:t>Denominator</w:t>
            </w:r>
          </w:p>
        </w:tc>
        <w:tc>
          <w:tcPr>
            <w:tcW w:w="3363" w:type="pct"/>
          </w:tcPr>
          <w:p w:rsidR="007A6BFE" w:rsidRPr="00923A9F" w:rsidRDefault="007A6BFE" w:rsidP="00040AE2">
            <w:pPr>
              <w:rPr>
                <w:rFonts w:cs="Arial"/>
              </w:rPr>
            </w:pPr>
            <w:r w:rsidRPr="00923A9F">
              <w:rPr>
                <w:rFonts w:cs="Arial"/>
              </w:rPr>
              <w:t>Total admissions divided by 1,000</w:t>
            </w:r>
          </w:p>
        </w:tc>
      </w:tr>
      <w:tr w:rsidR="007A6BFE" w:rsidRPr="00923A9F" w:rsidTr="004363C2">
        <w:trPr>
          <w:trHeight w:val="142"/>
        </w:trPr>
        <w:tc>
          <w:tcPr>
            <w:tcW w:w="1637" w:type="pct"/>
          </w:tcPr>
          <w:p w:rsidR="007A6BFE" w:rsidRPr="00923A9F" w:rsidRDefault="007A6BFE" w:rsidP="00040AE2">
            <w:pPr>
              <w:spacing w:before="20" w:after="20"/>
              <w:rPr>
                <w:rFonts w:cs="Arial"/>
                <w:b/>
                <w:color w:val="000000"/>
              </w:rPr>
            </w:pPr>
            <w:r w:rsidRPr="00923A9F">
              <w:rPr>
                <w:rFonts w:cs="Arial"/>
                <w:b/>
                <w:color w:val="000000"/>
              </w:rPr>
              <w:t>Rationale for inclusion</w:t>
            </w:r>
          </w:p>
        </w:tc>
        <w:tc>
          <w:tcPr>
            <w:tcW w:w="3363" w:type="pct"/>
          </w:tcPr>
          <w:p w:rsidR="007A6BFE" w:rsidRPr="00923A9F" w:rsidRDefault="004842CB" w:rsidP="00040AE2">
            <w:pPr>
              <w:spacing w:before="20" w:after="20"/>
              <w:rPr>
                <w:rFonts w:cs="Arial"/>
                <w:color w:val="000000"/>
              </w:rPr>
            </w:pPr>
            <w:r>
              <w:rPr>
                <w:rFonts w:cs="Arial"/>
                <w:color w:val="000000"/>
              </w:rPr>
              <w:t>Rationale is as per part 2a and 2</w:t>
            </w:r>
            <w:r w:rsidR="007A6BFE">
              <w:rPr>
                <w:rFonts w:cs="Arial"/>
                <w:color w:val="000000"/>
              </w:rPr>
              <w:t>b</w:t>
            </w:r>
          </w:p>
        </w:tc>
      </w:tr>
      <w:tr w:rsidR="007A6BFE" w:rsidRPr="00923A9F" w:rsidTr="004363C2">
        <w:trPr>
          <w:trHeight w:val="142"/>
        </w:trPr>
        <w:tc>
          <w:tcPr>
            <w:tcW w:w="1637" w:type="pct"/>
          </w:tcPr>
          <w:p w:rsidR="007A6BFE" w:rsidRPr="00923A9F" w:rsidRDefault="007A6BFE" w:rsidP="00040AE2">
            <w:pPr>
              <w:spacing w:before="20" w:after="20"/>
              <w:rPr>
                <w:rFonts w:cs="Arial"/>
                <w:b/>
                <w:color w:val="000000"/>
              </w:rPr>
            </w:pPr>
            <w:r w:rsidRPr="00923A9F">
              <w:rPr>
                <w:rFonts w:cs="Arial"/>
                <w:b/>
                <w:color w:val="000000"/>
              </w:rPr>
              <w:t>Data source</w:t>
            </w:r>
          </w:p>
        </w:tc>
        <w:tc>
          <w:tcPr>
            <w:tcW w:w="3363" w:type="pct"/>
          </w:tcPr>
          <w:p w:rsidR="007A6BFE" w:rsidRPr="00923A9F" w:rsidRDefault="007A6BFE" w:rsidP="00040AE2">
            <w:pPr>
              <w:keepNext/>
              <w:contextualSpacing/>
              <w:rPr>
                <w:rFonts w:cs="Arial"/>
                <w:color w:val="000000"/>
              </w:rPr>
            </w:pPr>
            <w:r w:rsidRPr="00923A9F">
              <w:rPr>
                <w:rFonts w:cs="Arial"/>
                <w:color w:val="000000"/>
              </w:rPr>
              <w:t xml:space="preserve">Acute trusts would submit their own antibiotic consumption data to PHE with admission statistics </w:t>
            </w:r>
            <w:r w:rsidRPr="00923A9F">
              <w:rPr>
                <w:rFonts w:cs="Arial"/>
                <w:color w:val="000000"/>
              </w:rPr>
              <w:lastRenderedPageBreak/>
              <w:t xml:space="preserve">taken from Hospital Episode Statistics (HES). </w:t>
            </w:r>
          </w:p>
          <w:p w:rsidR="007A6BFE" w:rsidRPr="00923A9F" w:rsidRDefault="007A6BFE" w:rsidP="00040AE2">
            <w:pPr>
              <w:keepNext/>
              <w:contextualSpacing/>
              <w:rPr>
                <w:rFonts w:cs="Arial"/>
                <w:color w:val="000000"/>
              </w:rPr>
            </w:pPr>
            <w:r w:rsidRPr="00923A9F">
              <w:rPr>
                <w:rFonts w:cs="Arial"/>
                <w:color w:val="000000"/>
              </w:rPr>
              <w:t xml:space="preserve">Antibiotic consumption data would be available for commissioners to review via </w:t>
            </w:r>
            <w:r>
              <w:rPr>
                <w:rFonts w:cs="Arial"/>
                <w:color w:val="000000"/>
              </w:rPr>
              <w:t xml:space="preserve">AMR Fingertips. </w:t>
            </w:r>
          </w:p>
        </w:tc>
      </w:tr>
      <w:tr w:rsidR="007A6BFE" w:rsidRPr="00923A9F" w:rsidTr="004363C2">
        <w:trPr>
          <w:trHeight w:val="142"/>
        </w:trPr>
        <w:tc>
          <w:tcPr>
            <w:tcW w:w="1637" w:type="pct"/>
          </w:tcPr>
          <w:p w:rsidR="007A6BFE" w:rsidRPr="00923A9F" w:rsidRDefault="007A6BFE" w:rsidP="00040AE2">
            <w:pPr>
              <w:spacing w:before="20" w:after="20"/>
              <w:rPr>
                <w:rFonts w:cs="Arial"/>
                <w:b/>
                <w:color w:val="000000"/>
              </w:rPr>
            </w:pPr>
            <w:r w:rsidRPr="00923A9F">
              <w:rPr>
                <w:rFonts w:cs="Arial"/>
                <w:b/>
                <w:color w:val="000000"/>
              </w:rPr>
              <w:lastRenderedPageBreak/>
              <w:t>Frequency of data collection</w:t>
            </w:r>
          </w:p>
        </w:tc>
        <w:tc>
          <w:tcPr>
            <w:tcW w:w="3363" w:type="pct"/>
          </w:tcPr>
          <w:p w:rsidR="007A6BFE" w:rsidRPr="00923A9F" w:rsidRDefault="007A6BFE" w:rsidP="00040AE2">
            <w:pPr>
              <w:keepNext/>
              <w:contextualSpacing/>
              <w:rPr>
                <w:rFonts w:cs="Arial"/>
              </w:rPr>
            </w:pPr>
            <w:r w:rsidRPr="008E08BE">
              <w:rPr>
                <w:rFonts w:cs="Arial"/>
              </w:rPr>
              <w:t>Antibiotic consumption data should be submitted quarterly to PHE</w:t>
            </w:r>
          </w:p>
        </w:tc>
      </w:tr>
      <w:tr w:rsidR="007A6BFE" w:rsidRPr="00923A9F" w:rsidTr="004363C2">
        <w:trPr>
          <w:trHeight w:val="142"/>
        </w:trPr>
        <w:tc>
          <w:tcPr>
            <w:tcW w:w="1637" w:type="pct"/>
          </w:tcPr>
          <w:p w:rsidR="007A6BFE" w:rsidRPr="00923A9F" w:rsidRDefault="007A6BFE" w:rsidP="00040AE2">
            <w:pPr>
              <w:spacing w:before="20" w:after="20"/>
              <w:rPr>
                <w:rFonts w:cs="Arial"/>
                <w:b/>
                <w:color w:val="000000"/>
              </w:rPr>
            </w:pPr>
            <w:r w:rsidRPr="00923A9F">
              <w:rPr>
                <w:rFonts w:cs="Arial"/>
                <w:b/>
                <w:color w:val="000000"/>
              </w:rPr>
              <w:t>Organisation responsible for data collection</w:t>
            </w:r>
          </w:p>
        </w:tc>
        <w:tc>
          <w:tcPr>
            <w:tcW w:w="3363" w:type="pct"/>
          </w:tcPr>
          <w:p w:rsidR="007A6BFE" w:rsidRPr="00923A9F" w:rsidRDefault="007A6BFE" w:rsidP="00040AE2">
            <w:pPr>
              <w:keepNext/>
              <w:contextualSpacing/>
              <w:rPr>
                <w:rFonts w:cs="Arial"/>
              </w:rPr>
            </w:pPr>
            <w:r w:rsidRPr="00923A9F">
              <w:rPr>
                <w:rFonts w:cs="Arial"/>
              </w:rPr>
              <w:t>Provider</w:t>
            </w:r>
          </w:p>
        </w:tc>
      </w:tr>
      <w:tr w:rsidR="007A6BFE" w:rsidRPr="00923A9F" w:rsidTr="004363C2">
        <w:trPr>
          <w:trHeight w:val="142"/>
        </w:trPr>
        <w:tc>
          <w:tcPr>
            <w:tcW w:w="1637" w:type="pct"/>
          </w:tcPr>
          <w:p w:rsidR="007A6BFE" w:rsidRPr="00923A9F" w:rsidRDefault="007A6BFE" w:rsidP="00040AE2">
            <w:pPr>
              <w:spacing w:before="20" w:after="20"/>
              <w:rPr>
                <w:rFonts w:cs="Arial"/>
                <w:b/>
                <w:color w:val="000000"/>
              </w:rPr>
            </w:pPr>
            <w:r w:rsidRPr="00923A9F">
              <w:rPr>
                <w:rFonts w:cs="Arial"/>
                <w:b/>
                <w:color w:val="000000"/>
              </w:rPr>
              <w:t>Frequency of reporting to commissioner</w:t>
            </w:r>
          </w:p>
        </w:tc>
        <w:tc>
          <w:tcPr>
            <w:tcW w:w="3363" w:type="pct"/>
          </w:tcPr>
          <w:p w:rsidR="007A6BFE" w:rsidRPr="00923A9F" w:rsidRDefault="007A6BFE" w:rsidP="00040AE2">
            <w:pPr>
              <w:keepNext/>
              <w:contextualSpacing/>
              <w:rPr>
                <w:rFonts w:cs="Arial"/>
              </w:rPr>
            </w:pPr>
            <w:r w:rsidRPr="00923A9F">
              <w:rPr>
                <w:rFonts w:cs="Arial"/>
              </w:rPr>
              <w:t>Annual</w:t>
            </w:r>
          </w:p>
        </w:tc>
      </w:tr>
      <w:tr w:rsidR="007A6BFE" w:rsidRPr="00923A9F" w:rsidTr="004363C2">
        <w:trPr>
          <w:trHeight w:val="142"/>
        </w:trPr>
        <w:tc>
          <w:tcPr>
            <w:tcW w:w="1637" w:type="pct"/>
          </w:tcPr>
          <w:p w:rsidR="007A6BFE" w:rsidRPr="00923A9F" w:rsidRDefault="007A6BFE" w:rsidP="00040AE2">
            <w:pPr>
              <w:spacing w:before="20" w:after="20"/>
              <w:rPr>
                <w:rFonts w:cs="Arial"/>
                <w:b/>
                <w:color w:val="000000"/>
              </w:rPr>
            </w:pPr>
            <w:r w:rsidRPr="00923A9F">
              <w:rPr>
                <w:rFonts w:cs="Arial"/>
                <w:b/>
                <w:color w:val="000000"/>
              </w:rPr>
              <w:t>Baseline period/date</w:t>
            </w:r>
          </w:p>
        </w:tc>
        <w:tc>
          <w:tcPr>
            <w:tcW w:w="3363" w:type="pct"/>
          </w:tcPr>
          <w:p w:rsidR="007A6BFE" w:rsidRPr="00923A9F" w:rsidRDefault="007A6BFE" w:rsidP="00925527">
            <w:r w:rsidRPr="0074249E">
              <w:t xml:space="preserve"> January 2016-December 2016</w:t>
            </w:r>
          </w:p>
        </w:tc>
      </w:tr>
      <w:tr w:rsidR="007A6BFE" w:rsidRPr="00923A9F" w:rsidTr="004363C2">
        <w:trPr>
          <w:trHeight w:val="142"/>
        </w:trPr>
        <w:tc>
          <w:tcPr>
            <w:tcW w:w="1637" w:type="pct"/>
          </w:tcPr>
          <w:p w:rsidR="007A6BFE" w:rsidRPr="00923A9F" w:rsidRDefault="007A6BFE" w:rsidP="00040AE2">
            <w:pPr>
              <w:spacing w:before="20" w:after="20"/>
              <w:rPr>
                <w:rFonts w:cs="Arial"/>
                <w:b/>
                <w:color w:val="000000"/>
              </w:rPr>
            </w:pPr>
            <w:r w:rsidRPr="00923A9F">
              <w:rPr>
                <w:rFonts w:cs="Arial"/>
                <w:b/>
                <w:color w:val="000000"/>
              </w:rPr>
              <w:t>Baseline value</w:t>
            </w:r>
          </w:p>
        </w:tc>
        <w:tc>
          <w:tcPr>
            <w:tcW w:w="3363" w:type="pct"/>
          </w:tcPr>
          <w:p w:rsidR="007A6BFE" w:rsidRPr="00923A9F" w:rsidRDefault="007A6BFE" w:rsidP="00040AE2">
            <w:pPr>
              <w:keepNext/>
              <w:contextualSpacing/>
              <w:rPr>
                <w:rFonts w:cs="Arial"/>
              </w:rPr>
            </w:pPr>
            <w:r w:rsidRPr="00923A9F">
              <w:rPr>
                <w:rFonts w:cs="Arial"/>
              </w:rPr>
              <w:t>As per the val</w:t>
            </w:r>
            <w:r>
              <w:rPr>
                <w:rFonts w:cs="Arial"/>
              </w:rPr>
              <w:t xml:space="preserve">idated prescription data </w:t>
            </w:r>
            <w:r w:rsidRPr="008E08BE">
              <w:t>in 2013/14</w:t>
            </w:r>
          </w:p>
        </w:tc>
      </w:tr>
      <w:tr w:rsidR="007A6BFE" w:rsidRPr="00923A9F" w:rsidTr="004363C2">
        <w:trPr>
          <w:trHeight w:val="142"/>
        </w:trPr>
        <w:tc>
          <w:tcPr>
            <w:tcW w:w="1637" w:type="pct"/>
          </w:tcPr>
          <w:p w:rsidR="007A6BFE" w:rsidRDefault="007A6BFE" w:rsidP="00040AE2">
            <w:pPr>
              <w:spacing w:before="20" w:after="20"/>
              <w:rPr>
                <w:rFonts w:cs="Arial"/>
                <w:b/>
                <w:color w:val="000000"/>
              </w:rPr>
            </w:pPr>
            <w:r w:rsidRPr="00923A9F">
              <w:rPr>
                <w:rFonts w:cs="Arial"/>
                <w:b/>
                <w:color w:val="000000"/>
              </w:rPr>
              <w:t>Final indicator period/date (on which payment is based)</w:t>
            </w:r>
          </w:p>
          <w:p w:rsidR="00F40149" w:rsidRPr="00923A9F" w:rsidRDefault="00F40149" w:rsidP="00040AE2">
            <w:pPr>
              <w:spacing w:before="20" w:after="20"/>
              <w:rPr>
                <w:rFonts w:cs="Arial"/>
                <w:b/>
                <w:color w:val="000000"/>
              </w:rPr>
            </w:pPr>
          </w:p>
        </w:tc>
        <w:tc>
          <w:tcPr>
            <w:tcW w:w="3363" w:type="pct"/>
          </w:tcPr>
          <w:p w:rsidR="007A6BFE" w:rsidRPr="00923A9F" w:rsidRDefault="007A6BFE" w:rsidP="00040AE2">
            <w:pPr>
              <w:keepNext/>
              <w:contextualSpacing/>
              <w:rPr>
                <w:rFonts w:cs="Arial"/>
              </w:rPr>
            </w:pPr>
            <w:r>
              <w:rPr>
                <w:rFonts w:cs="Arial"/>
              </w:rPr>
              <w:t>2017/18</w:t>
            </w:r>
          </w:p>
          <w:p w:rsidR="007A6BFE" w:rsidRPr="00923A9F" w:rsidRDefault="007A6BFE" w:rsidP="00040AE2">
            <w:pPr>
              <w:keepNext/>
              <w:contextualSpacing/>
              <w:rPr>
                <w:rFonts w:cs="Arial"/>
              </w:rPr>
            </w:pPr>
          </w:p>
        </w:tc>
      </w:tr>
      <w:tr w:rsidR="007A6BFE" w:rsidRPr="00923A9F" w:rsidTr="004363C2">
        <w:trPr>
          <w:trHeight w:val="142"/>
        </w:trPr>
        <w:tc>
          <w:tcPr>
            <w:tcW w:w="1637" w:type="pct"/>
          </w:tcPr>
          <w:p w:rsidR="007A6BFE" w:rsidRPr="00923A9F" w:rsidRDefault="007A6BFE" w:rsidP="00040AE2">
            <w:pPr>
              <w:spacing w:before="20" w:after="20"/>
              <w:rPr>
                <w:rFonts w:cs="Arial"/>
                <w:b/>
                <w:color w:val="000000"/>
              </w:rPr>
            </w:pPr>
            <w:r w:rsidRPr="00923A9F">
              <w:rPr>
                <w:rFonts w:cs="Arial"/>
                <w:b/>
                <w:color w:val="000000"/>
              </w:rPr>
              <w:t>Final indicator value (payment threshold)</w:t>
            </w:r>
          </w:p>
        </w:tc>
        <w:tc>
          <w:tcPr>
            <w:tcW w:w="3363" w:type="pct"/>
          </w:tcPr>
          <w:p w:rsidR="007A6BFE" w:rsidRPr="0074249E" w:rsidRDefault="007A6BFE" w:rsidP="008E08BE">
            <w:pPr>
              <w:rPr>
                <w:strike/>
              </w:rPr>
            </w:pPr>
            <w:r w:rsidRPr="005512C7">
              <w:t xml:space="preserve">Each of the indicators is </w:t>
            </w:r>
            <w:r w:rsidRPr="008E08BE">
              <w:t xml:space="preserve">worth 33% of part </w:t>
            </w:r>
            <w:r w:rsidR="000E28AE">
              <w:t>d</w:t>
            </w:r>
          </w:p>
          <w:p w:rsidR="007A6BFE" w:rsidRDefault="007A6BFE" w:rsidP="008E08BE"/>
          <w:p w:rsidR="007A6BFE" w:rsidRPr="008E08BE" w:rsidRDefault="007A6BFE" w:rsidP="008E08BE">
            <w:r w:rsidRPr="008E08BE">
              <w:t>Reductions would be required as follows:</w:t>
            </w:r>
          </w:p>
          <w:p w:rsidR="007A6BFE" w:rsidRPr="008E08BE" w:rsidRDefault="007A6BFE" w:rsidP="008E08BE"/>
          <w:p w:rsidR="007A6BFE" w:rsidRPr="008E08BE" w:rsidRDefault="007A6BFE" w:rsidP="008E08BE">
            <w:r w:rsidRPr="008E08BE">
              <w:t>1% reduction for those trusts with 2016 consumption indicators below 2013/14 median value, or</w:t>
            </w:r>
          </w:p>
          <w:p w:rsidR="007A6BFE" w:rsidRPr="004779A7" w:rsidRDefault="007A6BFE" w:rsidP="004779A7">
            <w:r w:rsidRPr="008E08BE">
              <w:t>2% reduction for those trusts with 2016 consumption indicators above 2013/14 median value</w:t>
            </w:r>
          </w:p>
        </w:tc>
      </w:tr>
      <w:tr w:rsidR="007A6BFE" w:rsidRPr="00923A9F" w:rsidTr="004363C2">
        <w:trPr>
          <w:trHeight w:val="142"/>
        </w:trPr>
        <w:tc>
          <w:tcPr>
            <w:tcW w:w="1637" w:type="pct"/>
          </w:tcPr>
          <w:p w:rsidR="007A6BFE" w:rsidRPr="00923A9F" w:rsidRDefault="007A6BFE" w:rsidP="00040AE2">
            <w:pPr>
              <w:spacing w:before="20" w:after="20"/>
              <w:rPr>
                <w:rFonts w:cs="Arial"/>
                <w:b/>
                <w:color w:val="000000"/>
              </w:rPr>
            </w:pPr>
            <w:r w:rsidRPr="00923A9F">
              <w:rPr>
                <w:rFonts w:cs="Arial"/>
                <w:b/>
                <w:color w:val="000000"/>
              </w:rPr>
              <w:t>Final indicator reporting date</w:t>
            </w:r>
          </w:p>
        </w:tc>
        <w:tc>
          <w:tcPr>
            <w:tcW w:w="3363" w:type="pct"/>
          </w:tcPr>
          <w:p w:rsidR="007A6BFE" w:rsidRPr="00923A9F" w:rsidRDefault="007A6BFE" w:rsidP="00040AE2">
            <w:pPr>
              <w:keepNext/>
              <w:contextualSpacing/>
              <w:rPr>
                <w:rFonts w:cs="Arial"/>
              </w:rPr>
            </w:pPr>
            <w:r w:rsidRPr="00923A9F">
              <w:rPr>
                <w:rFonts w:cs="Arial"/>
              </w:rPr>
              <w:t xml:space="preserve">As soon as </w:t>
            </w:r>
            <w:r w:rsidRPr="008E08BE">
              <w:t>possible after Q4</w:t>
            </w:r>
            <w:r w:rsidR="00633050">
              <w:t xml:space="preserve"> </w:t>
            </w:r>
            <w:r w:rsidRPr="008E08BE">
              <w:t>2017/18</w:t>
            </w:r>
          </w:p>
        </w:tc>
      </w:tr>
      <w:tr w:rsidR="007A6BFE" w:rsidRPr="00923A9F" w:rsidTr="004363C2">
        <w:trPr>
          <w:trHeight w:val="142"/>
        </w:trPr>
        <w:tc>
          <w:tcPr>
            <w:tcW w:w="1637" w:type="pct"/>
          </w:tcPr>
          <w:p w:rsidR="007A6BFE" w:rsidRPr="00923A9F" w:rsidRDefault="007A6BFE" w:rsidP="00040AE2">
            <w:pPr>
              <w:spacing w:before="20" w:after="20"/>
              <w:rPr>
                <w:rFonts w:cs="Arial"/>
                <w:b/>
                <w:color w:val="000000"/>
              </w:rPr>
            </w:pPr>
            <w:r w:rsidRPr="00923A9F">
              <w:rPr>
                <w:rFonts w:cs="Arial"/>
                <w:b/>
                <w:color w:val="000000"/>
              </w:rPr>
              <w:t>Are there rules for any agreed in-year milestones that result in payment?</w:t>
            </w:r>
          </w:p>
        </w:tc>
        <w:tc>
          <w:tcPr>
            <w:tcW w:w="3363" w:type="pct"/>
          </w:tcPr>
          <w:p w:rsidR="007A6BFE" w:rsidRPr="00923A9F" w:rsidRDefault="007A6BFE" w:rsidP="00040AE2">
            <w:pPr>
              <w:keepNext/>
              <w:contextualSpacing/>
              <w:rPr>
                <w:rFonts w:cs="Arial"/>
              </w:rPr>
            </w:pPr>
            <w:r w:rsidRPr="00923A9F">
              <w:rPr>
                <w:rFonts w:cs="Arial"/>
              </w:rPr>
              <w:t>No</w:t>
            </w:r>
          </w:p>
        </w:tc>
      </w:tr>
      <w:tr w:rsidR="007A6BFE" w:rsidRPr="00923A9F" w:rsidTr="004363C2">
        <w:trPr>
          <w:trHeight w:val="142"/>
        </w:trPr>
        <w:tc>
          <w:tcPr>
            <w:tcW w:w="1637" w:type="pct"/>
          </w:tcPr>
          <w:p w:rsidR="007A6BFE" w:rsidRPr="00923A9F" w:rsidRDefault="007A6BFE" w:rsidP="00040AE2">
            <w:pPr>
              <w:spacing w:before="20" w:after="20"/>
              <w:rPr>
                <w:rFonts w:cs="Arial"/>
                <w:b/>
                <w:color w:val="000000"/>
              </w:rPr>
            </w:pPr>
            <w:r w:rsidRPr="00923A9F">
              <w:rPr>
                <w:rFonts w:cs="Arial"/>
                <w:b/>
                <w:color w:val="000000"/>
              </w:rPr>
              <w:t>Are there any rules for partial achievement of the indicator at the final indicator period/date?</w:t>
            </w:r>
          </w:p>
        </w:tc>
        <w:tc>
          <w:tcPr>
            <w:tcW w:w="3363" w:type="pct"/>
          </w:tcPr>
          <w:p w:rsidR="007A6BFE" w:rsidRPr="00923A9F" w:rsidRDefault="007A6BFE" w:rsidP="00040AE2">
            <w:pPr>
              <w:keepNext/>
              <w:contextualSpacing/>
              <w:rPr>
                <w:rFonts w:eastAsia="Calibri" w:cs="Arial"/>
              </w:rPr>
            </w:pPr>
            <w:r w:rsidRPr="00923A9F">
              <w:rPr>
                <w:rFonts w:eastAsia="Calibri" w:cs="Arial"/>
              </w:rPr>
              <w:t>No</w:t>
            </w:r>
          </w:p>
        </w:tc>
      </w:tr>
      <w:tr w:rsidR="007A6BFE" w:rsidRPr="00923A9F" w:rsidTr="004363C2">
        <w:trPr>
          <w:trHeight w:val="142"/>
        </w:trPr>
        <w:tc>
          <w:tcPr>
            <w:tcW w:w="1637" w:type="pct"/>
          </w:tcPr>
          <w:p w:rsidR="007A6BFE" w:rsidRPr="00923A9F" w:rsidRDefault="007A6BFE" w:rsidP="00040AE2">
            <w:pPr>
              <w:spacing w:before="20" w:after="20"/>
              <w:rPr>
                <w:rFonts w:cs="Arial"/>
                <w:b/>
                <w:color w:val="000000"/>
              </w:rPr>
            </w:pPr>
            <w:r w:rsidRPr="00923A9F">
              <w:rPr>
                <w:rFonts w:cs="Arial"/>
                <w:b/>
                <w:color w:val="000000"/>
              </w:rPr>
              <w:t>EXIT Route</w:t>
            </w:r>
          </w:p>
        </w:tc>
        <w:tc>
          <w:tcPr>
            <w:tcW w:w="3363" w:type="pct"/>
          </w:tcPr>
          <w:p w:rsidR="007A6BFE" w:rsidRPr="00923A9F" w:rsidRDefault="007A6BFE" w:rsidP="00040AE2">
            <w:pPr>
              <w:keepNext/>
              <w:contextualSpacing/>
              <w:rPr>
                <w:rFonts w:cs="Arial"/>
                <w:color w:val="000000"/>
              </w:rPr>
            </w:pPr>
            <w:r w:rsidRPr="00923A9F">
              <w:rPr>
                <w:rFonts w:cs="Arial"/>
                <w:color w:val="000000"/>
              </w:rPr>
              <w:t>To be determined locally</w:t>
            </w:r>
          </w:p>
        </w:tc>
      </w:tr>
    </w:tbl>
    <w:p w:rsidR="007A6BFE" w:rsidRDefault="007A6BFE" w:rsidP="00702E87">
      <w:pPr>
        <w:rPr>
          <w:lang w:eastAsia="en-GB"/>
        </w:rPr>
      </w:pPr>
    </w:p>
    <w:p w:rsidR="00702E87" w:rsidRPr="00702E87" w:rsidRDefault="00702E87" w:rsidP="00702E87">
      <w:pPr>
        <w:rPr>
          <w:lang w:eastAsia="en-GB"/>
        </w:rPr>
      </w:pPr>
    </w:p>
    <w:p w:rsidR="00C56BCA" w:rsidRDefault="00C56BCA">
      <w:pPr>
        <w:rPr>
          <w:rFonts w:cs="Arial"/>
          <w:b/>
          <w:color w:val="0072C6"/>
          <w:kern w:val="32"/>
          <w:sz w:val="32"/>
          <w:szCs w:val="32"/>
          <w:lang w:eastAsia="en-GB"/>
        </w:rPr>
      </w:pPr>
      <w:r>
        <w:rPr>
          <w:lang w:eastAsia="en-GB"/>
        </w:rPr>
        <w:br w:type="page"/>
      </w:r>
    </w:p>
    <w:p w:rsidR="0013071F" w:rsidRDefault="0013071F" w:rsidP="0013071F">
      <w:pPr>
        <w:pStyle w:val="Heading1"/>
        <w:rPr>
          <w:lang w:eastAsia="en-GB"/>
        </w:rPr>
      </w:pPr>
      <w:bookmarkStart w:id="55" w:name="_Toc466290252"/>
      <w:r w:rsidRPr="00C02AC7">
        <w:rPr>
          <w:lang w:eastAsia="en-GB"/>
        </w:rPr>
        <w:lastRenderedPageBreak/>
        <w:t>Improving physical healthcare to reduce premature mortality in people with serious mental illne</w:t>
      </w:r>
      <w:r>
        <w:rPr>
          <w:lang w:eastAsia="en-GB"/>
        </w:rPr>
        <w:t>ss (PSMI)</w:t>
      </w:r>
      <w:bookmarkEnd w:id="55"/>
      <w:r>
        <w:rPr>
          <w:lang w:eastAsia="en-GB"/>
        </w:rPr>
        <w:t xml:space="preserve"> </w:t>
      </w:r>
    </w:p>
    <w:p w:rsidR="0013071F" w:rsidRDefault="0013071F" w:rsidP="0013071F">
      <w:pPr>
        <w:rPr>
          <w:lang w:eastAsia="en-GB"/>
        </w:rPr>
      </w:pPr>
    </w:p>
    <w:p w:rsidR="0013071F" w:rsidRDefault="0013071F" w:rsidP="0013071F">
      <w:r>
        <w:t xml:space="preserve">There are two parts to this CQUIN indicator. </w:t>
      </w:r>
    </w:p>
    <w:p w:rsidR="0013071F" w:rsidRDefault="0013071F" w:rsidP="0013071F">
      <w:pPr>
        <w:rPr>
          <w:lang w:eastAsia="en-G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076"/>
        <w:gridCol w:w="3310"/>
        <w:gridCol w:w="1843"/>
      </w:tblGrid>
      <w:tr w:rsidR="0013071F" w:rsidRPr="00040AE2" w:rsidTr="006A0823">
        <w:trPr>
          <w:trHeight w:val="498"/>
        </w:trPr>
        <w:tc>
          <w:tcPr>
            <w:tcW w:w="1526" w:type="dxa"/>
            <w:shd w:val="clear" w:color="auto" w:fill="0070C0"/>
          </w:tcPr>
          <w:p w:rsidR="0013071F" w:rsidRPr="00040AE2" w:rsidRDefault="0013071F" w:rsidP="006A0823">
            <w:pPr>
              <w:rPr>
                <w:b/>
                <w:color w:val="FFFFFF" w:themeColor="background1"/>
                <w:lang w:eastAsia="en-GB"/>
              </w:rPr>
            </w:pPr>
            <w:r w:rsidRPr="00040AE2">
              <w:rPr>
                <w:b/>
                <w:color w:val="FFFFFF" w:themeColor="background1"/>
                <w:lang w:eastAsia="en-GB"/>
              </w:rPr>
              <w:br w:type="page"/>
              <w:t>National CQUIN</w:t>
            </w:r>
          </w:p>
        </w:tc>
        <w:tc>
          <w:tcPr>
            <w:tcW w:w="2076" w:type="dxa"/>
            <w:shd w:val="clear" w:color="auto" w:fill="0070C0"/>
          </w:tcPr>
          <w:p w:rsidR="0013071F" w:rsidRPr="00040AE2" w:rsidRDefault="0013071F" w:rsidP="006A0823">
            <w:pPr>
              <w:rPr>
                <w:b/>
                <w:color w:val="FFFFFF" w:themeColor="background1"/>
                <w:lang w:eastAsia="en-GB"/>
              </w:rPr>
            </w:pPr>
            <w:r w:rsidRPr="00040AE2">
              <w:rPr>
                <w:b/>
                <w:color w:val="FFFFFF" w:themeColor="background1"/>
                <w:lang w:eastAsia="en-GB"/>
              </w:rPr>
              <w:t>Indicator</w:t>
            </w:r>
          </w:p>
        </w:tc>
        <w:tc>
          <w:tcPr>
            <w:tcW w:w="3310" w:type="dxa"/>
            <w:shd w:val="clear" w:color="auto" w:fill="0070C0"/>
          </w:tcPr>
          <w:p w:rsidR="0013071F" w:rsidRPr="00040AE2" w:rsidRDefault="0013071F" w:rsidP="006A0823">
            <w:pPr>
              <w:rPr>
                <w:b/>
                <w:color w:val="FFFFFF" w:themeColor="background1"/>
                <w:lang w:val="en-US" w:eastAsia="en-GB"/>
              </w:rPr>
            </w:pPr>
            <w:r w:rsidRPr="00040AE2">
              <w:rPr>
                <w:b/>
                <w:color w:val="FFFFFF" w:themeColor="background1"/>
                <w:lang w:val="en-US" w:eastAsia="en-GB"/>
              </w:rPr>
              <w:t>Indicator weighting (% of CQUIN scheme available)</w:t>
            </w:r>
          </w:p>
          <w:p w:rsidR="0013071F" w:rsidRPr="00040AE2" w:rsidRDefault="0013071F" w:rsidP="006A0823">
            <w:pPr>
              <w:rPr>
                <w:b/>
                <w:color w:val="FFFFFF" w:themeColor="background1"/>
                <w:lang w:eastAsia="en-GB"/>
              </w:rPr>
            </w:pPr>
          </w:p>
        </w:tc>
        <w:tc>
          <w:tcPr>
            <w:tcW w:w="1843" w:type="dxa"/>
            <w:shd w:val="clear" w:color="auto" w:fill="0070C0"/>
          </w:tcPr>
          <w:p w:rsidR="0013071F" w:rsidRPr="00040AE2" w:rsidRDefault="0013071F" w:rsidP="006A0823">
            <w:pPr>
              <w:rPr>
                <w:b/>
                <w:color w:val="FFFFFF" w:themeColor="background1"/>
                <w:lang w:val="en-US" w:eastAsia="en-GB"/>
              </w:rPr>
            </w:pPr>
            <w:r w:rsidRPr="00040AE2">
              <w:rPr>
                <w:b/>
                <w:color w:val="FFFFFF" w:themeColor="background1"/>
                <w:lang w:val="en-US" w:eastAsia="en-GB"/>
              </w:rPr>
              <w:t>Value (£)</w:t>
            </w:r>
          </w:p>
        </w:tc>
      </w:tr>
      <w:tr w:rsidR="0013071F" w:rsidRPr="00040AE2" w:rsidTr="006A0823">
        <w:trPr>
          <w:trHeight w:val="209"/>
        </w:trPr>
        <w:tc>
          <w:tcPr>
            <w:tcW w:w="1526" w:type="dxa"/>
            <w:shd w:val="clear" w:color="auto" w:fill="auto"/>
          </w:tcPr>
          <w:p w:rsidR="0013071F" w:rsidRPr="00040AE2" w:rsidRDefault="0013071F" w:rsidP="006A0823">
            <w:pPr>
              <w:rPr>
                <w:b/>
                <w:lang w:eastAsia="en-GB"/>
              </w:rPr>
            </w:pPr>
            <w:r w:rsidRPr="00040AE2">
              <w:rPr>
                <w:b/>
                <w:lang w:eastAsia="en-GB"/>
              </w:rPr>
              <w:t>CQUIN 3a</w:t>
            </w:r>
          </w:p>
          <w:p w:rsidR="0013071F" w:rsidRPr="00040AE2" w:rsidRDefault="0013071F" w:rsidP="006A0823">
            <w:pPr>
              <w:rPr>
                <w:b/>
                <w:lang w:eastAsia="en-GB"/>
              </w:rPr>
            </w:pPr>
            <w:r w:rsidRPr="00040AE2">
              <w:rPr>
                <w:b/>
                <w:lang w:eastAsia="en-GB"/>
              </w:rPr>
              <w:t xml:space="preserve"> </w:t>
            </w:r>
          </w:p>
        </w:tc>
        <w:tc>
          <w:tcPr>
            <w:tcW w:w="2076" w:type="dxa"/>
            <w:shd w:val="clear" w:color="auto" w:fill="auto"/>
          </w:tcPr>
          <w:p w:rsidR="0013071F" w:rsidRPr="00040AE2" w:rsidRDefault="0013071F" w:rsidP="006A0823">
            <w:pPr>
              <w:rPr>
                <w:lang w:eastAsia="en-GB"/>
              </w:rPr>
            </w:pPr>
            <w:r w:rsidRPr="00040AE2">
              <w:rPr>
                <w:lang w:eastAsia="en-GB"/>
              </w:rPr>
              <w:t xml:space="preserve">Improving physical healthcare to reduce premature mortality in people with SMI: </w:t>
            </w:r>
          </w:p>
          <w:p w:rsidR="0013071F" w:rsidRPr="00040AE2" w:rsidRDefault="0013071F" w:rsidP="006A0823">
            <w:pPr>
              <w:rPr>
                <w:lang w:eastAsia="en-GB"/>
              </w:rPr>
            </w:pPr>
          </w:p>
          <w:p w:rsidR="0013071F" w:rsidRPr="00040AE2" w:rsidRDefault="0013071F" w:rsidP="006A0823">
            <w:pPr>
              <w:rPr>
                <w:lang w:eastAsia="en-GB"/>
              </w:rPr>
            </w:pPr>
            <w:r w:rsidRPr="00040AE2">
              <w:rPr>
                <w:lang w:eastAsia="en-GB"/>
              </w:rPr>
              <w:t>Cardio metabolic assessment and treatment for patients with psychoses</w:t>
            </w:r>
          </w:p>
        </w:tc>
        <w:tc>
          <w:tcPr>
            <w:tcW w:w="3310" w:type="dxa"/>
            <w:shd w:val="clear" w:color="auto" w:fill="auto"/>
          </w:tcPr>
          <w:p w:rsidR="0013071F" w:rsidRPr="004842CB" w:rsidRDefault="0013071F" w:rsidP="006A0823">
            <w:pPr>
              <w:rPr>
                <w:lang w:eastAsia="en-GB"/>
              </w:rPr>
            </w:pPr>
            <w:r w:rsidRPr="004842CB">
              <w:rPr>
                <w:lang w:eastAsia="en-GB"/>
              </w:rPr>
              <w:t>80% of 0.25% (0.20%)</w:t>
            </w:r>
          </w:p>
          <w:p w:rsidR="0013071F" w:rsidRPr="002966F1" w:rsidRDefault="0013071F" w:rsidP="006A0823">
            <w:pPr>
              <w:rPr>
                <w:u w:val="single"/>
                <w:lang w:eastAsia="en-GB"/>
              </w:rPr>
            </w:pPr>
          </w:p>
          <w:p w:rsidR="0013071F" w:rsidRPr="00040AE2" w:rsidRDefault="0013071F" w:rsidP="00D11CB8">
            <w:pPr>
              <w:ind w:left="360"/>
              <w:rPr>
                <w:lang w:eastAsia="en-GB"/>
              </w:rPr>
            </w:pPr>
          </w:p>
        </w:tc>
        <w:tc>
          <w:tcPr>
            <w:tcW w:w="1843" w:type="dxa"/>
            <w:shd w:val="clear" w:color="auto" w:fill="auto"/>
          </w:tcPr>
          <w:p w:rsidR="0013071F" w:rsidRPr="00040AE2" w:rsidRDefault="0013071F" w:rsidP="006A0823">
            <w:pPr>
              <w:jc w:val="center"/>
              <w:rPr>
                <w:b/>
                <w:lang w:eastAsia="en-GB"/>
              </w:rPr>
            </w:pPr>
          </w:p>
        </w:tc>
      </w:tr>
      <w:tr w:rsidR="0013071F" w:rsidRPr="00040AE2" w:rsidTr="006A0823">
        <w:trPr>
          <w:trHeight w:val="641"/>
        </w:trPr>
        <w:tc>
          <w:tcPr>
            <w:tcW w:w="1526" w:type="dxa"/>
            <w:shd w:val="clear" w:color="auto" w:fill="auto"/>
          </w:tcPr>
          <w:p w:rsidR="0013071F" w:rsidRPr="00040AE2" w:rsidRDefault="0013071F" w:rsidP="006A0823">
            <w:pPr>
              <w:rPr>
                <w:b/>
                <w:lang w:eastAsia="en-GB"/>
              </w:rPr>
            </w:pPr>
            <w:r w:rsidRPr="00040AE2">
              <w:rPr>
                <w:b/>
                <w:lang w:eastAsia="en-GB"/>
              </w:rPr>
              <w:t>CQUIN 3b</w:t>
            </w:r>
          </w:p>
          <w:p w:rsidR="0013071F" w:rsidRPr="00040AE2" w:rsidRDefault="0013071F" w:rsidP="006A0823">
            <w:pPr>
              <w:rPr>
                <w:b/>
                <w:lang w:eastAsia="en-GB"/>
              </w:rPr>
            </w:pPr>
          </w:p>
        </w:tc>
        <w:tc>
          <w:tcPr>
            <w:tcW w:w="2076" w:type="dxa"/>
            <w:shd w:val="clear" w:color="auto" w:fill="auto"/>
          </w:tcPr>
          <w:p w:rsidR="0013071F" w:rsidRPr="00687982" w:rsidRDefault="0013071F" w:rsidP="006A0823">
            <w:pPr>
              <w:rPr>
                <w:lang w:eastAsia="en-GB"/>
              </w:rPr>
            </w:pPr>
            <w:r w:rsidRPr="00687982">
              <w:rPr>
                <w:lang w:eastAsia="en-GB"/>
              </w:rPr>
              <w:t>Improving physical healthcare to reduce premature mortality in people with SMI:</w:t>
            </w:r>
          </w:p>
          <w:p w:rsidR="0013071F" w:rsidRPr="00687982" w:rsidRDefault="0013071F" w:rsidP="006A0823">
            <w:pPr>
              <w:rPr>
                <w:lang w:eastAsia="en-GB"/>
              </w:rPr>
            </w:pPr>
          </w:p>
          <w:p w:rsidR="0013071F" w:rsidRPr="00687982" w:rsidRDefault="0013071F" w:rsidP="006A0823">
            <w:pPr>
              <w:rPr>
                <w:lang w:val="en-US" w:eastAsia="en-GB"/>
              </w:rPr>
            </w:pPr>
            <w:r w:rsidRPr="00687982">
              <w:rPr>
                <w:lang w:val="en-US" w:eastAsia="en-GB"/>
              </w:rPr>
              <w:t>Collaborating with primary care clinicians</w:t>
            </w:r>
          </w:p>
        </w:tc>
        <w:tc>
          <w:tcPr>
            <w:tcW w:w="3310" w:type="dxa"/>
            <w:shd w:val="clear" w:color="auto" w:fill="auto"/>
          </w:tcPr>
          <w:p w:rsidR="0013071F" w:rsidRPr="004842CB" w:rsidRDefault="0013071F" w:rsidP="006A0823">
            <w:pPr>
              <w:rPr>
                <w:lang w:eastAsia="en-GB"/>
              </w:rPr>
            </w:pPr>
            <w:r w:rsidRPr="004842CB">
              <w:rPr>
                <w:lang w:eastAsia="en-GB"/>
              </w:rPr>
              <w:t>20% of 0.25% (0.05%)</w:t>
            </w:r>
          </w:p>
          <w:p w:rsidR="0013071F" w:rsidRPr="00687982" w:rsidRDefault="0013071F" w:rsidP="006A0823">
            <w:pPr>
              <w:rPr>
                <w:lang w:eastAsia="en-GB"/>
              </w:rPr>
            </w:pPr>
          </w:p>
          <w:p w:rsidR="0013071F" w:rsidRPr="00687982" w:rsidRDefault="0013071F" w:rsidP="00D11CB8">
            <w:pPr>
              <w:ind w:left="360"/>
              <w:rPr>
                <w:lang w:eastAsia="en-GB"/>
              </w:rPr>
            </w:pPr>
          </w:p>
        </w:tc>
        <w:tc>
          <w:tcPr>
            <w:tcW w:w="1843" w:type="dxa"/>
            <w:shd w:val="clear" w:color="auto" w:fill="auto"/>
          </w:tcPr>
          <w:p w:rsidR="0013071F" w:rsidRPr="00040AE2" w:rsidRDefault="0013071F" w:rsidP="006A0823">
            <w:pPr>
              <w:jc w:val="center"/>
              <w:rPr>
                <w:b/>
                <w:lang w:eastAsia="en-GB"/>
              </w:rPr>
            </w:pPr>
          </w:p>
        </w:tc>
      </w:tr>
    </w:tbl>
    <w:p w:rsidR="0013071F" w:rsidRDefault="0013071F" w:rsidP="0013071F">
      <w:pPr>
        <w:rPr>
          <w:b/>
          <w:lang w:eastAsia="en-GB"/>
        </w:rPr>
      </w:pPr>
    </w:p>
    <w:p w:rsidR="0013071F" w:rsidRDefault="0013071F" w:rsidP="0013071F">
      <w:pPr>
        <w:rPr>
          <w:b/>
          <w:lang w:eastAsia="en-GB"/>
        </w:rPr>
      </w:pPr>
    </w:p>
    <w:p w:rsidR="0013071F" w:rsidRDefault="0013071F" w:rsidP="0013071F">
      <w:pPr>
        <w:rPr>
          <w:b/>
          <w:lang w:eastAsia="en-GB"/>
        </w:rPr>
      </w:pPr>
    </w:p>
    <w:p w:rsidR="0013071F" w:rsidRDefault="0013071F" w:rsidP="0013071F">
      <w:pPr>
        <w:rPr>
          <w:b/>
          <w:lang w:eastAsia="en-GB"/>
        </w:rPr>
      </w:pPr>
    </w:p>
    <w:p w:rsidR="0013071F" w:rsidRDefault="0013071F" w:rsidP="0013071F">
      <w:pPr>
        <w:rPr>
          <w:b/>
          <w:lang w:eastAsia="en-GB"/>
        </w:rPr>
      </w:pPr>
    </w:p>
    <w:p w:rsidR="0013071F" w:rsidRDefault="0013071F" w:rsidP="0013071F">
      <w:pPr>
        <w:rPr>
          <w:rFonts w:eastAsiaTheme="majorEastAsia" w:cstheme="majorBidi"/>
          <w:b/>
          <w:bCs w:val="0"/>
          <w:iCs/>
          <w:color w:val="A00054" w:themeColor="accent2"/>
          <w:lang w:eastAsia="en-GB"/>
        </w:rPr>
      </w:pPr>
      <w:r>
        <w:rPr>
          <w:lang w:eastAsia="en-GB"/>
        </w:rPr>
        <w:br w:type="page"/>
      </w:r>
    </w:p>
    <w:p w:rsidR="0013071F" w:rsidRDefault="0013071F" w:rsidP="0013071F">
      <w:pPr>
        <w:pStyle w:val="Heading4"/>
        <w:rPr>
          <w:lang w:eastAsia="en-GB"/>
        </w:rPr>
      </w:pPr>
      <w:r>
        <w:rPr>
          <w:lang w:eastAsia="en-GB"/>
        </w:rPr>
        <w:lastRenderedPageBreak/>
        <w:t>Indicator 3</w:t>
      </w:r>
      <w:r w:rsidR="00991F88">
        <w:rPr>
          <w:lang w:eastAsia="en-GB"/>
        </w:rPr>
        <w:t>a Cardio m</w:t>
      </w:r>
      <w:r w:rsidRPr="00703457">
        <w:rPr>
          <w:lang w:eastAsia="en-GB"/>
        </w:rPr>
        <w:t>etabolic assessment and treatment for patients with psychoses</w:t>
      </w:r>
    </w:p>
    <w:p w:rsidR="0013071F" w:rsidRDefault="0013071F" w:rsidP="0013071F">
      <w:pPr>
        <w:rPr>
          <w:b/>
          <w:lang w:eastAsia="en-GB"/>
        </w:rPr>
      </w:pPr>
    </w:p>
    <w:tbl>
      <w:tblPr>
        <w:tblStyle w:val="TableGrid"/>
        <w:tblW w:w="4717" w:type="pct"/>
        <w:tblLayout w:type="fixed"/>
        <w:tblLook w:val="04A0" w:firstRow="1" w:lastRow="0" w:firstColumn="1" w:lastColumn="0" w:noHBand="0" w:noVBand="1"/>
        <w:tblCaption w:val="Please add a description of this table"/>
      </w:tblPr>
      <w:tblGrid>
        <w:gridCol w:w="2660"/>
        <w:gridCol w:w="6095"/>
      </w:tblGrid>
      <w:tr w:rsidR="0013071F" w:rsidRPr="00040AE2" w:rsidTr="006A0823">
        <w:trPr>
          <w:tblHeader/>
        </w:trPr>
        <w:tc>
          <w:tcPr>
            <w:tcW w:w="5000" w:type="pct"/>
            <w:gridSpan w:val="2"/>
            <w:shd w:val="clear" w:color="auto" w:fill="0070C0"/>
          </w:tcPr>
          <w:p w:rsidR="0013071F" w:rsidRPr="00040AE2" w:rsidRDefault="0013071F" w:rsidP="00AD69B8">
            <w:pPr>
              <w:jc w:val="center"/>
              <w:rPr>
                <w:b/>
                <w:lang w:eastAsia="en-GB"/>
              </w:rPr>
            </w:pPr>
            <w:r w:rsidRPr="00040AE2">
              <w:rPr>
                <w:b/>
                <w:color w:val="FFFFFF" w:themeColor="background1"/>
                <w:lang w:eastAsia="en-GB"/>
              </w:rPr>
              <w:t>Indicator 3a</w:t>
            </w:r>
          </w:p>
        </w:tc>
      </w:tr>
      <w:tr w:rsidR="0013071F" w:rsidRPr="00040AE2" w:rsidTr="006A0823">
        <w:tc>
          <w:tcPr>
            <w:tcW w:w="1519" w:type="pct"/>
          </w:tcPr>
          <w:p w:rsidR="0013071F" w:rsidRPr="00040AE2" w:rsidRDefault="0013071F" w:rsidP="006A0823">
            <w:pPr>
              <w:rPr>
                <w:b/>
                <w:lang w:eastAsia="en-GB"/>
              </w:rPr>
            </w:pPr>
            <w:r w:rsidRPr="00040AE2">
              <w:rPr>
                <w:b/>
                <w:lang w:eastAsia="en-GB"/>
              </w:rPr>
              <w:t>Indicator name</w:t>
            </w:r>
          </w:p>
        </w:tc>
        <w:tc>
          <w:tcPr>
            <w:tcW w:w="3481" w:type="pct"/>
          </w:tcPr>
          <w:p w:rsidR="0013071F" w:rsidRPr="00687982" w:rsidRDefault="0013071F" w:rsidP="006A0823">
            <w:pPr>
              <w:rPr>
                <w:lang w:eastAsia="en-GB"/>
              </w:rPr>
            </w:pPr>
            <w:r w:rsidRPr="00687982">
              <w:rPr>
                <w:lang w:eastAsia="en-GB"/>
              </w:rPr>
              <w:t>Cardio metabolic assessment and treatment for patients with psychoses</w:t>
            </w:r>
          </w:p>
        </w:tc>
      </w:tr>
      <w:tr w:rsidR="0013071F" w:rsidRPr="00040AE2" w:rsidTr="006A0823">
        <w:tc>
          <w:tcPr>
            <w:tcW w:w="1519" w:type="pct"/>
          </w:tcPr>
          <w:p w:rsidR="0013071F" w:rsidRPr="00040AE2" w:rsidRDefault="0013071F" w:rsidP="006A0823">
            <w:pPr>
              <w:rPr>
                <w:b/>
                <w:lang w:eastAsia="en-GB"/>
              </w:rPr>
            </w:pPr>
            <w:r w:rsidRPr="00040AE2">
              <w:rPr>
                <w:b/>
                <w:lang w:eastAsia="en-GB"/>
              </w:rPr>
              <w:t xml:space="preserve">Indicator weighting </w:t>
            </w:r>
            <w:r w:rsidRPr="00040AE2">
              <w:rPr>
                <w:b/>
                <w:lang w:eastAsia="en-GB"/>
              </w:rPr>
              <w:br/>
              <w:t>(% of CQUIN scheme available)</w:t>
            </w:r>
          </w:p>
        </w:tc>
        <w:tc>
          <w:tcPr>
            <w:tcW w:w="3481" w:type="pct"/>
          </w:tcPr>
          <w:p w:rsidR="0013071F" w:rsidRPr="00687982" w:rsidRDefault="0013071F" w:rsidP="006A0823">
            <w:pPr>
              <w:rPr>
                <w:lang w:eastAsia="en-GB"/>
              </w:rPr>
            </w:pPr>
            <w:r w:rsidRPr="00687982">
              <w:rPr>
                <w:lang w:eastAsia="en-GB"/>
              </w:rPr>
              <w:t>80% of 0.25% (0.20%)</w:t>
            </w:r>
          </w:p>
        </w:tc>
      </w:tr>
      <w:tr w:rsidR="0013071F" w:rsidRPr="00040AE2" w:rsidTr="006A0823">
        <w:tc>
          <w:tcPr>
            <w:tcW w:w="1519" w:type="pct"/>
          </w:tcPr>
          <w:p w:rsidR="0013071F" w:rsidRPr="00040AE2" w:rsidRDefault="0013071F" w:rsidP="006A0823">
            <w:pPr>
              <w:rPr>
                <w:b/>
                <w:lang w:eastAsia="en-GB"/>
              </w:rPr>
            </w:pPr>
            <w:r w:rsidRPr="00040AE2">
              <w:rPr>
                <w:b/>
                <w:lang w:eastAsia="en-GB"/>
              </w:rPr>
              <w:t>Description of indicators</w:t>
            </w:r>
          </w:p>
        </w:tc>
        <w:tc>
          <w:tcPr>
            <w:tcW w:w="3481" w:type="pct"/>
          </w:tcPr>
          <w:p w:rsidR="0013071F" w:rsidRPr="00880B82" w:rsidRDefault="0013071F" w:rsidP="006A0823">
            <w:pPr>
              <w:rPr>
                <w:b/>
                <w:lang w:eastAsia="en-GB"/>
              </w:rPr>
            </w:pPr>
            <w:r w:rsidRPr="00880B82">
              <w:rPr>
                <w:b/>
                <w:lang w:eastAsia="en-GB"/>
              </w:rPr>
              <w:t>For 2017/18</w:t>
            </w:r>
          </w:p>
          <w:p w:rsidR="0013071F" w:rsidRPr="00687982" w:rsidRDefault="0013071F" w:rsidP="006A0823">
            <w:pPr>
              <w:rPr>
                <w:lang w:eastAsia="en-GB"/>
              </w:rPr>
            </w:pPr>
            <w:r w:rsidRPr="00687982">
              <w:rPr>
                <w:lang w:eastAsia="en-GB"/>
              </w:rPr>
              <w:t>To demonstrate cardio metabolic assessment and treatment for patients with psychoses in the following areas:</w:t>
            </w:r>
          </w:p>
          <w:p w:rsidR="0013071F" w:rsidRPr="00687982" w:rsidRDefault="0013071F" w:rsidP="006A0823">
            <w:pPr>
              <w:numPr>
                <w:ilvl w:val="0"/>
                <w:numId w:val="29"/>
              </w:numPr>
              <w:rPr>
                <w:lang w:eastAsia="en-GB"/>
              </w:rPr>
            </w:pPr>
            <w:r w:rsidRPr="00687982">
              <w:rPr>
                <w:lang w:eastAsia="en-GB"/>
              </w:rPr>
              <w:t>Inpatient wards.</w:t>
            </w:r>
          </w:p>
          <w:p w:rsidR="0013071F" w:rsidRPr="00687982" w:rsidRDefault="0013071F" w:rsidP="006A0823">
            <w:pPr>
              <w:numPr>
                <w:ilvl w:val="0"/>
                <w:numId w:val="29"/>
              </w:numPr>
              <w:rPr>
                <w:lang w:eastAsia="en-GB"/>
              </w:rPr>
            </w:pPr>
            <w:r w:rsidRPr="00687982">
              <w:rPr>
                <w:u w:val="single"/>
                <w:lang w:eastAsia="en-GB"/>
              </w:rPr>
              <w:t>All</w:t>
            </w:r>
            <w:r w:rsidRPr="00687982">
              <w:rPr>
                <w:lang w:eastAsia="en-GB"/>
              </w:rPr>
              <w:t xml:space="preserve"> community based mental health services for people with mental illness (patients on CPA), excluding EIP services.</w:t>
            </w:r>
          </w:p>
          <w:p w:rsidR="0013071F" w:rsidRPr="00687982" w:rsidRDefault="0013071F" w:rsidP="006A0823">
            <w:pPr>
              <w:numPr>
                <w:ilvl w:val="0"/>
                <w:numId w:val="29"/>
              </w:numPr>
              <w:rPr>
                <w:lang w:eastAsia="en-GB"/>
              </w:rPr>
            </w:pPr>
            <w:r w:rsidRPr="00687982">
              <w:rPr>
                <w:lang w:eastAsia="en-GB"/>
              </w:rPr>
              <w:t>Early intervention in psychosis (EIP) services.</w:t>
            </w:r>
          </w:p>
          <w:p w:rsidR="0013071F" w:rsidRPr="00687982" w:rsidRDefault="0013071F" w:rsidP="006A0823">
            <w:pPr>
              <w:rPr>
                <w:lang w:eastAsia="en-GB"/>
              </w:rPr>
            </w:pPr>
          </w:p>
          <w:p w:rsidR="0013071F" w:rsidRPr="00880B82" w:rsidRDefault="0013071F" w:rsidP="006A0823">
            <w:pPr>
              <w:rPr>
                <w:b/>
                <w:lang w:eastAsia="en-GB"/>
              </w:rPr>
            </w:pPr>
            <w:r w:rsidRPr="00880B82">
              <w:rPr>
                <w:b/>
                <w:lang w:eastAsia="en-GB"/>
              </w:rPr>
              <w:t>And in addition, for 2018/19</w:t>
            </w:r>
          </w:p>
          <w:p w:rsidR="0013071F" w:rsidRPr="00687982" w:rsidRDefault="0013071F" w:rsidP="006A0823">
            <w:pPr>
              <w:rPr>
                <w:lang w:eastAsia="en-GB"/>
              </w:rPr>
            </w:pPr>
            <w:r w:rsidRPr="00687982">
              <w:rPr>
                <w:lang w:eastAsia="en-GB"/>
              </w:rPr>
              <w:t xml:space="preserve">To demonstrate positive outcomes in relation to BMI and smoking cessation for patients in early intervention in psychosis (EIP) services. </w:t>
            </w:r>
          </w:p>
        </w:tc>
      </w:tr>
      <w:tr w:rsidR="0013071F" w:rsidRPr="00040AE2" w:rsidTr="006A0823">
        <w:tc>
          <w:tcPr>
            <w:tcW w:w="1519" w:type="pct"/>
          </w:tcPr>
          <w:p w:rsidR="0013071F" w:rsidRPr="00040AE2" w:rsidRDefault="0013071F" w:rsidP="006A0823">
            <w:pPr>
              <w:rPr>
                <w:b/>
                <w:lang w:eastAsia="en-GB"/>
              </w:rPr>
            </w:pPr>
            <w:r w:rsidRPr="00040AE2">
              <w:rPr>
                <w:b/>
                <w:lang w:eastAsia="en-GB"/>
              </w:rPr>
              <w:t>Numerator</w:t>
            </w:r>
          </w:p>
        </w:tc>
        <w:tc>
          <w:tcPr>
            <w:tcW w:w="3481" w:type="pct"/>
          </w:tcPr>
          <w:p w:rsidR="0013071F" w:rsidRDefault="0013071F" w:rsidP="006A0823">
            <w:pPr>
              <w:rPr>
                <w:rFonts w:cs="Arial"/>
                <w:b/>
              </w:rPr>
            </w:pPr>
            <w:r w:rsidRPr="00C50F0E">
              <w:rPr>
                <w:rFonts w:cs="Arial"/>
                <w:b/>
              </w:rPr>
              <w:t>For 2017/18</w:t>
            </w:r>
          </w:p>
          <w:p w:rsidR="0013071F" w:rsidRPr="00C50F0E" w:rsidRDefault="0013071F" w:rsidP="006A0823">
            <w:pPr>
              <w:rPr>
                <w:rFonts w:cs="Arial"/>
                <w:b/>
              </w:rPr>
            </w:pPr>
          </w:p>
          <w:p w:rsidR="0013071F" w:rsidRPr="006B13D3" w:rsidRDefault="0013071F" w:rsidP="006A0823">
            <w:pPr>
              <w:rPr>
                <w:rFonts w:cs="Arial"/>
              </w:rPr>
            </w:pPr>
            <w:r>
              <w:rPr>
                <w:rFonts w:cs="Arial"/>
              </w:rPr>
              <w:t>The n</w:t>
            </w:r>
            <w:r w:rsidRPr="006B13D3">
              <w:rPr>
                <w:rFonts w:cs="Arial"/>
              </w:rPr>
              <w:t xml:space="preserve">umber of patients in </w:t>
            </w:r>
            <w:r>
              <w:rPr>
                <w:rFonts w:cs="Arial"/>
              </w:rPr>
              <w:t xml:space="preserve">the </w:t>
            </w:r>
            <w:r w:rsidRPr="006B13D3">
              <w:rPr>
                <w:rFonts w:cs="Arial"/>
              </w:rPr>
              <w:t xml:space="preserve">defined audit sample who have </w:t>
            </w:r>
            <w:r>
              <w:rPr>
                <w:rFonts w:cs="Arial"/>
              </w:rPr>
              <w:t>both:</w:t>
            </w:r>
          </w:p>
          <w:p w:rsidR="0013071F" w:rsidRPr="00B47AC3" w:rsidRDefault="0013071F" w:rsidP="006A0823">
            <w:pPr>
              <w:numPr>
                <w:ilvl w:val="0"/>
                <w:numId w:val="26"/>
              </w:numPr>
              <w:spacing w:after="200" w:line="276" w:lineRule="auto"/>
              <w:contextualSpacing/>
              <w:rPr>
                <w:rFonts w:cs="Arial"/>
                <w:bCs w:val="0"/>
              </w:rPr>
            </w:pPr>
            <w:proofErr w:type="gramStart"/>
            <w:r w:rsidRPr="00B47AC3">
              <w:rPr>
                <w:rFonts w:cs="Arial"/>
              </w:rPr>
              <w:t>a</w:t>
            </w:r>
            <w:proofErr w:type="gramEnd"/>
            <w:r w:rsidRPr="00B47AC3">
              <w:rPr>
                <w:rFonts w:cs="Arial"/>
              </w:rPr>
              <w:t xml:space="preserve"> completed assessment for each of the cardio-metabolic parameters with results documented in the patient’s </w:t>
            </w:r>
            <w:r>
              <w:rPr>
                <w:rFonts w:cs="Arial"/>
              </w:rPr>
              <w:t>electronic care record held by the secondary care provider.</w:t>
            </w:r>
          </w:p>
          <w:p w:rsidR="0013071F" w:rsidRDefault="0013071F" w:rsidP="006A0823">
            <w:pPr>
              <w:numPr>
                <w:ilvl w:val="0"/>
                <w:numId w:val="26"/>
              </w:numPr>
              <w:spacing w:after="200" w:line="276" w:lineRule="auto"/>
              <w:contextualSpacing/>
              <w:rPr>
                <w:rFonts w:cs="Arial"/>
                <w:bCs w:val="0"/>
              </w:rPr>
            </w:pPr>
            <w:proofErr w:type="gramStart"/>
            <w:r w:rsidRPr="00B47AC3">
              <w:rPr>
                <w:rFonts w:cs="Arial"/>
              </w:rPr>
              <w:t>a</w:t>
            </w:r>
            <w:proofErr w:type="gramEnd"/>
            <w:r w:rsidRPr="00B47AC3">
              <w:rPr>
                <w:rFonts w:cs="Arial"/>
              </w:rPr>
              <w:t xml:space="preserve"> record of interventions offered where indicated, for patients who are identified as at risk as per the red zone of the Lester Tool</w:t>
            </w:r>
            <w:r>
              <w:rPr>
                <w:rFonts w:cs="Arial"/>
              </w:rPr>
              <w:t>.</w:t>
            </w:r>
          </w:p>
          <w:p w:rsidR="004842CB" w:rsidRDefault="004842CB" w:rsidP="006A0823">
            <w:pPr>
              <w:rPr>
                <w:rFonts w:cs="Arial"/>
                <w:b/>
              </w:rPr>
            </w:pPr>
          </w:p>
          <w:p w:rsidR="0013071F" w:rsidRDefault="0013071F" w:rsidP="006A0823">
            <w:pPr>
              <w:rPr>
                <w:rFonts w:cs="Arial"/>
                <w:b/>
              </w:rPr>
            </w:pPr>
            <w:r>
              <w:rPr>
                <w:rFonts w:cs="Arial"/>
                <w:b/>
              </w:rPr>
              <w:t>For 2018/19</w:t>
            </w:r>
          </w:p>
          <w:p w:rsidR="0013071F" w:rsidRPr="00C50F0E" w:rsidRDefault="0013071F" w:rsidP="006A0823">
            <w:pPr>
              <w:rPr>
                <w:rFonts w:cs="Arial"/>
                <w:b/>
              </w:rPr>
            </w:pPr>
          </w:p>
          <w:p w:rsidR="0013071F" w:rsidRPr="003F30AC" w:rsidRDefault="0013071F" w:rsidP="006A0823">
            <w:pPr>
              <w:rPr>
                <w:rFonts w:cs="Arial"/>
              </w:rPr>
            </w:pPr>
            <w:r w:rsidRPr="003F30AC">
              <w:rPr>
                <w:rFonts w:cs="Arial"/>
              </w:rPr>
              <w:t>For</w:t>
            </w:r>
            <w:r>
              <w:rPr>
                <w:rFonts w:cs="Arial"/>
              </w:rPr>
              <w:t xml:space="preserve"> </w:t>
            </w:r>
            <w:r w:rsidRPr="00A763C8">
              <w:rPr>
                <w:rFonts w:cs="Arial"/>
                <w:b/>
              </w:rPr>
              <w:t>inpatient wards</w:t>
            </w:r>
            <w:r w:rsidRPr="003F30AC">
              <w:rPr>
                <w:rFonts w:cs="Arial"/>
              </w:rPr>
              <w:t xml:space="preserve"> and</w:t>
            </w:r>
            <w:r>
              <w:rPr>
                <w:rFonts w:cs="Arial"/>
              </w:rPr>
              <w:t xml:space="preserve"> </w:t>
            </w:r>
            <w:r w:rsidRPr="00A763C8">
              <w:rPr>
                <w:rFonts w:cs="Arial"/>
                <w:b/>
              </w:rPr>
              <w:t>community mental health services</w:t>
            </w:r>
            <w:r>
              <w:rPr>
                <w:rFonts w:cs="Arial"/>
              </w:rPr>
              <w:t xml:space="preserve"> same </w:t>
            </w:r>
            <w:r w:rsidRPr="003F30AC">
              <w:rPr>
                <w:rFonts w:cs="Arial"/>
              </w:rPr>
              <w:t>as for 2017/18</w:t>
            </w:r>
            <w:r>
              <w:rPr>
                <w:rFonts w:cs="Arial"/>
              </w:rPr>
              <w:t>.</w:t>
            </w:r>
          </w:p>
          <w:p w:rsidR="0013071F" w:rsidRPr="003F30AC" w:rsidRDefault="0013071F" w:rsidP="006A0823">
            <w:pPr>
              <w:contextualSpacing/>
              <w:rPr>
                <w:rFonts w:cs="Arial"/>
                <w:bCs w:val="0"/>
              </w:rPr>
            </w:pPr>
          </w:p>
          <w:p w:rsidR="0013071F" w:rsidRDefault="0013071F" w:rsidP="006A0823">
            <w:pPr>
              <w:contextualSpacing/>
              <w:rPr>
                <w:rFonts w:cs="Arial"/>
                <w:szCs w:val="24"/>
              </w:rPr>
            </w:pPr>
            <w:r w:rsidRPr="003F30AC">
              <w:rPr>
                <w:rFonts w:cs="Arial"/>
              </w:rPr>
              <w:t xml:space="preserve">For </w:t>
            </w:r>
            <w:r w:rsidRPr="00A763C8">
              <w:rPr>
                <w:rFonts w:cs="Arial"/>
                <w:b/>
              </w:rPr>
              <w:t>early intervention in psychosis</w:t>
            </w:r>
            <w:r>
              <w:rPr>
                <w:rFonts w:cs="Arial"/>
              </w:rPr>
              <w:t xml:space="preserve"> services,</w:t>
            </w:r>
            <w:r w:rsidRPr="003F30AC">
              <w:rPr>
                <w:rFonts w:cs="Arial"/>
              </w:rPr>
              <w:t xml:space="preserve"> </w:t>
            </w:r>
            <w:r>
              <w:rPr>
                <w:rFonts w:cs="Arial"/>
              </w:rPr>
              <w:t xml:space="preserve">same as for 2017/18 </w:t>
            </w:r>
            <w:r w:rsidRPr="00194366">
              <w:rPr>
                <w:rFonts w:cs="Arial"/>
                <w:b/>
              </w:rPr>
              <w:t>plus</w:t>
            </w:r>
            <w:r>
              <w:rPr>
                <w:rFonts w:cs="Arial"/>
              </w:rPr>
              <w:t xml:space="preserve"> </w:t>
            </w:r>
          </w:p>
          <w:p w:rsidR="0013071F" w:rsidRPr="00CB5FDC" w:rsidRDefault="0013071F" w:rsidP="00DF18AB">
            <w:pPr>
              <w:pStyle w:val="ListParagraph"/>
              <w:numPr>
                <w:ilvl w:val="0"/>
                <w:numId w:val="94"/>
              </w:numPr>
              <w:ind w:left="742"/>
              <w:rPr>
                <w:rFonts w:eastAsia="HGSMinchoE" w:cs="Arial"/>
                <w:b/>
                <w:szCs w:val="24"/>
              </w:rPr>
            </w:pPr>
            <w:r w:rsidRPr="00CB5FDC">
              <w:rPr>
                <w:rFonts w:eastAsia="HGSMinchoE" w:cs="Arial"/>
                <w:b/>
                <w:szCs w:val="24"/>
              </w:rPr>
              <w:t>EIP BMI outcome indicator</w:t>
            </w:r>
          </w:p>
          <w:p w:rsidR="0013071F" w:rsidRDefault="0013071F" w:rsidP="006A0823">
            <w:pPr>
              <w:rPr>
                <w:rFonts w:cs="Arial"/>
              </w:rPr>
            </w:pPr>
          </w:p>
          <w:p w:rsidR="004842CB" w:rsidRDefault="0013071F" w:rsidP="006A0823">
            <w:pPr>
              <w:rPr>
                <w:iCs/>
              </w:rPr>
            </w:pPr>
            <w:r w:rsidRPr="00E94E09">
              <w:rPr>
                <w:iCs/>
              </w:rPr>
              <w:t>The number of patients in the defined audit sample who have not exceeded a 7% weight gain since their baseline weight measurement prior to starting on anti-psychotic medication.</w:t>
            </w:r>
          </w:p>
          <w:p w:rsidR="0013071F" w:rsidRPr="00E94E09" w:rsidRDefault="0013071F" w:rsidP="006A0823">
            <w:pPr>
              <w:rPr>
                <w:bCs w:val="0"/>
                <w:iCs/>
              </w:rPr>
            </w:pPr>
            <w:r w:rsidRPr="00E94E09">
              <w:rPr>
                <w:iCs/>
              </w:rPr>
              <w:t xml:space="preserve"> </w:t>
            </w:r>
          </w:p>
          <w:p w:rsidR="0013071F" w:rsidRPr="00CB5FDC" w:rsidRDefault="0013071F" w:rsidP="00DF18AB">
            <w:pPr>
              <w:pStyle w:val="ListParagraph"/>
              <w:numPr>
                <w:ilvl w:val="0"/>
                <w:numId w:val="94"/>
              </w:numPr>
              <w:ind w:left="742"/>
              <w:rPr>
                <w:rFonts w:eastAsia="HGSMinchoE" w:cs="Arial"/>
                <w:b/>
                <w:szCs w:val="24"/>
              </w:rPr>
            </w:pPr>
            <w:r w:rsidRPr="00CB5FDC">
              <w:rPr>
                <w:rFonts w:eastAsia="HGSMinchoE" w:cs="Arial"/>
                <w:b/>
                <w:szCs w:val="24"/>
              </w:rPr>
              <w:lastRenderedPageBreak/>
              <w:t>EIP Smoking cessation outcome indicator</w:t>
            </w:r>
          </w:p>
          <w:p w:rsidR="0013071F" w:rsidRPr="00687982" w:rsidRDefault="0013071F" w:rsidP="006A0823">
            <w:pPr>
              <w:rPr>
                <w:lang w:eastAsia="en-GB"/>
              </w:rPr>
            </w:pPr>
            <w:r w:rsidRPr="00A763C8">
              <w:rPr>
                <w:rFonts w:cs="Arial"/>
              </w:rPr>
              <w:t>The number of patients in the defined audit sample who have stopped smoking</w:t>
            </w:r>
          </w:p>
        </w:tc>
      </w:tr>
      <w:tr w:rsidR="0013071F" w:rsidRPr="00040AE2" w:rsidTr="006A0823">
        <w:tc>
          <w:tcPr>
            <w:tcW w:w="1519" w:type="pct"/>
          </w:tcPr>
          <w:p w:rsidR="0013071F" w:rsidRPr="00040AE2" w:rsidRDefault="0013071F" w:rsidP="006A0823">
            <w:pPr>
              <w:rPr>
                <w:b/>
                <w:lang w:eastAsia="en-GB"/>
              </w:rPr>
            </w:pPr>
            <w:r w:rsidRPr="00040AE2">
              <w:rPr>
                <w:b/>
                <w:lang w:eastAsia="en-GB"/>
              </w:rPr>
              <w:lastRenderedPageBreak/>
              <w:t>Denominator</w:t>
            </w:r>
          </w:p>
        </w:tc>
        <w:tc>
          <w:tcPr>
            <w:tcW w:w="3481" w:type="pct"/>
          </w:tcPr>
          <w:p w:rsidR="0013071F" w:rsidRPr="00C50F0E" w:rsidRDefault="0013071F" w:rsidP="006A0823">
            <w:pPr>
              <w:rPr>
                <w:rFonts w:cs="Arial"/>
                <w:b/>
              </w:rPr>
            </w:pPr>
            <w:r w:rsidRPr="00C50F0E">
              <w:rPr>
                <w:rFonts w:cs="Arial"/>
                <w:b/>
              </w:rPr>
              <w:t>For 2017/18</w:t>
            </w:r>
            <w:r>
              <w:rPr>
                <w:rFonts w:cs="Arial"/>
                <w:b/>
              </w:rPr>
              <w:t xml:space="preserve"> </w:t>
            </w:r>
          </w:p>
          <w:p w:rsidR="0013071F" w:rsidRDefault="0013071F" w:rsidP="006A0823">
            <w:pPr>
              <w:rPr>
                <w:rFonts w:cs="Arial"/>
                <w:bCs w:val="0"/>
                <w:u w:val="single"/>
              </w:rPr>
            </w:pPr>
          </w:p>
          <w:p w:rsidR="0013071F" w:rsidRPr="00D1255A" w:rsidRDefault="0013071F" w:rsidP="006A0823">
            <w:pPr>
              <w:rPr>
                <w:rFonts w:cs="Arial"/>
                <w:b/>
                <w:bCs w:val="0"/>
              </w:rPr>
            </w:pPr>
            <w:r w:rsidRPr="00D1255A">
              <w:rPr>
                <w:rFonts w:cs="Arial"/>
                <w:b/>
              </w:rPr>
              <w:t>Inpatients</w:t>
            </w:r>
          </w:p>
          <w:p w:rsidR="0013071F" w:rsidRDefault="0013071F" w:rsidP="006A0823">
            <w:pPr>
              <w:rPr>
                <w:rFonts w:cs="Arial"/>
                <w:bCs w:val="0"/>
              </w:rPr>
            </w:pPr>
            <w:r>
              <w:rPr>
                <w:rFonts w:cs="Arial"/>
              </w:rPr>
              <w:t>T</w:t>
            </w:r>
            <w:r w:rsidRPr="00B47AC3">
              <w:rPr>
                <w:rFonts w:cs="Arial"/>
              </w:rPr>
              <w:t>he sample must be limited to patients who have been admitted to the ward for at least 7 days. Inpatients with an admission o</w:t>
            </w:r>
            <w:r>
              <w:rPr>
                <w:rFonts w:cs="Arial"/>
              </w:rPr>
              <w:t>f less than 7 days are excluded.</w:t>
            </w:r>
          </w:p>
          <w:p w:rsidR="0013071F" w:rsidRPr="00B47AC3" w:rsidRDefault="0013071F" w:rsidP="006A0823">
            <w:pPr>
              <w:rPr>
                <w:rFonts w:cs="Arial"/>
                <w:bCs w:val="0"/>
              </w:rPr>
            </w:pPr>
          </w:p>
          <w:p w:rsidR="0013071F" w:rsidRPr="00D1255A" w:rsidRDefault="0013071F" w:rsidP="006A0823">
            <w:pPr>
              <w:contextualSpacing/>
              <w:rPr>
                <w:rFonts w:cs="Arial"/>
                <w:b/>
                <w:bCs w:val="0"/>
              </w:rPr>
            </w:pPr>
            <w:r w:rsidRPr="00D1255A">
              <w:rPr>
                <w:rFonts w:cs="Arial"/>
                <w:b/>
              </w:rPr>
              <w:t>Patients on CPA in</w:t>
            </w:r>
            <w:r>
              <w:rPr>
                <w:rFonts w:cs="Arial"/>
                <w:b/>
              </w:rPr>
              <w:t xml:space="preserve"> all</w:t>
            </w:r>
            <w:r w:rsidRPr="00D1255A">
              <w:rPr>
                <w:rFonts w:cs="Arial"/>
                <w:b/>
              </w:rPr>
              <w:t xml:space="preserve"> community based mental health services</w:t>
            </w:r>
          </w:p>
          <w:p w:rsidR="0013071F" w:rsidRDefault="0013071F" w:rsidP="006A0823">
            <w:pPr>
              <w:rPr>
                <w:rFonts w:cs="Arial"/>
                <w:bCs w:val="0"/>
              </w:rPr>
            </w:pPr>
            <w:r>
              <w:rPr>
                <w:rFonts w:cs="Arial"/>
              </w:rPr>
              <w:t>The</w:t>
            </w:r>
            <w:r w:rsidRPr="00B47AC3">
              <w:rPr>
                <w:rFonts w:cs="Arial"/>
              </w:rPr>
              <w:t xml:space="preserve"> sample must be limited to patients who have been on the team case</w:t>
            </w:r>
            <w:r>
              <w:rPr>
                <w:rFonts w:cs="Arial"/>
              </w:rPr>
              <w:t>load for a minimum of 12 months.</w:t>
            </w:r>
          </w:p>
          <w:p w:rsidR="0013071F" w:rsidRPr="0072156F" w:rsidRDefault="0013071F" w:rsidP="006A0823">
            <w:pPr>
              <w:contextualSpacing/>
              <w:rPr>
                <w:rFonts w:cs="Arial"/>
                <w:bCs w:val="0"/>
                <w:u w:val="single"/>
              </w:rPr>
            </w:pPr>
          </w:p>
          <w:p w:rsidR="0013071F" w:rsidRPr="00D1255A" w:rsidRDefault="0013071F" w:rsidP="006A0823">
            <w:pPr>
              <w:contextualSpacing/>
              <w:rPr>
                <w:rFonts w:cs="Arial"/>
                <w:b/>
                <w:bCs w:val="0"/>
              </w:rPr>
            </w:pPr>
            <w:r w:rsidRPr="00D1255A">
              <w:rPr>
                <w:rFonts w:cs="Arial"/>
                <w:b/>
              </w:rPr>
              <w:t>Early intervention in psychosis services</w:t>
            </w:r>
          </w:p>
          <w:p w:rsidR="0013071F" w:rsidRDefault="0013071F" w:rsidP="006A0823">
            <w:pPr>
              <w:contextualSpacing/>
              <w:rPr>
                <w:rFonts w:cs="Arial"/>
                <w:bCs w:val="0"/>
                <w:highlight w:val="cyan"/>
              </w:rPr>
            </w:pPr>
            <w:r w:rsidRPr="00A763C8">
              <w:rPr>
                <w:rFonts w:cs="Arial"/>
              </w:rPr>
              <w:t xml:space="preserve">The sample must be as per the annual CCQI EIP Network self-assessment specification. </w:t>
            </w:r>
          </w:p>
          <w:p w:rsidR="0013071F" w:rsidRPr="00687982" w:rsidRDefault="0013071F" w:rsidP="006A0823">
            <w:pPr>
              <w:rPr>
                <w:lang w:eastAsia="en-GB"/>
              </w:rPr>
            </w:pPr>
          </w:p>
          <w:p w:rsidR="0013071F" w:rsidRPr="00CB5FDC" w:rsidRDefault="0013071F" w:rsidP="006A0823">
            <w:pPr>
              <w:rPr>
                <w:i/>
                <w:lang w:eastAsia="en-GB"/>
              </w:rPr>
            </w:pPr>
            <w:r w:rsidRPr="00CB5FDC">
              <w:rPr>
                <w:i/>
                <w:lang w:eastAsia="en-GB"/>
              </w:rPr>
              <w:t>As per Implementing the Five Year Forward View for Mental Health (https://www.england.nhs.uk/wp-content/uploads/2016/07/fyfv-mh.pdf) the NHS England planning guidance (</w:t>
            </w:r>
            <w:hyperlink r:id="rId27" w:history="1">
              <w:r w:rsidRPr="00CB5FDC">
                <w:rPr>
                  <w:rStyle w:val="Hyperlink"/>
                  <w:i/>
                  <w:lang w:eastAsia="en-GB"/>
                </w:rPr>
                <w:t>https://www.england.nhs.uk/wp-content/uploads/2016/09/NHS-operational-planning-guidance-201617-201819.pdf</w:t>
              </w:r>
            </w:hyperlink>
            <w:r w:rsidRPr="00CB5FDC">
              <w:rPr>
                <w:i/>
                <w:lang w:eastAsia="en-GB"/>
              </w:rPr>
              <w:t>) and the NHSI Single Oversight Framework (</w:t>
            </w:r>
            <w:hyperlink r:id="rId28" w:history="1">
              <w:r w:rsidRPr="00CB5FDC">
                <w:rPr>
                  <w:rStyle w:val="Hyperlink"/>
                  <w:i/>
                  <w:lang w:eastAsia="en-GB"/>
                </w:rPr>
                <w:t>https://improvement.nhs.uk/uploads/documents/Single_Oversight_Framework_published_30_September_2016.pdf</w:t>
              </w:r>
            </w:hyperlink>
            <w:r w:rsidRPr="00CB5FDC">
              <w:rPr>
                <w:i/>
                <w:lang w:eastAsia="en-GB"/>
              </w:rPr>
              <w:t>), all EIP services are expected to take part in the EIP Network, a quality assessment and improvement scheme administered by the Royal College of Psychiatrists College Centre for Quality Improvement, CCQI (</w:t>
            </w:r>
            <w:hyperlink r:id="rId29" w:history="1">
              <w:r w:rsidRPr="00CB5FDC">
                <w:rPr>
                  <w:rStyle w:val="Hyperlink"/>
                  <w:i/>
                  <w:lang w:eastAsia="en-GB"/>
                </w:rPr>
                <w:t>http://www.rcpsych.ac.uk/workinpsychiatry/qualityimprovement/ccqiprojects/earlyinterventionpsychosis.aspx</w:t>
              </w:r>
            </w:hyperlink>
            <w:r w:rsidRPr="00CB5FDC">
              <w:rPr>
                <w:i/>
                <w:lang w:eastAsia="en-GB"/>
              </w:rPr>
              <w:t>). This includes specific review of the quality of physical health care provided to people on the EIP caseload in line with the requirements of this CQUIN scheme.</w:t>
            </w:r>
          </w:p>
          <w:p w:rsidR="0013071F" w:rsidRPr="00687982" w:rsidRDefault="0013071F" w:rsidP="006A0823">
            <w:pPr>
              <w:rPr>
                <w:lang w:eastAsia="en-GB"/>
              </w:rPr>
            </w:pPr>
          </w:p>
          <w:p w:rsidR="0013071F" w:rsidRDefault="0013071F" w:rsidP="006A0823">
            <w:pPr>
              <w:rPr>
                <w:rFonts w:cs="Arial"/>
                <w:b/>
              </w:rPr>
            </w:pPr>
            <w:r>
              <w:rPr>
                <w:rFonts w:cs="Arial"/>
                <w:b/>
              </w:rPr>
              <w:t>For 2018/19</w:t>
            </w:r>
          </w:p>
          <w:p w:rsidR="0013071F" w:rsidRDefault="0013071F" w:rsidP="006A0823">
            <w:pPr>
              <w:rPr>
                <w:rFonts w:cs="Arial"/>
                <w:b/>
              </w:rPr>
            </w:pPr>
          </w:p>
          <w:p w:rsidR="0013071F" w:rsidRPr="003F30AC" w:rsidRDefault="0013071F" w:rsidP="006A0823">
            <w:pPr>
              <w:rPr>
                <w:rFonts w:cs="Arial"/>
              </w:rPr>
            </w:pPr>
            <w:r w:rsidRPr="003F30AC">
              <w:rPr>
                <w:rFonts w:cs="Arial"/>
              </w:rPr>
              <w:t>For</w:t>
            </w:r>
            <w:r>
              <w:rPr>
                <w:rFonts w:cs="Arial"/>
              </w:rPr>
              <w:t xml:space="preserve"> </w:t>
            </w:r>
            <w:r w:rsidRPr="00A763C8">
              <w:rPr>
                <w:rFonts w:cs="Arial"/>
                <w:b/>
              </w:rPr>
              <w:t>inpatient wards</w:t>
            </w:r>
            <w:r w:rsidRPr="003F30AC">
              <w:rPr>
                <w:rFonts w:cs="Arial"/>
              </w:rPr>
              <w:t xml:space="preserve"> and</w:t>
            </w:r>
            <w:r>
              <w:rPr>
                <w:rFonts w:cs="Arial"/>
              </w:rPr>
              <w:t xml:space="preserve"> </w:t>
            </w:r>
            <w:r w:rsidRPr="00A763C8">
              <w:rPr>
                <w:rFonts w:cs="Arial"/>
                <w:b/>
              </w:rPr>
              <w:t>community mental health services</w:t>
            </w:r>
            <w:r>
              <w:rPr>
                <w:rFonts w:cs="Arial"/>
              </w:rPr>
              <w:t xml:space="preserve"> same </w:t>
            </w:r>
            <w:r w:rsidRPr="003F30AC">
              <w:rPr>
                <w:rFonts w:cs="Arial"/>
              </w:rPr>
              <w:t>as for 2017/18</w:t>
            </w:r>
            <w:r>
              <w:rPr>
                <w:rFonts w:cs="Arial"/>
              </w:rPr>
              <w:t>.</w:t>
            </w:r>
          </w:p>
          <w:p w:rsidR="0013071F" w:rsidRDefault="0013071F" w:rsidP="006A0823">
            <w:pPr>
              <w:contextualSpacing/>
              <w:rPr>
                <w:rFonts w:cs="Arial"/>
                <w:bCs w:val="0"/>
              </w:rPr>
            </w:pPr>
          </w:p>
          <w:p w:rsidR="0013071F" w:rsidRDefault="0013071F" w:rsidP="006A0823">
            <w:pPr>
              <w:contextualSpacing/>
              <w:rPr>
                <w:rFonts w:cs="Arial"/>
                <w:bCs w:val="0"/>
                <w:u w:val="single"/>
              </w:rPr>
            </w:pPr>
            <w:r w:rsidRPr="003F30AC">
              <w:rPr>
                <w:rFonts w:cs="Arial"/>
              </w:rPr>
              <w:t xml:space="preserve">For </w:t>
            </w:r>
            <w:r w:rsidRPr="00A763C8">
              <w:rPr>
                <w:rFonts w:cs="Arial"/>
                <w:b/>
              </w:rPr>
              <w:t>early intervention in psychosis</w:t>
            </w:r>
            <w:r>
              <w:rPr>
                <w:rFonts w:cs="Arial"/>
              </w:rPr>
              <w:t xml:space="preserve"> services,</w:t>
            </w:r>
            <w:r w:rsidRPr="003F30AC">
              <w:rPr>
                <w:rFonts w:cs="Arial"/>
              </w:rPr>
              <w:t xml:space="preserve"> </w:t>
            </w:r>
            <w:r>
              <w:rPr>
                <w:rFonts w:cs="Arial"/>
              </w:rPr>
              <w:t xml:space="preserve">same as for 2017/18 </w:t>
            </w:r>
            <w:r w:rsidRPr="00194366">
              <w:rPr>
                <w:rFonts w:cs="Arial"/>
                <w:b/>
              </w:rPr>
              <w:t>plus</w:t>
            </w:r>
          </w:p>
          <w:p w:rsidR="0013071F" w:rsidRDefault="0013071F" w:rsidP="006A0823">
            <w:pPr>
              <w:pStyle w:val="ListParagraph"/>
              <w:numPr>
                <w:ilvl w:val="0"/>
                <w:numId w:val="30"/>
              </w:numPr>
              <w:ind w:left="317"/>
              <w:rPr>
                <w:rFonts w:eastAsia="HGSMinchoE" w:cs="Arial"/>
                <w:b/>
                <w:szCs w:val="24"/>
              </w:rPr>
            </w:pPr>
            <w:r w:rsidRPr="00194366">
              <w:rPr>
                <w:rFonts w:eastAsia="HGSMinchoE" w:cs="Arial"/>
                <w:b/>
                <w:szCs w:val="24"/>
              </w:rPr>
              <w:t>EIP BMI outcome indicator</w:t>
            </w:r>
          </w:p>
          <w:p w:rsidR="0013071F" w:rsidRPr="00213B36" w:rsidRDefault="0013071F" w:rsidP="006A0823">
            <w:pPr>
              <w:ind w:left="360"/>
              <w:rPr>
                <w:rFonts w:cs="Arial"/>
                <w:b/>
              </w:rPr>
            </w:pPr>
          </w:p>
          <w:p w:rsidR="0013071F" w:rsidRPr="00E94E09" w:rsidRDefault="0013071F" w:rsidP="006A0823">
            <w:pPr>
              <w:rPr>
                <w:bCs w:val="0"/>
                <w:iCs/>
              </w:rPr>
            </w:pPr>
            <w:r w:rsidRPr="00AC747B">
              <w:rPr>
                <w:iCs/>
              </w:rPr>
              <w:lastRenderedPageBreak/>
              <w:t>The number of patients experiencing a first episode of psychosis (not those classed as having an At Risk Mental State) who have been taking anti-psychotic medication for between at least 6 and 12 months.</w:t>
            </w:r>
          </w:p>
          <w:p w:rsidR="0013071F" w:rsidRDefault="0013071F" w:rsidP="006A0823"/>
          <w:p w:rsidR="0013071F" w:rsidRPr="00194366" w:rsidRDefault="0013071F" w:rsidP="006A0823">
            <w:pPr>
              <w:pStyle w:val="ListParagraph"/>
              <w:numPr>
                <w:ilvl w:val="0"/>
                <w:numId w:val="30"/>
              </w:numPr>
              <w:ind w:left="317"/>
              <w:rPr>
                <w:rFonts w:eastAsia="HGSMinchoE" w:cs="Arial"/>
                <w:b/>
                <w:szCs w:val="24"/>
              </w:rPr>
            </w:pPr>
            <w:r w:rsidRPr="00194366">
              <w:rPr>
                <w:rFonts w:eastAsia="HGSMinchoE" w:cs="Arial"/>
                <w:b/>
                <w:szCs w:val="24"/>
              </w:rPr>
              <w:t>EIP Smoking cessation outcome indicator</w:t>
            </w:r>
          </w:p>
          <w:p w:rsidR="0013071F" w:rsidRDefault="0013071F" w:rsidP="006A0823">
            <w:pPr>
              <w:contextualSpacing/>
              <w:rPr>
                <w:rFonts w:cs="Arial"/>
                <w:bCs w:val="0"/>
              </w:rPr>
            </w:pPr>
          </w:p>
          <w:p w:rsidR="0013071F" w:rsidRDefault="0013071F" w:rsidP="006A0823">
            <w:pPr>
              <w:contextualSpacing/>
              <w:rPr>
                <w:rFonts w:cs="Arial"/>
                <w:bCs w:val="0"/>
              </w:rPr>
            </w:pPr>
            <w:r w:rsidRPr="00A763C8">
              <w:rPr>
                <w:rFonts w:cs="Arial"/>
              </w:rPr>
              <w:t>The sample must be limited to patients who were identified in the 2017/18 sample as being at risk as per the red zone of the Lester Tool for smoking</w:t>
            </w:r>
            <w:r w:rsidRPr="003F30AC">
              <w:rPr>
                <w:rFonts w:cs="Arial"/>
              </w:rPr>
              <w:t>.</w:t>
            </w:r>
          </w:p>
          <w:p w:rsidR="0013071F" w:rsidRPr="00687982" w:rsidRDefault="0013071F" w:rsidP="006A0823">
            <w:pPr>
              <w:rPr>
                <w:lang w:eastAsia="en-GB"/>
              </w:rPr>
            </w:pPr>
          </w:p>
        </w:tc>
      </w:tr>
      <w:tr w:rsidR="0013071F" w:rsidRPr="00040AE2" w:rsidTr="006A0823">
        <w:tc>
          <w:tcPr>
            <w:tcW w:w="1519" w:type="pct"/>
          </w:tcPr>
          <w:p w:rsidR="0013071F" w:rsidRPr="00040AE2" w:rsidRDefault="0013071F" w:rsidP="006A0823">
            <w:pPr>
              <w:rPr>
                <w:b/>
                <w:lang w:eastAsia="en-GB"/>
              </w:rPr>
            </w:pPr>
            <w:r w:rsidRPr="00040AE2">
              <w:rPr>
                <w:b/>
                <w:lang w:eastAsia="en-GB"/>
              </w:rPr>
              <w:lastRenderedPageBreak/>
              <w:t>Rationale for inclusion</w:t>
            </w:r>
          </w:p>
        </w:tc>
        <w:tc>
          <w:tcPr>
            <w:tcW w:w="3481" w:type="pct"/>
          </w:tcPr>
          <w:p w:rsidR="0013071F" w:rsidRDefault="0013071F" w:rsidP="006A0823">
            <w:pPr>
              <w:keepNext/>
              <w:contextualSpacing/>
              <w:rPr>
                <w:rFonts w:cs="Arial"/>
                <w:b/>
                <w:bCs w:val="0"/>
                <w:color w:val="000000"/>
              </w:rPr>
            </w:pPr>
            <w:r w:rsidRPr="00FC7538">
              <w:rPr>
                <w:rFonts w:cs="Arial"/>
                <w:b/>
                <w:color w:val="000000"/>
              </w:rPr>
              <w:t>Background</w:t>
            </w:r>
          </w:p>
          <w:p w:rsidR="0013071F" w:rsidRPr="00FC7538" w:rsidRDefault="0013071F" w:rsidP="006A0823">
            <w:pPr>
              <w:keepNext/>
              <w:contextualSpacing/>
              <w:rPr>
                <w:rFonts w:cs="Arial"/>
                <w:b/>
                <w:bCs w:val="0"/>
                <w:color w:val="000000"/>
              </w:rPr>
            </w:pPr>
          </w:p>
          <w:p w:rsidR="0013071F" w:rsidRDefault="0013071F" w:rsidP="006A0823">
            <w:pPr>
              <w:keepNext/>
              <w:contextualSpacing/>
              <w:rPr>
                <w:color w:val="000000"/>
              </w:rPr>
            </w:pPr>
            <w:r w:rsidRPr="00AA2F5F">
              <w:rPr>
                <w:rFonts w:cs="Arial"/>
                <w:color w:val="000000"/>
              </w:rPr>
              <w:t>People with severe mental illness (SMI) are at increased risk of poor physical health, and their life-expectancy is reduced by an average of 15–20 years mainly due to preventable physical illness. Two thirds of these deaths are from avoidable physical illnesses including heart disease and cancer, mainly caused by smoking. There is also a lack of access to physical healthcare for people with mental health problems – less than a third of people with schizophrenia in hospital receive the recommended assessment of cardiovascular risk in the previous 12 months.</w:t>
            </w:r>
            <w:r w:rsidRPr="00AA2F5F">
              <w:rPr>
                <w:color w:val="000000"/>
                <w:sz w:val="23"/>
                <w:szCs w:val="23"/>
              </w:rPr>
              <w:t xml:space="preserve"> People with SMI are </w:t>
            </w:r>
            <w:r w:rsidRPr="00AA2F5F">
              <w:rPr>
                <w:color w:val="000000"/>
              </w:rPr>
              <w:t xml:space="preserve">three times more likely to attend A&amp;E with an urgent physical health need and almost five times more likely to be admitted as an emergency, suggesting deficiencies in the primary </w:t>
            </w:r>
            <w:r>
              <w:rPr>
                <w:color w:val="000000"/>
              </w:rPr>
              <w:t>physical health</w:t>
            </w:r>
            <w:r w:rsidRPr="00AA2F5F">
              <w:rPr>
                <w:color w:val="000000"/>
              </w:rPr>
              <w:t>care they are receiving</w:t>
            </w:r>
            <w:r w:rsidRPr="00EB33AA">
              <w:rPr>
                <w:color w:val="000000"/>
              </w:rPr>
              <w:t>.</w:t>
            </w:r>
          </w:p>
          <w:p w:rsidR="0013071F" w:rsidRDefault="0013071F" w:rsidP="006A0823"/>
          <w:p w:rsidR="0013071F" w:rsidRPr="00A763C8" w:rsidRDefault="0013071F" w:rsidP="006A0823">
            <w:pPr>
              <w:rPr>
                <w:u w:val="single"/>
              </w:rPr>
            </w:pPr>
            <w:r w:rsidRPr="00A763C8">
              <w:rPr>
                <w:u w:val="single"/>
              </w:rPr>
              <w:t>Early Intervention in Psychosis Services</w:t>
            </w:r>
          </w:p>
          <w:p w:rsidR="0013071F" w:rsidRPr="00A763C8" w:rsidRDefault="0013071F" w:rsidP="006A0823">
            <w:pPr>
              <w:rPr>
                <w:rFonts w:cs="Arial"/>
              </w:rPr>
            </w:pPr>
            <w:r w:rsidRPr="00A763C8">
              <w:rPr>
                <w:rFonts w:cs="Arial"/>
                <w:snapToGrid w:val="0"/>
              </w:rPr>
              <w:t>Since 1 April 2016, the access and waiting time standard for early intervention in psychosis (EIP) services has required that more than 50% of people experiencing first episode psychosis commence treatment with a NICE-approved care package within two weeks of referral. The standard is targeted at people aged 14-65 in line with NICE recommendations.</w:t>
            </w:r>
            <w:r w:rsidRPr="00A763C8">
              <w:t xml:space="preserve"> </w:t>
            </w:r>
            <w:r w:rsidRPr="00A763C8">
              <w:rPr>
                <w:rFonts w:cs="Arial"/>
              </w:rPr>
              <w:t>In response to the recommendation of the Mental Health Taskforce, NHS England has committed to ensuring that, by 2020/21, the standard will be extended to reach at least 60% of people experiencing first episode psychosis.</w:t>
            </w:r>
          </w:p>
          <w:p w:rsidR="0013071F" w:rsidRPr="00A763C8" w:rsidRDefault="0013071F" w:rsidP="006A0823">
            <w:pPr>
              <w:rPr>
                <w:rFonts w:cs="Arial"/>
                <w:snapToGrid w:val="0"/>
              </w:rPr>
            </w:pPr>
          </w:p>
          <w:p w:rsidR="0013071F" w:rsidRPr="00A763C8" w:rsidRDefault="0013071F" w:rsidP="006A0823">
            <w:pPr>
              <w:rPr>
                <w:rFonts w:cs="Arial"/>
                <w:snapToGrid w:val="0"/>
              </w:rPr>
            </w:pPr>
            <w:r w:rsidRPr="00A763C8">
              <w:rPr>
                <w:rFonts w:cs="Arial"/>
              </w:rPr>
              <w:t xml:space="preserve">To understand the baseline picture in terms of access to NICE-recommended interventions, NHS England commissioned the Healthcare Quality Improvement Partnership (HQIP) to undertake a baseline audit of EIP service provision. The sampling period spanned </w:t>
            </w:r>
            <w:r w:rsidRPr="00A763C8">
              <w:rPr>
                <w:rFonts w:cs="Arial"/>
              </w:rPr>
              <w:lastRenderedPageBreak/>
              <w:t>the period July 2014 to December 2014 and was published on 5 July 2016.</w:t>
            </w:r>
            <w:r w:rsidRPr="00A763C8">
              <w:rPr>
                <w:rFonts w:cs="Arial"/>
                <w:snapToGrid w:val="0"/>
              </w:rPr>
              <w:t xml:space="preserve"> Access to high quality physical healthcare assessment and interventions is one of the key requirements of the NICE Quality Standard but the audit finding was that </w:t>
            </w:r>
            <w:r>
              <w:rPr>
                <w:rFonts w:cs="Arial"/>
                <w:snapToGrid w:val="0"/>
              </w:rPr>
              <w:t>screening for all seven physical health measures took place in only 22% of cases sampled (range of 0%-82%) and all indicated interventions were offered in only 13% of cases sampled (range of 0-64%).</w:t>
            </w:r>
            <w:r>
              <w:rPr>
                <w:rFonts w:ascii="Verdana" w:hAnsi="Verdana"/>
                <w:b/>
                <w:color w:val="5E4777"/>
                <w:sz w:val="20"/>
                <w:szCs w:val="20"/>
                <w:lang w:val="en-US"/>
              </w:rPr>
              <w:t xml:space="preserve">  </w:t>
            </w:r>
            <w:r>
              <w:rPr>
                <w:rFonts w:cs="Arial"/>
                <w:snapToGrid w:val="0"/>
              </w:rPr>
              <w:t>Improving access to high quality physical healthcare in EIP services is particularly crucial to improving longer term physical health care outcomes for people with psychosis and a specific focus on EIP services within this CQUIN scheme is therefore necessary.</w:t>
            </w:r>
          </w:p>
          <w:p w:rsidR="0013071F" w:rsidRDefault="0013071F" w:rsidP="006A0823">
            <w:pPr>
              <w:keepNext/>
              <w:contextualSpacing/>
              <w:rPr>
                <w:rFonts w:cs="Arial"/>
                <w:bCs w:val="0"/>
                <w:color w:val="000000"/>
              </w:rPr>
            </w:pPr>
          </w:p>
          <w:p w:rsidR="0013071F" w:rsidRPr="00A763C8" w:rsidRDefault="0013071F" w:rsidP="006A0823">
            <w:pPr>
              <w:keepNext/>
              <w:contextualSpacing/>
              <w:rPr>
                <w:rFonts w:cs="Arial"/>
                <w:bCs w:val="0"/>
                <w:color w:val="000000"/>
                <w:u w:val="single"/>
              </w:rPr>
            </w:pPr>
            <w:r w:rsidRPr="00A763C8">
              <w:rPr>
                <w:rFonts w:cs="Arial"/>
                <w:color w:val="000000"/>
                <w:u w:val="single"/>
              </w:rPr>
              <w:t>Physical health SMI CQUIN</w:t>
            </w:r>
          </w:p>
          <w:p w:rsidR="0013071F" w:rsidRPr="00FF5732" w:rsidRDefault="0013071F" w:rsidP="006A0823">
            <w:pPr>
              <w:keepNext/>
              <w:contextualSpacing/>
              <w:rPr>
                <w:rFonts w:cs="Arial"/>
                <w:sz w:val="22"/>
                <w:szCs w:val="22"/>
              </w:rPr>
            </w:pPr>
            <w:r w:rsidRPr="00B47AC3">
              <w:rPr>
                <w:rFonts w:cs="Arial"/>
                <w:color w:val="000000"/>
              </w:rPr>
              <w:t xml:space="preserve">This CQUIN builds on the </w:t>
            </w:r>
            <w:r>
              <w:rPr>
                <w:rFonts w:cs="Arial"/>
                <w:color w:val="000000"/>
              </w:rPr>
              <w:t>developments</w:t>
            </w:r>
            <w:r w:rsidRPr="00B47AC3">
              <w:rPr>
                <w:rFonts w:cs="Arial"/>
                <w:color w:val="000000"/>
              </w:rPr>
              <w:t xml:space="preserve"> across England</w:t>
            </w:r>
            <w:r>
              <w:rPr>
                <w:rFonts w:cs="Arial"/>
                <w:color w:val="000000"/>
              </w:rPr>
              <w:t xml:space="preserve"> over the last 3 years</w:t>
            </w:r>
            <w:r w:rsidRPr="00B47AC3">
              <w:rPr>
                <w:rFonts w:cs="Arial"/>
                <w:color w:val="000000"/>
              </w:rPr>
              <w:t xml:space="preserve"> </w:t>
            </w:r>
            <w:r>
              <w:rPr>
                <w:rFonts w:cs="Arial"/>
                <w:color w:val="000000"/>
              </w:rPr>
              <w:t>to improve</w:t>
            </w:r>
            <w:r w:rsidRPr="00B47AC3">
              <w:rPr>
                <w:rFonts w:cs="Arial"/>
                <w:color w:val="000000"/>
              </w:rPr>
              <w:t xml:space="preserve"> physical health care for </w:t>
            </w:r>
            <w:r w:rsidRPr="00AA2F5F">
              <w:rPr>
                <w:rFonts w:cs="Arial"/>
                <w:color w:val="000000"/>
              </w:rPr>
              <w:t>people with severe mental illness (SMI) in order to reduce premature mortality in this patient group. The number of cardio metabolic assessments completed and intervention</w:t>
            </w:r>
            <w:r>
              <w:rPr>
                <w:rFonts w:cs="Arial"/>
                <w:color w:val="000000"/>
              </w:rPr>
              <w:t>s</w:t>
            </w:r>
            <w:r w:rsidRPr="00AA2F5F">
              <w:rPr>
                <w:rFonts w:cs="Arial"/>
                <w:color w:val="000000"/>
              </w:rPr>
              <w:t xml:space="preserve"> offered </w:t>
            </w:r>
            <w:r w:rsidRPr="00547744">
              <w:rPr>
                <w:rFonts w:cs="Arial"/>
                <w:color w:val="000000"/>
              </w:rPr>
              <w:t>substantially increased</w:t>
            </w:r>
            <w:r w:rsidRPr="00AA2F5F">
              <w:rPr>
                <w:rFonts w:cs="Arial"/>
                <w:color w:val="000000"/>
              </w:rPr>
              <w:t xml:space="preserve"> between 2014/15 </w:t>
            </w:r>
            <w:r>
              <w:rPr>
                <w:rFonts w:cs="Arial"/>
                <w:color w:val="000000"/>
              </w:rPr>
              <w:t>and</w:t>
            </w:r>
            <w:r w:rsidRPr="00AA2F5F">
              <w:rPr>
                <w:rFonts w:cs="Arial"/>
                <w:color w:val="000000"/>
              </w:rPr>
              <w:t xml:space="preserve"> 2015/16</w:t>
            </w:r>
            <w:r>
              <w:rPr>
                <w:rFonts w:cs="Arial"/>
                <w:color w:val="000000"/>
              </w:rPr>
              <w:t xml:space="preserve"> and</w:t>
            </w:r>
            <w:r w:rsidRPr="00AA2F5F">
              <w:rPr>
                <w:rFonts w:cs="Arial"/>
                <w:color w:val="000000"/>
              </w:rPr>
              <w:t xml:space="preserve"> </w:t>
            </w:r>
            <w:r>
              <w:rPr>
                <w:rFonts w:cs="Arial"/>
                <w:color w:val="000000"/>
              </w:rPr>
              <w:t xml:space="preserve">there was an increase in compliance with the CQUIN requirements. </w:t>
            </w:r>
            <w:r w:rsidRPr="00AA2F5F">
              <w:rPr>
                <w:rFonts w:cs="Arial"/>
                <w:color w:val="000000"/>
              </w:rPr>
              <w:t xml:space="preserve">By continuing the CQUIN, providers have an opportunity to </w:t>
            </w:r>
            <w:r>
              <w:rPr>
                <w:rFonts w:cs="Arial"/>
                <w:color w:val="000000"/>
              </w:rPr>
              <w:t xml:space="preserve">continue to </w:t>
            </w:r>
            <w:r w:rsidRPr="00AA2F5F">
              <w:rPr>
                <w:rFonts w:cs="Arial"/>
                <w:color w:val="000000"/>
              </w:rPr>
              <w:t xml:space="preserve">build on progress made and ensure systems are in place to embed learning and sustain good practice. </w:t>
            </w:r>
          </w:p>
          <w:p w:rsidR="0013071F" w:rsidRDefault="0013071F" w:rsidP="006A0823">
            <w:pPr>
              <w:keepNext/>
              <w:contextualSpacing/>
              <w:rPr>
                <w:rFonts w:cs="Arial"/>
                <w:bCs w:val="0"/>
                <w:color w:val="000000"/>
              </w:rPr>
            </w:pPr>
          </w:p>
          <w:p w:rsidR="0013071F" w:rsidRPr="00B47AC3" w:rsidRDefault="0013071F" w:rsidP="006A0823">
            <w:pPr>
              <w:keepNext/>
              <w:contextualSpacing/>
              <w:rPr>
                <w:rFonts w:cs="Arial"/>
                <w:bCs w:val="0"/>
                <w:color w:val="000000"/>
              </w:rPr>
            </w:pPr>
            <w:r w:rsidRPr="00B47AC3">
              <w:rPr>
                <w:rFonts w:cs="Arial"/>
                <w:color w:val="000000"/>
              </w:rPr>
              <w:t xml:space="preserve">The aim is to </w:t>
            </w:r>
            <w:r w:rsidRPr="00AA2F5F">
              <w:rPr>
                <w:rFonts w:cs="Arial"/>
                <w:color w:val="000000"/>
              </w:rPr>
              <w:t xml:space="preserve">ensure that patients with SMI receive comprehensive cardio metabolic risk assessments and have access to the necessary treatments/interventions. The results are to be recorded in the patient’s </w:t>
            </w:r>
            <w:r>
              <w:rPr>
                <w:rFonts w:cs="Arial"/>
                <w:color w:val="000000"/>
              </w:rPr>
              <w:t xml:space="preserve">electronic care </w:t>
            </w:r>
            <w:r w:rsidRPr="00AA2F5F">
              <w:rPr>
                <w:rFonts w:cs="Arial"/>
                <w:color w:val="000000"/>
              </w:rPr>
              <w:t xml:space="preserve">record </w:t>
            </w:r>
            <w:r>
              <w:rPr>
                <w:rFonts w:cs="Arial"/>
                <w:color w:val="000000"/>
              </w:rPr>
              <w:t xml:space="preserve">(held by the secondary mental health provider) </w:t>
            </w:r>
            <w:r w:rsidRPr="00AA2F5F">
              <w:rPr>
                <w:rFonts w:cs="Arial"/>
                <w:color w:val="000000"/>
              </w:rPr>
              <w:t>and shared appropriately with the pati</w:t>
            </w:r>
            <w:r>
              <w:rPr>
                <w:rFonts w:cs="Arial"/>
                <w:color w:val="000000"/>
              </w:rPr>
              <w:t>ent, the treating clinical team</w:t>
            </w:r>
            <w:r w:rsidRPr="00AA2F5F">
              <w:rPr>
                <w:rFonts w:cs="Arial"/>
                <w:color w:val="000000"/>
              </w:rPr>
              <w:t xml:space="preserve"> and partners in primary</w:t>
            </w:r>
            <w:r>
              <w:rPr>
                <w:rFonts w:cs="Arial"/>
                <w:color w:val="000000"/>
              </w:rPr>
              <w:t xml:space="preserve"> </w:t>
            </w:r>
            <w:r w:rsidRPr="00AA2F5F">
              <w:rPr>
                <w:rFonts w:cs="Arial"/>
                <w:color w:val="000000"/>
              </w:rPr>
              <w:t>care.</w:t>
            </w:r>
            <w:r w:rsidRPr="00B47AC3">
              <w:rPr>
                <w:rFonts w:cs="Arial"/>
                <w:color w:val="000000"/>
              </w:rPr>
              <w:t xml:space="preserve"> </w:t>
            </w:r>
          </w:p>
          <w:p w:rsidR="0013071F" w:rsidRPr="00B47AC3" w:rsidRDefault="0013071F" w:rsidP="006A0823">
            <w:pPr>
              <w:keepNext/>
              <w:contextualSpacing/>
              <w:rPr>
                <w:rFonts w:cs="Arial"/>
                <w:bCs w:val="0"/>
                <w:color w:val="000000"/>
              </w:rPr>
            </w:pPr>
          </w:p>
          <w:p w:rsidR="0013071F" w:rsidRPr="00B47AC3" w:rsidRDefault="0013071F" w:rsidP="006A0823">
            <w:pPr>
              <w:keepNext/>
              <w:contextualSpacing/>
              <w:rPr>
                <w:rFonts w:cs="Arial"/>
                <w:bCs w:val="0"/>
                <w:color w:val="000000"/>
              </w:rPr>
            </w:pPr>
            <w:r w:rsidRPr="00B47AC3">
              <w:rPr>
                <w:rFonts w:cs="Arial"/>
                <w:color w:val="000000"/>
              </w:rPr>
              <w:t>Patients with SMI for the purpose of this CQ</w:t>
            </w:r>
            <w:r>
              <w:rPr>
                <w:rFonts w:cs="Arial"/>
                <w:color w:val="000000"/>
              </w:rPr>
              <w:t>UIN are all patients with psychosis</w:t>
            </w:r>
            <w:r w:rsidRPr="00B47AC3">
              <w:rPr>
                <w:rFonts w:cs="Arial"/>
                <w:color w:val="000000"/>
              </w:rPr>
              <w:t>, including schizophrenia (see additional notes below), in all types of inpatient units and community settings</w:t>
            </w:r>
            <w:r>
              <w:rPr>
                <w:rFonts w:cs="Arial"/>
                <w:color w:val="000000"/>
              </w:rPr>
              <w:t xml:space="preserve"> commissioned from all sectors.</w:t>
            </w:r>
          </w:p>
          <w:p w:rsidR="0013071F" w:rsidRPr="00B47AC3" w:rsidRDefault="0013071F" w:rsidP="006A0823">
            <w:pPr>
              <w:keepNext/>
              <w:contextualSpacing/>
              <w:rPr>
                <w:rFonts w:cs="Arial"/>
                <w:bCs w:val="0"/>
                <w:color w:val="000000"/>
              </w:rPr>
            </w:pPr>
          </w:p>
          <w:p w:rsidR="0013071F" w:rsidRPr="00B47AC3" w:rsidRDefault="0013071F" w:rsidP="006A0823">
            <w:pPr>
              <w:keepNext/>
              <w:contextualSpacing/>
              <w:rPr>
                <w:rFonts w:cs="Arial"/>
                <w:bCs w:val="0"/>
                <w:color w:val="000000"/>
              </w:rPr>
            </w:pPr>
            <w:r w:rsidRPr="00B47AC3">
              <w:rPr>
                <w:rFonts w:cs="Arial"/>
                <w:color w:val="000000"/>
              </w:rPr>
              <w:t>The cardio metabolic parameters</w:t>
            </w:r>
            <w:r>
              <w:rPr>
                <w:rFonts w:cs="Arial"/>
                <w:color w:val="000000"/>
              </w:rPr>
              <w:t>,</w:t>
            </w:r>
            <w:r w:rsidRPr="00B47AC3">
              <w:rPr>
                <w:rFonts w:cs="Arial"/>
                <w:color w:val="000000"/>
              </w:rPr>
              <w:t xml:space="preserve"> based on the Lester Tool</w:t>
            </w:r>
            <w:r>
              <w:rPr>
                <w:rFonts w:cs="Arial"/>
                <w:color w:val="000000"/>
              </w:rPr>
              <w:t>,</w:t>
            </w:r>
            <w:r w:rsidRPr="00B47AC3">
              <w:rPr>
                <w:rFonts w:cs="Arial"/>
                <w:color w:val="000000"/>
              </w:rPr>
              <w:t xml:space="preserve"> for this CQUIN are as follows:</w:t>
            </w:r>
          </w:p>
          <w:p w:rsidR="0013071F" w:rsidRPr="00CB5FDC" w:rsidRDefault="0013071F" w:rsidP="00DF18AB">
            <w:pPr>
              <w:pStyle w:val="ListParagraph"/>
              <w:keepNext/>
              <w:numPr>
                <w:ilvl w:val="0"/>
                <w:numId w:val="95"/>
              </w:numPr>
              <w:rPr>
                <w:rFonts w:cs="Arial"/>
                <w:bCs w:val="0"/>
                <w:color w:val="000000"/>
              </w:rPr>
            </w:pPr>
            <w:r w:rsidRPr="00CB5FDC">
              <w:rPr>
                <w:rFonts w:cs="Arial"/>
                <w:color w:val="000000"/>
              </w:rPr>
              <w:t>Smoking status;</w:t>
            </w:r>
          </w:p>
          <w:p w:rsidR="0013071F" w:rsidRPr="00CB5FDC" w:rsidRDefault="0013071F" w:rsidP="00DF18AB">
            <w:pPr>
              <w:pStyle w:val="ListParagraph"/>
              <w:keepNext/>
              <w:numPr>
                <w:ilvl w:val="0"/>
                <w:numId w:val="95"/>
              </w:numPr>
              <w:rPr>
                <w:rFonts w:cs="Arial"/>
                <w:bCs w:val="0"/>
                <w:color w:val="000000"/>
              </w:rPr>
            </w:pPr>
            <w:r w:rsidRPr="00CB5FDC">
              <w:rPr>
                <w:rFonts w:cs="Arial"/>
                <w:color w:val="000000"/>
              </w:rPr>
              <w:t>Lifestyle (including exercise, diet alcohol and drugs);</w:t>
            </w:r>
          </w:p>
          <w:p w:rsidR="0013071F" w:rsidRPr="00CB5FDC" w:rsidRDefault="0013071F" w:rsidP="00DF18AB">
            <w:pPr>
              <w:pStyle w:val="ListParagraph"/>
              <w:keepNext/>
              <w:numPr>
                <w:ilvl w:val="0"/>
                <w:numId w:val="95"/>
              </w:numPr>
              <w:rPr>
                <w:rFonts w:cs="Arial"/>
                <w:bCs w:val="0"/>
                <w:color w:val="000000"/>
              </w:rPr>
            </w:pPr>
            <w:r w:rsidRPr="00CB5FDC">
              <w:rPr>
                <w:rFonts w:cs="Arial"/>
                <w:color w:val="000000"/>
              </w:rPr>
              <w:lastRenderedPageBreak/>
              <w:t>Body Mass Index;</w:t>
            </w:r>
          </w:p>
          <w:p w:rsidR="0013071F" w:rsidRPr="00CB5FDC" w:rsidRDefault="0013071F" w:rsidP="00DF18AB">
            <w:pPr>
              <w:pStyle w:val="ListParagraph"/>
              <w:keepNext/>
              <w:numPr>
                <w:ilvl w:val="0"/>
                <w:numId w:val="95"/>
              </w:numPr>
              <w:rPr>
                <w:rFonts w:cs="Arial"/>
                <w:bCs w:val="0"/>
                <w:color w:val="000000"/>
              </w:rPr>
            </w:pPr>
            <w:r w:rsidRPr="00CB5FDC">
              <w:rPr>
                <w:rFonts w:cs="Arial"/>
                <w:color w:val="000000"/>
              </w:rPr>
              <w:t>Blood pressure;</w:t>
            </w:r>
          </w:p>
          <w:p w:rsidR="0013071F" w:rsidRPr="00CB5FDC" w:rsidRDefault="0013071F" w:rsidP="00DF18AB">
            <w:pPr>
              <w:pStyle w:val="ListParagraph"/>
              <w:keepNext/>
              <w:numPr>
                <w:ilvl w:val="0"/>
                <w:numId w:val="95"/>
              </w:numPr>
              <w:rPr>
                <w:rFonts w:cs="Arial"/>
                <w:bCs w:val="0"/>
                <w:color w:val="000000"/>
              </w:rPr>
            </w:pPr>
            <w:r w:rsidRPr="00CB5FDC">
              <w:rPr>
                <w:rFonts w:cs="Arial"/>
                <w:color w:val="000000"/>
              </w:rPr>
              <w:t>Glucose regulation (preferably HbA1c or fasting plasma glucose. Random plasma glucose as appropriate);</w:t>
            </w:r>
          </w:p>
          <w:p w:rsidR="0013071F" w:rsidRPr="00CB5FDC" w:rsidRDefault="0013071F" w:rsidP="00DF18AB">
            <w:pPr>
              <w:pStyle w:val="ListParagraph"/>
              <w:keepNext/>
              <w:numPr>
                <w:ilvl w:val="0"/>
                <w:numId w:val="95"/>
              </w:numPr>
              <w:rPr>
                <w:rFonts w:cs="Arial"/>
                <w:bCs w:val="0"/>
                <w:color w:val="000000"/>
              </w:rPr>
            </w:pPr>
            <w:r w:rsidRPr="00CB5FDC">
              <w:rPr>
                <w:rFonts w:cs="Arial"/>
                <w:color w:val="000000"/>
              </w:rPr>
              <w:t>Blood lipids.</w:t>
            </w:r>
          </w:p>
          <w:p w:rsidR="0013071F" w:rsidRDefault="0013071F" w:rsidP="006A0823">
            <w:pPr>
              <w:rPr>
                <w:rFonts w:cs="Arial"/>
                <w:color w:val="000000"/>
              </w:rPr>
            </w:pPr>
          </w:p>
          <w:p w:rsidR="0013071F" w:rsidRDefault="0013071F" w:rsidP="006A0823">
            <w:r w:rsidRPr="00A763C8">
              <w:rPr>
                <w:rFonts w:cs="Arial"/>
                <w:color w:val="000000"/>
              </w:rPr>
              <w:t xml:space="preserve">Previously EIP services were audited in the PSMI CQUIN. With the access and waiting time standard and subsequent work, </w:t>
            </w:r>
            <w:r>
              <w:rPr>
                <w:rFonts w:cs="Arial"/>
                <w:color w:val="000000"/>
              </w:rPr>
              <w:t xml:space="preserve">as of 2016/17 </w:t>
            </w:r>
            <w:r w:rsidRPr="00A763C8">
              <w:rPr>
                <w:rFonts w:cs="Arial"/>
                <w:color w:val="000000"/>
              </w:rPr>
              <w:t xml:space="preserve">EIP services are required to complete an annual self-assessment </w:t>
            </w:r>
            <w:r w:rsidRPr="009B38F9">
              <w:rPr>
                <w:rFonts w:cs="Arial"/>
                <w:color w:val="000000"/>
              </w:rPr>
              <w:t>tool (</w:t>
            </w:r>
            <w:hyperlink r:id="rId30" w:history="1">
              <w:r w:rsidRPr="009B38F9">
                <w:rPr>
                  <w:rStyle w:val="Hyperlink"/>
                </w:rPr>
                <w:t>http://www.rcpsych.ac.uk/pdf/EIPN%20Self%20Assessment%20Tool.pdf</w:t>
              </w:r>
            </w:hyperlink>
            <w:r w:rsidRPr="009B38F9">
              <w:rPr>
                <w:rFonts w:cs="Arial"/>
                <w:color w:val="000000"/>
              </w:rPr>
              <w:t>) which</w:t>
            </w:r>
            <w:r w:rsidRPr="00A763C8">
              <w:rPr>
                <w:rFonts w:cs="Arial"/>
                <w:color w:val="000000"/>
              </w:rPr>
              <w:t xml:space="preserve"> includes </w:t>
            </w:r>
            <w:r w:rsidRPr="00A763C8">
              <w:t>completing a physical health review at start of treatment (baseline), at 3 months and then annually (or 6 monthly for young people) unless a physical abnormality arises. This includes the cardio metabolic parameters based within the Lester Tool. With data already collected through the CCQI EIP self-assessment tool, the CQUIN will draw upon this information to help calculate the CQUIN indicator above for 2017/18 and 2018/19.</w:t>
            </w:r>
          </w:p>
          <w:p w:rsidR="0013071F" w:rsidRDefault="0013071F" w:rsidP="006A0823"/>
          <w:p w:rsidR="0013071F" w:rsidRPr="009B38F9" w:rsidRDefault="0013071F" w:rsidP="006A0823">
            <w:pPr>
              <w:rPr>
                <w:rFonts w:cs="Arial"/>
                <w:color w:val="000000"/>
                <w:u w:val="single"/>
              </w:rPr>
            </w:pPr>
            <w:r w:rsidRPr="009B38F9">
              <w:rPr>
                <w:rFonts w:cs="Arial"/>
                <w:color w:val="000000"/>
                <w:u w:val="single"/>
              </w:rPr>
              <w:t>BMI and smoking outcomes in EIP services</w:t>
            </w:r>
          </w:p>
          <w:p w:rsidR="0013071F" w:rsidRDefault="0013071F" w:rsidP="006A0823">
            <w:pPr>
              <w:rPr>
                <w:color w:val="000000"/>
              </w:rPr>
            </w:pPr>
            <w:r w:rsidRPr="009B38F9">
              <w:rPr>
                <w:color w:val="000000"/>
              </w:rPr>
              <w:t>In order to provide stretch upon previous year’s requirements, for 18/19 this CQUIN scheme will develop to include a focus upon achieving outcomes in relation to BMI and smoking rates within EIP services. These are two of the parameters that, if positively impacted, have most potential to reduce premature mortality.</w:t>
            </w:r>
            <w:r>
              <w:rPr>
                <w:color w:val="000000"/>
              </w:rPr>
              <w:t xml:space="preserve"> </w:t>
            </w:r>
          </w:p>
          <w:p w:rsidR="0013071F" w:rsidRPr="00CB5FDC" w:rsidRDefault="0013071F" w:rsidP="00DF18AB">
            <w:pPr>
              <w:pStyle w:val="ListParagraph"/>
              <w:numPr>
                <w:ilvl w:val="0"/>
                <w:numId w:val="96"/>
              </w:numPr>
              <w:rPr>
                <w:rFonts w:cs="Arial"/>
                <w:szCs w:val="24"/>
              </w:rPr>
            </w:pPr>
            <w:r w:rsidRPr="00CB5FDC">
              <w:rPr>
                <w:rFonts w:cs="Arial"/>
                <w:szCs w:val="24"/>
              </w:rPr>
              <w:t>The BMI outcome indicator is applicable to EIP services where 35% or more patients should gain no more than 7% body weight in the first year of taking antipsychotic medication.</w:t>
            </w:r>
          </w:p>
          <w:p w:rsidR="0013071F" w:rsidRPr="0030411E" w:rsidRDefault="0013071F" w:rsidP="00DF18AB">
            <w:pPr>
              <w:pStyle w:val="ListParagraph"/>
              <w:numPr>
                <w:ilvl w:val="0"/>
                <w:numId w:val="96"/>
              </w:numPr>
              <w:rPr>
                <w:lang w:eastAsia="en-GB"/>
              </w:rPr>
            </w:pPr>
            <w:r w:rsidRPr="00CB5FDC">
              <w:rPr>
                <w:rFonts w:cs="Arial"/>
                <w:szCs w:val="24"/>
              </w:rPr>
              <w:t xml:space="preserve">The smoking outcome indicator is applicable to EIP services where </w:t>
            </w:r>
            <w:r w:rsidRPr="00CB5FDC">
              <w:rPr>
                <w:rFonts w:cs="Arial"/>
              </w:rPr>
              <w:t xml:space="preserve">10% or more patients who were previously identified as in the Red Zone for smoking on the Lester Tool should have stopped smoking. </w:t>
            </w:r>
          </w:p>
          <w:p w:rsidR="0013071F" w:rsidRDefault="0013071F" w:rsidP="006A0823">
            <w:pPr>
              <w:rPr>
                <w:lang w:eastAsia="en-GB"/>
              </w:rPr>
            </w:pPr>
          </w:p>
          <w:p w:rsidR="0013071F" w:rsidRDefault="0013071F" w:rsidP="006A0823">
            <w:r>
              <w:t xml:space="preserve">This CQUIN is part of a suite of incentives that trusts will be working with, and a number of these incentives will be complementary. The </w:t>
            </w:r>
            <w:r w:rsidRPr="00C02AC7">
              <w:rPr>
                <w:lang w:eastAsia="en-GB"/>
              </w:rPr>
              <w:t>Preventing ill health by risky behaviours – alcohol and tobacco</w:t>
            </w:r>
            <w:r>
              <w:t xml:space="preserve"> CQUIN indicator also includes a requirement for clinicians to undertake assessment and arrange for intervention where appropriate in relation to smoking status and alcohol use. </w:t>
            </w:r>
          </w:p>
          <w:p w:rsidR="0013071F" w:rsidRDefault="0013071F" w:rsidP="006A0823"/>
          <w:p w:rsidR="0013071F" w:rsidRPr="00687982" w:rsidRDefault="0013071F" w:rsidP="006A0823">
            <w:r>
              <w:t xml:space="preserve">NHS England and Public Health England have taken </w:t>
            </w:r>
            <w:r>
              <w:lastRenderedPageBreak/>
              <w:t>steps to ensure alignment between the CQUIN indicators and so this presents an opportunity for providers to build on the practice incentivised through this indicator. It is therefore expected that providers will develop synergies across their work in delivering CQUINs to maximise the opportunities and reduce cost duplication and strengthen efforts in this area.</w:t>
            </w:r>
          </w:p>
        </w:tc>
      </w:tr>
      <w:tr w:rsidR="0013071F" w:rsidRPr="00040AE2" w:rsidTr="006A0823">
        <w:tc>
          <w:tcPr>
            <w:tcW w:w="1519" w:type="pct"/>
          </w:tcPr>
          <w:p w:rsidR="0013071F" w:rsidRPr="00040AE2" w:rsidRDefault="0013071F" w:rsidP="006A0823">
            <w:pPr>
              <w:rPr>
                <w:b/>
                <w:lang w:eastAsia="en-GB"/>
              </w:rPr>
            </w:pPr>
            <w:r w:rsidRPr="00040AE2">
              <w:rPr>
                <w:b/>
                <w:lang w:eastAsia="en-GB"/>
              </w:rPr>
              <w:lastRenderedPageBreak/>
              <w:t>Data source</w:t>
            </w:r>
          </w:p>
        </w:tc>
        <w:tc>
          <w:tcPr>
            <w:tcW w:w="3481" w:type="pct"/>
          </w:tcPr>
          <w:p w:rsidR="0013071F" w:rsidRDefault="0013071F" w:rsidP="006A0823">
            <w:pPr>
              <w:keepNext/>
              <w:contextualSpacing/>
              <w:rPr>
                <w:rFonts w:cs="Arial"/>
                <w:bCs w:val="0"/>
                <w:color w:val="000000"/>
              </w:rPr>
            </w:pPr>
            <w:r w:rsidRPr="00B47AC3">
              <w:rPr>
                <w:rFonts w:cs="Arial"/>
                <w:color w:val="000000"/>
              </w:rPr>
              <w:t>Interna</w:t>
            </w:r>
            <w:r>
              <w:rPr>
                <w:rFonts w:cs="Arial"/>
                <w:color w:val="000000"/>
              </w:rPr>
              <w:t>l mental health provider sample submitted to national a</w:t>
            </w:r>
            <w:r w:rsidRPr="00B47AC3">
              <w:rPr>
                <w:rFonts w:cs="Arial"/>
                <w:color w:val="000000"/>
              </w:rPr>
              <w:t>udit provider for the CQUIN</w:t>
            </w:r>
            <w:r>
              <w:rPr>
                <w:rFonts w:cs="Arial"/>
                <w:color w:val="000000"/>
              </w:rPr>
              <w:t xml:space="preserve"> (for inpatient and community mental health services)</w:t>
            </w:r>
            <w:r w:rsidRPr="00B47AC3">
              <w:rPr>
                <w:rFonts w:cs="Arial"/>
                <w:color w:val="000000"/>
              </w:rPr>
              <w:t>.</w:t>
            </w:r>
          </w:p>
          <w:p w:rsidR="0013071F" w:rsidRDefault="0013071F" w:rsidP="006A0823">
            <w:pPr>
              <w:keepNext/>
              <w:contextualSpacing/>
              <w:rPr>
                <w:rFonts w:cs="Arial"/>
                <w:bCs w:val="0"/>
                <w:color w:val="000000"/>
              </w:rPr>
            </w:pPr>
          </w:p>
          <w:p w:rsidR="0013071F" w:rsidRPr="00687982" w:rsidRDefault="0013071F" w:rsidP="006A0823">
            <w:pPr>
              <w:rPr>
                <w:lang w:eastAsia="en-GB"/>
              </w:rPr>
            </w:pPr>
            <w:r>
              <w:rPr>
                <w:rFonts w:cs="Arial"/>
                <w:color w:val="000000"/>
              </w:rPr>
              <w:t>Internal mental health provider sample submitted to the Royal College of Psychiatrists CCQI EIP Network (for EIP services).</w:t>
            </w:r>
          </w:p>
        </w:tc>
      </w:tr>
      <w:tr w:rsidR="0013071F" w:rsidRPr="00040AE2" w:rsidTr="006A0823">
        <w:tc>
          <w:tcPr>
            <w:tcW w:w="1519" w:type="pct"/>
          </w:tcPr>
          <w:p w:rsidR="0013071F" w:rsidRPr="00040AE2" w:rsidRDefault="0013071F" w:rsidP="006A0823">
            <w:pPr>
              <w:rPr>
                <w:b/>
                <w:lang w:eastAsia="en-GB"/>
              </w:rPr>
            </w:pPr>
            <w:r w:rsidRPr="00040AE2">
              <w:rPr>
                <w:b/>
                <w:lang w:eastAsia="en-GB"/>
              </w:rPr>
              <w:t>Frequency of data collection</w:t>
            </w:r>
          </w:p>
        </w:tc>
        <w:tc>
          <w:tcPr>
            <w:tcW w:w="3481" w:type="pct"/>
          </w:tcPr>
          <w:p w:rsidR="0013071F" w:rsidRPr="00687982" w:rsidRDefault="0013071F" w:rsidP="006A0823">
            <w:pPr>
              <w:rPr>
                <w:lang w:eastAsia="en-GB"/>
              </w:rPr>
            </w:pPr>
            <w:r w:rsidRPr="00687982">
              <w:rPr>
                <w:lang w:eastAsia="en-GB"/>
              </w:rPr>
              <w:t xml:space="preserve">Annual </w:t>
            </w:r>
          </w:p>
        </w:tc>
      </w:tr>
      <w:tr w:rsidR="0013071F" w:rsidRPr="00040AE2" w:rsidTr="006A0823">
        <w:tc>
          <w:tcPr>
            <w:tcW w:w="1519" w:type="pct"/>
          </w:tcPr>
          <w:p w:rsidR="0013071F" w:rsidRPr="00040AE2" w:rsidRDefault="0013071F" w:rsidP="006A0823">
            <w:pPr>
              <w:rPr>
                <w:b/>
                <w:lang w:eastAsia="en-GB"/>
              </w:rPr>
            </w:pPr>
            <w:r w:rsidRPr="00040AE2">
              <w:rPr>
                <w:b/>
                <w:lang w:eastAsia="en-GB"/>
              </w:rPr>
              <w:t>Organisation responsible for data collection</w:t>
            </w:r>
          </w:p>
        </w:tc>
        <w:tc>
          <w:tcPr>
            <w:tcW w:w="3481" w:type="pct"/>
          </w:tcPr>
          <w:p w:rsidR="0013071F" w:rsidRPr="00687982" w:rsidRDefault="0013071F" w:rsidP="006A0823">
            <w:pPr>
              <w:rPr>
                <w:lang w:eastAsia="en-GB"/>
              </w:rPr>
            </w:pPr>
            <w:r w:rsidRPr="00687982">
              <w:rPr>
                <w:lang w:eastAsia="en-GB"/>
              </w:rPr>
              <w:t>Mental health provider</w:t>
            </w:r>
          </w:p>
        </w:tc>
      </w:tr>
      <w:tr w:rsidR="0013071F" w:rsidRPr="00040AE2" w:rsidTr="006A0823">
        <w:tc>
          <w:tcPr>
            <w:tcW w:w="1519" w:type="pct"/>
          </w:tcPr>
          <w:p w:rsidR="0013071F" w:rsidRPr="00040AE2" w:rsidRDefault="0013071F" w:rsidP="006A0823">
            <w:pPr>
              <w:rPr>
                <w:b/>
                <w:lang w:eastAsia="en-GB"/>
              </w:rPr>
            </w:pPr>
            <w:r w:rsidRPr="00040AE2">
              <w:rPr>
                <w:b/>
                <w:lang w:eastAsia="en-GB"/>
              </w:rPr>
              <w:t>Frequency of reporting to commissioner</w:t>
            </w:r>
          </w:p>
        </w:tc>
        <w:tc>
          <w:tcPr>
            <w:tcW w:w="3481" w:type="pct"/>
          </w:tcPr>
          <w:p w:rsidR="0013071F" w:rsidRDefault="0013071F" w:rsidP="006A0823">
            <w:pPr>
              <w:rPr>
                <w:lang w:eastAsia="en-GB"/>
              </w:rPr>
            </w:pPr>
            <w:r w:rsidRPr="00687982">
              <w:rPr>
                <w:lang w:eastAsia="en-GB"/>
              </w:rPr>
              <w:t>Results of national audit and EIP quality assessment expected to be available by Quarter 4 for reporting to commissioners (2017/18 and 2018/19).</w:t>
            </w:r>
          </w:p>
          <w:p w:rsidR="0013071F" w:rsidRPr="00687982" w:rsidRDefault="0013071F" w:rsidP="006A0823">
            <w:pPr>
              <w:rPr>
                <w:lang w:eastAsia="en-GB"/>
              </w:rPr>
            </w:pPr>
          </w:p>
          <w:p w:rsidR="0013071F" w:rsidRPr="00687982" w:rsidRDefault="0013071F" w:rsidP="006A0823">
            <w:pPr>
              <w:rPr>
                <w:lang w:eastAsia="en-GB"/>
              </w:rPr>
            </w:pPr>
            <w:r w:rsidRPr="00687982">
              <w:rPr>
                <w:lang w:eastAsia="en-GB"/>
              </w:rPr>
              <w:t>Additional direct reporting to commissioners locally in Quarters 2, 3 and 4.</w:t>
            </w:r>
          </w:p>
        </w:tc>
      </w:tr>
      <w:tr w:rsidR="0013071F" w:rsidRPr="00040AE2" w:rsidTr="006A0823">
        <w:tc>
          <w:tcPr>
            <w:tcW w:w="1519" w:type="pct"/>
          </w:tcPr>
          <w:p w:rsidR="0013071F" w:rsidRPr="00040AE2" w:rsidRDefault="0013071F" w:rsidP="006A0823">
            <w:pPr>
              <w:rPr>
                <w:b/>
                <w:lang w:eastAsia="en-GB"/>
              </w:rPr>
            </w:pPr>
            <w:r w:rsidRPr="00040AE2">
              <w:rPr>
                <w:b/>
                <w:lang w:eastAsia="en-GB"/>
              </w:rPr>
              <w:t>Baseline period/date</w:t>
            </w:r>
          </w:p>
        </w:tc>
        <w:tc>
          <w:tcPr>
            <w:tcW w:w="3481" w:type="pct"/>
          </w:tcPr>
          <w:p w:rsidR="0013071F" w:rsidRPr="00687982" w:rsidRDefault="0013071F" w:rsidP="006A0823">
            <w:pPr>
              <w:rPr>
                <w:lang w:eastAsia="en-GB"/>
              </w:rPr>
            </w:pPr>
            <w:r w:rsidRPr="00687982">
              <w:rPr>
                <w:lang w:eastAsia="en-GB"/>
              </w:rPr>
              <w:t>Not applicable</w:t>
            </w:r>
          </w:p>
        </w:tc>
      </w:tr>
      <w:tr w:rsidR="0013071F" w:rsidRPr="00040AE2" w:rsidTr="006A0823">
        <w:tc>
          <w:tcPr>
            <w:tcW w:w="1519" w:type="pct"/>
          </w:tcPr>
          <w:p w:rsidR="0013071F" w:rsidRPr="00040AE2" w:rsidRDefault="0013071F" w:rsidP="006A0823">
            <w:pPr>
              <w:rPr>
                <w:b/>
                <w:lang w:eastAsia="en-GB"/>
              </w:rPr>
            </w:pPr>
            <w:r w:rsidRPr="00040AE2">
              <w:rPr>
                <w:b/>
                <w:lang w:eastAsia="en-GB"/>
              </w:rPr>
              <w:t>Baseline value</w:t>
            </w:r>
          </w:p>
        </w:tc>
        <w:tc>
          <w:tcPr>
            <w:tcW w:w="3481" w:type="pct"/>
          </w:tcPr>
          <w:p w:rsidR="0013071F" w:rsidRPr="00687982" w:rsidRDefault="0013071F" w:rsidP="006A0823">
            <w:pPr>
              <w:rPr>
                <w:lang w:eastAsia="en-GB"/>
              </w:rPr>
            </w:pPr>
            <w:r w:rsidRPr="00687982">
              <w:rPr>
                <w:lang w:eastAsia="en-GB"/>
              </w:rPr>
              <w:t>Not applicable</w:t>
            </w:r>
          </w:p>
        </w:tc>
      </w:tr>
      <w:tr w:rsidR="0013071F" w:rsidRPr="00040AE2" w:rsidTr="006A0823">
        <w:tc>
          <w:tcPr>
            <w:tcW w:w="1519" w:type="pct"/>
          </w:tcPr>
          <w:p w:rsidR="0013071F" w:rsidRPr="00040AE2" w:rsidRDefault="0013071F" w:rsidP="006A0823">
            <w:pPr>
              <w:rPr>
                <w:b/>
                <w:lang w:eastAsia="en-GB"/>
              </w:rPr>
            </w:pPr>
            <w:r w:rsidRPr="00040AE2">
              <w:rPr>
                <w:b/>
                <w:lang w:eastAsia="en-GB"/>
              </w:rPr>
              <w:t>Final indicator period/date (on which payment is based)</w:t>
            </w:r>
          </w:p>
        </w:tc>
        <w:tc>
          <w:tcPr>
            <w:tcW w:w="3481" w:type="pct"/>
          </w:tcPr>
          <w:p w:rsidR="0013071F" w:rsidRPr="009B38F9" w:rsidRDefault="0013071F" w:rsidP="006A0823">
            <w:pPr>
              <w:keepNext/>
              <w:contextualSpacing/>
              <w:rPr>
                <w:rFonts w:cs="Arial"/>
                <w:bCs w:val="0"/>
              </w:rPr>
            </w:pPr>
            <w:r w:rsidRPr="009B38F9">
              <w:rPr>
                <w:rFonts w:cs="Arial"/>
              </w:rPr>
              <w:t>Data for national audit of inpatient and community based mental health services  expected to be collected and submitted to national audit provider during Quarter 3 of both 2017/18 and 2018/19. Results to be available in Quarter 4.</w:t>
            </w:r>
          </w:p>
          <w:p w:rsidR="0013071F" w:rsidRPr="009B38F9" w:rsidRDefault="0013071F" w:rsidP="006A0823">
            <w:pPr>
              <w:keepNext/>
              <w:contextualSpacing/>
              <w:rPr>
                <w:rFonts w:cs="Arial"/>
                <w:bCs w:val="0"/>
              </w:rPr>
            </w:pPr>
          </w:p>
          <w:p w:rsidR="0013071F" w:rsidRPr="00687982" w:rsidRDefault="0013071F" w:rsidP="006A0823">
            <w:pPr>
              <w:rPr>
                <w:lang w:eastAsia="en-GB"/>
              </w:rPr>
            </w:pPr>
            <w:r w:rsidRPr="009B38F9">
              <w:rPr>
                <w:rFonts w:cs="Arial"/>
              </w:rPr>
              <w:t>Data for EIP services expected to be collected and submitted to CCQI during Quarter 2 of both 2017/18 and 2018/19. Results to be available by Quarter 4.</w:t>
            </w:r>
          </w:p>
        </w:tc>
      </w:tr>
      <w:tr w:rsidR="0013071F" w:rsidRPr="00040AE2" w:rsidTr="006A0823">
        <w:tc>
          <w:tcPr>
            <w:tcW w:w="1519" w:type="pct"/>
          </w:tcPr>
          <w:p w:rsidR="0013071F" w:rsidRPr="00040AE2" w:rsidRDefault="0013071F" w:rsidP="006A0823">
            <w:pPr>
              <w:rPr>
                <w:b/>
                <w:lang w:eastAsia="en-GB"/>
              </w:rPr>
            </w:pPr>
            <w:r w:rsidRPr="00040AE2">
              <w:rPr>
                <w:b/>
                <w:lang w:eastAsia="en-GB"/>
              </w:rPr>
              <w:t>Final indicator value (payment threshold)</w:t>
            </w:r>
          </w:p>
        </w:tc>
        <w:tc>
          <w:tcPr>
            <w:tcW w:w="3481" w:type="pct"/>
            <w:shd w:val="clear" w:color="auto" w:fill="auto"/>
          </w:tcPr>
          <w:p w:rsidR="0013071F" w:rsidRPr="00880B82" w:rsidRDefault="0013071F" w:rsidP="006A0823">
            <w:pPr>
              <w:rPr>
                <w:b/>
                <w:u w:val="single"/>
                <w:lang w:eastAsia="en-GB"/>
              </w:rPr>
            </w:pPr>
            <w:r w:rsidRPr="00880B82">
              <w:rPr>
                <w:b/>
                <w:u w:val="single"/>
                <w:lang w:eastAsia="en-GB"/>
              </w:rPr>
              <w:t>Thresholds for payment:</w:t>
            </w:r>
          </w:p>
          <w:p w:rsidR="0013071F" w:rsidRPr="00687982" w:rsidRDefault="0013071F" w:rsidP="006A0823">
            <w:pPr>
              <w:rPr>
                <w:u w:val="single"/>
                <w:lang w:eastAsia="en-GB"/>
              </w:rPr>
            </w:pPr>
          </w:p>
          <w:p w:rsidR="0013071F" w:rsidRPr="00880B82" w:rsidRDefault="0013071F" w:rsidP="006A0823">
            <w:pPr>
              <w:rPr>
                <w:b/>
                <w:u w:val="single"/>
                <w:lang w:eastAsia="en-GB"/>
              </w:rPr>
            </w:pPr>
            <w:r w:rsidRPr="00880B82">
              <w:rPr>
                <w:b/>
                <w:u w:val="single"/>
                <w:lang w:eastAsia="en-GB"/>
              </w:rPr>
              <w:t xml:space="preserve">For 17/18 </w:t>
            </w:r>
          </w:p>
          <w:p w:rsidR="0013071F" w:rsidRPr="00687982" w:rsidRDefault="0013071F" w:rsidP="006A0823">
            <w:pPr>
              <w:numPr>
                <w:ilvl w:val="0"/>
                <w:numId w:val="27"/>
              </w:numPr>
              <w:rPr>
                <w:lang w:eastAsia="en-GB"/>
              </w:rPr>
            </w:pPr>
            <w:r w:rsidRPr="00687982">
              <w:rPr>
                <w:lang w:eastAsia="en-GB"/>
              </w:rPr>
              <w:t>Inpatients – 90%</w:t>
            </w:r>
          </w:p>
          <w:p w:rsidR="0013071F" w:rsidRPr="00687982" w:rsidRDefault="0013071F" w:rsidP="006A0823">
            <w:pPr>
              <w:numPr>
                <w:ilvl w:val="0"/>
                <w:numId w:val="27"/>
              </w:numPr>
              <w:rPr>
                <w:lang w:eastAsia="en-GB"/>
              </w:rPr>
            </w:pPr>
            <w:r w:rsidRPr="00687982">
              <w:rPr>
                <w:lang w:eastAsia="en-GB"/>
              </w:rPr>
              <w:t>Community mental health services (patients on CPA) - 65%</w:t>
            </w:r>
          </w:p>
          <w:p w:rsidR="0013071F" w:rsidRPr="0030411E" w:rsidRDefault="0013071F" w:rsidP="006A0823">
            <w:pPr>
              <w:numPr>
                <w:ilvl w:val="0"/>
                <w:numId w:val="27"/>
              </w:numPr>
              <w:rPr>
                <w:lang w:eastAsia="en-GB"/>
              </w:rPr>
            </w:pPr>
            <w:r w:rsidRPr="0030411E">
              <w:rPr>
                <w:lang w:eastAsia="en-GB"/>
              </w:rPr>
              <w:t>Early intervention in psychosis services – 90%</w:t>
            </w:r>
          </w:p>
          <w:p w:rsidR="004842CB" w:rsidRDefault="004842CB" w:rsidP="006A0823">
            <w:pPr>
              <w:rPr>
                <w:b/>
                <w:u w:val="single"/>
                <w:lang w:eastAsia="en-GB"/>
              </w:rPr>
            </w:pPr>
          </w:p>
          <w:p w:rsidR="0013071F" w:rsidRPr="00880B82" w:rsidRDefault="0013071F" w:rsidP="006A0823">
            <w:pPr>
              <w:rPr>
                <w:b/>
                <w:u w:val="single"/>
                <w:lang w:eastAsia="en-GB"/>
              </w:rPr>
            </w:pPr>
            <w:r w:rsidRPr="00880B82">
              <w:rPr>
                <w:b/>
                <w:u w:val="single"/>
                <w:lang w:eastAsia="en-GB"/>
              </w:rPr>
              <w:t>For 18/19</w:t>
            </w:r>
          </w:p>
          <w:p w:rsidR="0013071F" w:rsidRPr="00687982" w:rsidRDefault="0013071F" w:rsidP="006A0823">
            <w:pPr>
              <w:numPr>
                <w:ilvl w:val="0"/>
                <w:numId w:val="28"/>
              </w:numPr>
              <w:rPr>
                <w:lang w:eastAsia="en-GB"/>
              </w:rPr>
            </w:pPr>
            <w:r w:rsidRPr="00687982">
              <w:rPr>
                <w:lang w:eastAsia="en-GB"/>
              </w:rPr>
              <w:t>Inpatients – 90%</w:t>
            </w:r>
          </w:p>
          <w:p w:rsidR="0013071F" w:rsidRPr="00687982" w:rsidRDefault="0013071F" w:rsidP="006A0823">
            <w:pPr>
              <w:numPr>
                <w:ilvl w:val="0"/>
                <w:numId w:val="28"/>
              </w:numPr>
              <w:rPr>
                <w:lang w:eastAsia="en-GB"/>
              </w:rPr>
            </w:pPr>
            <w:r w:rsidRPr="00687982">
              <w:rPr>
                <w:lang w:eastAsia="en-GB"/>
              </w:rPr>
              <w:t>Community mental health services (patients on CPA) - 75%</w:t>
            </w:r>
          </w:p>
          <w:p w:rsidR="0013071F" w:rsidRPr="0030411E" w:rsidRDefault="0013071F" w:rsidP="006A0823">
            <w:pPr>
              <w:numPr>
                <w:ilvl w:val="0"/>
                <w:numId w:val="28"/>
              </w:numPr>
              <w:rPr>
                <w:lang w:eastAsia="en-GB"/>
              </w:rPr>
            </w:pPr>
            <w:r w:rsidRPr="0030411E">
              <w:rPr>
                <w:lang w:eastAsia="en-GB"/>
              </w:rPr>
              <w:lastRenderedPageBreak/>
              <w:t>Early intervention in psychosis services – 90%</w:t>
            </w:r>
          </w:p>
          <w:p w:rsidR="0013071F" w:rsidRPr="00687982" w:rsidRDefault="0013071F" w:rsidP="006A0823">
            <w:pPr>
              <w:ind w:left="720"/>
              <w:rPr>
                <w:lang w:eastAsia="en-GB"/>
              </w:rPr>
            </w:pPr>
            <w:r w:rsidRPr="00687982">
              <w:rPr>
                <w:lang w:eastAsia="en-GB"/>
              </w:rPr>
              <w:tab/>
              <w:t>BMI outcome indicator – 35%</w:t>
            </w:r>
          </w:p>
          <w:p w:rsidR="0013071F" w:rsidRPr="00CB5FDC" w:rsidRDefault="0013071F" w:rsidP="006A0823">
            <w:pPr>
              <w:ind w:left="720"/>
              <w:rPr>
                <w:lang w:eastAsia="en-GB"/>
              </w:rPr>
            </w:pPr>
            <w:r w:rsidRPr="00687982">
              <w:rPr>
                <w:lang w:eastAsia="en-GB"/>
              </w:rPr>
              <w:tab/>
              <w:t>Smoking outcome indicator – 10%</w:t>
            </w:r>
          </w:p>
        </w:tc>
      </w:tr>
      <w:tr w:rsidR="0013071F" w:rsidRPr="00040AE2" w:rsidTr="006A0823">
        <w:tc>
          <w:tcPr>
            <w:tcW w:w="1519" w:type="pct"/>
          </w:tcPr>
          <w:p w:rsidR="0013071F" w:rsidRPr="00040AE2" w:rsidRDefault="0013071F" w:rsidP="006A0823">
            <w:pPr>
              <w:rPr>
                <w:b/>
                <w:lang w:eastAsia="en-GB"/>
              </w:rPr>
            </w:pPr>
            <w:r w:rsidRPr="00040AE2">
              <w:rPr>
                <w:b/>
                <w:lang w:eastAsia="en-GB"/>
              </w:rPr>
              <w:lastRenderedPageBreak/>
              <w:t>Final indicator reporting date</w:t>
            </w:r>
          </w:p>
        </w:tc>
        <w:tc>
          <w:tcPr>
            <w:tcW w:w="3481" w:type="pct"/>
          </w:tcPr>
          <w:p w:rsidR="0013071F" w:rsidRPr="00687982" w:rsidRDefault="0013071F" w:rsidP="006A0823">
            <w:pPr>
              <w:rPr>
                <w:lang w:eastAsia="en-GB"/>
              </w:rPr>
            </w:pPr>
            <w:r w:rsidRPr="00687982">
              <w:rPr>
                <w:lang w:eastAsia="en-GB"/>
              </w:rPr>
              <w:t>30 March 2018 and 29 March 2019</w:t>
            </w:r>
          </w:p>
        </w:tc>
      </w:tr>
      <w:tr w:rsidR="0013071F" w:rsidRPr="00040AE2" w:rsidTr="006A0823">
        <w:tc>
          <w:tcPr>
            <w:tcW w:w="1519" w:type="pct"/>
          </w:tcPr>
          <w:p w:rsidR="0013071F" w:rsidRPr="00040AE2" w:rsidRDefault="0013071F" w:rsidP="006A0823">
            <w:pPr>
              <w:rPr>
                <w:b/>
                <w:lang w:eastAsia="en-GB"/>
              </w:rPr>
            </w:pPr>
            <w:r w:rsidRPr="00040AE2">
              <w:rPr>
                <w:b/>
                <w:lang w:eastAsia="en-GB"/>
              </w:rPr>
              <w:t>Are there rules for any agreed in-year milestones that result in payment?</w:t>
            </w:r>
          </w:p>
        </w:tc>
        <w:tc>
          <w:tcPr>
            <w:tcW w:w="3481" w:type="pct"/>
          </w:tcPr>
          <w:p w:rsidR="0013071F" w:rsidRPr="00687982" w:rsidRDefault="0013071F" w:rsidP="006A0823">
            <w:pPr>
              <w:rPr>
                <w:lang w:eastAsia="en-GB"/>
              </w:rPr>
            </w:pPr>
            <w:r w:rsidRPr="00687982">
              <w:rPr>
                <w:lang w:eastAsia="en-GB"/>
              </w:rPr>
              <w:t>Yes</w:t>
            </w:r>
            <w:r w:rsidR="004842CB">
              <w:rPr>
                <w:lang w:eastAsia="en-GB"/>
              </w:rPr>
              <w:t xml:space="preserve"> </w:t>
            </w:r>
            <w:r w:rsidRPr="00687982">
              <w:rPr>
                <w:lang w:eastAsia="en-GB"/>
              </w:rPr>
              <w:t>- see below</w:t>
            </w:r>
          </w:p>
        </w:tc>
      </w:tr>
      <w:tr w:rsidR="0013071F" w:rsidRPr="00040AE2" w:rsidTr="006A0823">
        <w:tc>
          <w:tcPr>
            <w:tcW w:w="1519" w:type="pct"/>
          </w:tcPr>
          <w:p w:rsidR="0013071F" w:rsidRPr="00040AE2" w:rsidRDefault="0013071F" w:rsidP="006A0823">
            <w:pPr>
              <w:rPr>
                <w:b/>
                <w:lang w:eastAsia="en-GB"/>
              </w:rPr>
            </w:pPr>
            <w:r w:rsidRPr="00040AE2">
              <w:rPr>
                <w:b/>
                <w:lang w:eastAsia="en-GB"/>
              </w:rPr>
              <w:t>Are there any rules for partial achievement of the indicator at the final indicator period/date?</w:t>
            </w:r>
          </w:p>
        </w:tc>
        <w:tc>
          <w:tcPr>
            <w:tcW w:w="3481" w:type="pct"/>
          </w:tcPr>
          <w:p w:rsidR="0013071F" w:rsidRPr="00687982" w:rsidRDefault="0013071F" w:rsidP="006A0823">
            <w:pPr>
              <w:rPr>
                <w:lang w:eastAsia="en-GB"/>
              </w:rPr>
            </w:pPr>
            <w:r w:rsidRPr="00687982">
              <w:rPr>
                <w:lang w:eastAsia="en-GB"/>
              </w:rPr>
              <w:t>Yes</w:t>
            </w:r>
            <w:r w:rsidR="004842CB">
              <w:rPr>
                <w:lang w:eastAsia="en-GB"/>
              </w:rPr>
              <w:t xml:space="preserve"> </w:t>
            </w:r>
            <w:r w:rsidRPr="00687982">
              <w:rPr>
                <w:lang w:eastAsia="en-GB"/>
              </w:rPr>
              <w:t>- see below (excludes BMI and smoking outcome indicators)</w:t>
            </w:r>
          </w:p>
        </w:tc>
      </w:tr>
    </w:tbl>
    <w:p w:rsidR="0013071F" w:rsidRDefault="0013071F" w:rsidP="0013071F">
      <w:pPr>
        <w:rPr>
          <w:lang w:eastAsia="en-GB"/>
        </w:rPr>
      </w:pPr>
    </w:p>
    <w:p w:rsidR="0013071F" w:rsidRDefault="0013071F" w:rsidP="0013071F">
      <w:pPr>
        <w:rPr>
          <w:rFonts w:eastAsiaTheme="majorEastAsia" w:cstheme="majorBidi"/>
          <w:b/>
          <w:bCs w:val="0"/>
          <w:iCs/>
          <w:color w:val="A00054" w:themeColor="accent2"/>
          <w:lang w:eastAsia="en-GB"/>
        </w:rPr>
      </w:pPr>
      <w:r>
        <w:rPr>
          <w:lang w:eastAsia="en-GB"/>
        </w:rPr>
        <w:br w:type="page"/>
      </w:r>
    </w:p>
    <w:p w:rsidR="0013071F" w:rsidRDefault="0013071F" w:rsidP="0013071F">
      <w:pPr>
        <w:pStyle w:val="Heading4"/>
        <w:rPr>
          <w:lang w:eastAsia="en-GB"/>
        </w:rPr>
      </w:pPr>
      <w:r w:rsidRPr="003919EF">
        <w:rPr>
          <w:lang w:eastAsia="en-GB"/>
        </w:rPr>
        <w:lastRenderedPageBreak/>
        <w:t>Milestones</w:t>
      </w:r>
      <w:r>
        <w:rPr>
          <w:lang w:eastAsia="en-GB"/>
        </w:rPr>
        <w:t xml:space="preserve"> for indicator 3a</w:t>
      </w:r>
    </w:p>
    <w:p w:rsidR="004842CB" w:rsidRDefault="004842CB" w:rsidP="0013071F">
      <w:pPr>
        <w:rPr>
          <w:b/>
          <w:lang w:eastAsia="en-GB"/>
        </w:rPr>
      </w:pPr>
    </w:p>
    <w:p w:rsidR="0013071F" w:rsidRDefault="0013071F" w:rsidP="0013071F">
      <w:pPr>
        <w:rPr>
          <w:b/>
          <w:lang w:eastAsia="en-GB"/>
        </w:rPr>
      </w:pPr>
      <w:r w:rsidRPr="00687982">
        <w:rPr>
          <w:b/>
          <w:lang w:eastAsia="en-GB"/>
        </w:rPr>
        <w:t>2017/18</w:t>
      </w:r>
    </w:p>
    <w:p w:rsidR="004842CB" w:rsidRPr="00687982" w:rsidRDefault="004842CB" w:rsidP="0013071F">
      <w:pPr>
        <w:rPr>
          <w:b/>
          <w:lang w:eastAsia="en-GB"/>
        </w:rPr>
      </w:pPr>
    </w:p>
    <w:tbl>
      <w:tblPr>
        <w:tblStyle w:val="TableGrid2"/>
        <w:tblW w:w="0" w:type="auto"/>
        <w:tblLook w:val="04A0" w:firstRow="1" w:lastRow="0" w:firstColumn="1" w:lastColumn="0" w:noHBand="0" w:noVBand="1"/>
        <w:tblDescription w:val="Date/period milestone relates to. Rules for achievement of milestones (including evidence to be supplied to commissioner). Date milestone to be reported Milestone weighting (% of CQUIN scheme available)"/>
      </w:tblPr>
      <w:tblGrid>
        <w:gridCol w:w="1667"/>
        <w:gridCol w:w="4253"/>
        <w:gridCol w:w="1337"/>
        <w:gridCol w:w="1510"/>
      </w:tblGrid>
      <w:tr w:rsidR="0013071F" w:rsidRPr="00687982" w:rsidTr="006A0823">
        <w:trPr>
          <w:tblHeader/>
        </w:trPr>
        <w:tc>
          <w:tcPr>
            <w:tcW w:w="1667" w:type="dxa"/>
            <w:shd w:val="clear" w:color="auto" w:fill="0070C0"/>
          </w:tcPr>
          <w:p w:rsidR="0013071F" w:rsidRPr="00687982" w:rsidRDefault="0013071F" w:rsidP="006A0823">
            <w:pPr>
              <w:spacing w:before="20" w:after="20"/>
              <w:jc w:val="center"/>
              <w:rPr>
                <w:b/>
                <w:color w:val="FFFFFF"/>
                <w:szCs w:val="24"/>
                <w:lang w:eastAsia="en-GB"/>
              </w:rPr>
            </w:pPr>
            <w:r w:rsidRPr="00687982">
              <w:rPr>
                <w:b/>
                <w:color w:val="FFFFFF"/>
                <w:szCs w:val="24"/>
                <w:lang w:eastAsia="en-GB"/>
              </w:rPr>
              <w:t>Date/period milestone relates to 2017/18</w:t>
            </w:r>
          </w:p>
        </w:tc>
        <w:tc>
          <w:tcPr>
            <w:tcW w:w="4253" w:type="dxa"/>
            <w:shd w:val="clear" w:color="auto" w:fill="0070C0"/>
          </w:tcPr>
          <w:p w:rsidR="0013071F" w:rsidRPr="00687982" w:rsidRDefault="0013071F" w:rsidP="006A0823">
            <w:pPr>
              <w:spacing w:before="20" w:after="20"/>
              <w:jc w:val="center"/>
              <w:rPr>
                <w:b/>
                <w:color w:val="FFFFFF"/>
                <w:szCs w:val="24"/>
                <w:lang w:eastAsia="en-GB"/>
              </w:rPr>
            </w:pPr>
            <w:r w:rsidRPr="00687982">
              <w:rPr>
                <w:b/>
                <w:color w:val="FFFFFF"/>
                <w:szCs w:val="24"/>
                <w:lang w:eastAsia="en-GB"/>
              </w:rPr>
              <w:t>Rules for achievement of milestones (including evidence to be supplied to commissioner)</w:t>
            </w:r>
          </w:p>
        </w:tc>
        <w:tc>
          <w:tcPr>
            <w:tcW w:w="1337" w:type="dxa"/>
            <w:shd w:val="clear" w:color="auto" w:fill="0070C0"/>
          </w:tcPr>
          <w:p w:rsidR="0013071F" w:rsidRPr="00687982" w:rsidRDefault="0013071F" w:rsidP="006A0823">
            <w:pPr>
              <w:spacing w:before="20" w:after="20"/>
              <w:jc w:val="center"/>
              <w:rPr>
                <w:b/>
                <w:color w:val="FFFFFF"/>
                <w:szCs w:val="24"/>
                <w:lang w:eastAsia="en-GB"/>
              </w:rPr>
            </w:pPr>
            <w:r w:rsidRPr="00687982">
              <w:rPr>
                <w:b/>
                <w:color w:val="FFFFFF"/>
                <w:szCs w:val="24"/>
                <w:lang w:eastAsia="en-GB"/>
              </w:rPr>
              <w:t>Date milestone to be reported</w:t>
            </w:r>
          </w:p>
        </w:tc>
        <w:tc>
          <w:tcPr>
            <w:tcW w:w="1510" w:type="dxa"/>
            <w:shd w:val="clear" w:color="auto" w:fill="0070C0"/>
          </w:tcPr>
          <w:p w:rsidR="0013071F" w:rsidRPr="00687982" w:rsidRDefault="0013071F" w:rsidP="006A0823">
            <w:pPr>
              <w:spacing w:before="20" w:after="20"/>
              <w:jc w:val="center"/>
              <w:rPr>
                <w:b/>
                <w:color w:val="FFFFFF"/>
                <w:szCs w:val="24"/>
                <w:lang w:eastAsia="en-GB"/>
              </w:rPr>
            </w:pPr>
            <w:r w:rsidRPr="00687982">
              <w:rPr>
                <w:b/>
                <w:color w:val="FFFFFF"/>
                <w:szCs w:val="24"/>
                <w:lang w:eastAsia="en-GB"/>
              </w:rPr>
              <w:t>Milestone weighting (% of CQUIN scheme available)</w:t>
            </w:r>
          </w:p>
        </w:tc>
      </w:tr>
      <w:tr w:rsidR="0013071F" w:rsidRPr="00687982" w:rsidTr="006A0823">
        <w:tc>
          <w:tcPr>
            <w:tcW w:w="1667" w:type="dxa"/>
          </w:tcPr>
          <w:p w:rsidR="0013071F" w:rsidRPr="00687982" w:rsidRDefault="0013071F" w:rsidP="006A0823">
            <w:pPr>
              <w:rPr>
                <w:rFonts w:eastAsia="Calibri"/>
                <w:b/>
                <w:szCs w:val="24"/>
                <w:lang w:eastAsia="en-GB"/>
              </w:rPr>
            </w:pPr>
            <w:r w:rsidRPr="00687982">
              <w:rPr>
                <w:b/>
                <w:szCs w:val="24"/>
                <w:lang w:eastAsia="en-GB"/>
              </w:rPr>
              <w:t>Quarter 1 17/18</w:t>
            </w:r>
          </w:p>
        </w:tc>
        <w:tc>
          <w:tcPr>
            <w:tcW w:w="4253" w:type="dxa"/>
          </w:tcPr>
          <w:p w:rsidR="0013071F" w:rsidRDefault="0013071F" w:rsidP="006A0823">
            <w:pPr>
              <w:pStyle w:val="ListParagraph"/>
              <w:numPr>
                <w:ilvl w:val="0"/>
                <w:numId w:val="32"/>
              </w:numPr>
              <w:rPr>
                <w:rFonts w:eastAsia="HGSMinchoE" w:cs="Arial"/>
                <w:szCs w:val="24"/>
              </w:rPr>
            </w:pPr>
            <w:r w:rsidRPr="00CB5FDC">
              <w:rPr>
                <w:rFonts w:eastAsia="HGSMinchoE" w:cs="Arial"/>
                <w:szCs w:val="24"/>
              </w:rPr>
              <w:t xml:space="preserve">Ensure sustainable and high quality training programme in place for all relevant clinical staff caring for people with SMI. Training should cover processes for assessing, documenting and acting on cardio metabolic risk factors. </w:t>
            </w:r>
            <w:r w:rsidRPr="00CB5FDC">
              <w:rPr>
                <w:rFonts w:cs="Arial"/>
                <w:bCs w:val="0"/>
              </w:rPr>
              <w:t>Clinical staff training plan should have been fully implemented and all relevant clinical staff trained by the end of Q1.</w:t>
            </w:r>
            <w:r w:rsidRPr="00CB5FDC">
              <w:rPr>
                <w:rFonts w:eastAsia="HGSMinchoE" w:cs="Arial"/>
                <w:szCs w:val="24"/>
              </w:rPr>
              <w:t xml:space="preserve"> (Assessed locally by commissioners)</w:t>
            </w:r>
          </w:p>
          <w:p w:rsidR="0013071F" w:rsidRPr="00CB5FDC" w:rsidRDefault="0013071F" w:rsidP="006A0823">
            <w:pPr>
              <w:pStyle w:val="ListParagraph"/>
              <w:numPr>
                <w:ilvl w:val="0"/>
                <w:numId w:val="32"/>
              </w:numPr>
              <w:rPr>
                <w:rFonts w:eastAsia="HGSMinchoE" w:cs="Arial"/>
                <w:szCs w:val="24"/>
              </w:rPr>
            </w:pPr>
            <w:r w:rsidRPr="00CB5FDC">
              <w:rPr>
                <w:rFonts w:cs="Arial"/>
                <w:color w:val="000000"/>
                <w:szCs w:val="24"/>
              </w:rPr>
              <w:t>Ensure clear pathways for interventions and signposting for all cardio-metabolic risk factors:</w:t>
            </w:r>
          </w:p>
          <w:p w:rsidR="0013071F" w:rsidRPr="00B47AC3" w:rsidRDefault="0013071F" w:rsidP="006A0823">
            <w:pPr>
              <w:numPr>
                <w:ilvl w:val="0"/>
                <w:numId w:val="31"/>
              </w:numPr>
              <w:autoSpaceDE w:val="0"/>
              <w:autoSpaceDN w:val="0"/>
              <w:adjustRightInd w:val="0"/>
              <w:rPr>
                <w:rFonts w:eastAsia="Calibri" w:cs="Arial"/>
                <w:color w:val="000000"/>
              </w:rPr>
            </w:pPr>
            <w:r w:rsidRPr="00B47AC3">
              <w:rPr>
                <w:rFonts w:eastAsia="Calibri" w:cs="Arial"/>
                <w:color w:val="000000"/>
              </w:rPr>
              <w:t>Smoking cessation</w:t>
            </w:r>
          </w:p>
          <w:p w:rsidR="0013071F" w:rsidRPr="00B47AC3" w:rsidRDefault="0013071F" w:rsidP="006A0823">
            <w:pPr>
              <w:numPr>
                <w:ilvl w:val="0"/>
                <w:numId w:val="31"/>
              </w:numPr>
              <w:autoSpaceDE w:val="0"/>
              <w:autoSpaceDN w:val="0"/>
              <w:adjustRightInd w:val="0"/>
              <w:rPr>
                <w:rFonts w:eastAsia="Calibri" w:cs="Arial"/>
                <w:color w:val="000000"/>
              </w:rPr>
            </w:pPr>
            <w:r w:rsidRPr="00B47AC3">
              <w:rPr>
                <w:rFonts w:eastAsia="Calibri" w:cs="Arial"/>
                <w:color w:val="000000"/>
              </w:rPr>
              <w:t>Lifestyle (including exercise, diet alcohol and drugs)</w:t>
            </w:r>
          </w:p>
          <w:p w:rsidR="0013071F" w:rsidRPr="00B47AC3" w:rsidRDefault="0013071F" w:rsidP="006A0823">
            <w:pPr>
              <w:numPr>
                <w:ilvl w:val="0"/>
                <w:numId w:val="31"/>
              </w:numPr>
              <w:autoSpaceDE w:val="0"/>
              <w:autoSpaceDN w:val="0"/>
              <w:adjustRightInd w:val="0"/>
              <w:rPr>
                <w:rFonts w:eastAsia="Calibri" w:cs="Arial"/>
                <w:color w:val="000000"/>
              </w:rPr>
            </w:pPr>
            <w:r w:rsidRPr="00B47AC3">
              <w:rPr>
                <w:rFonts w:eastAsia="Calibri" w:cs="Arial"/>
                <w:color w:val="000000"/>
              </w:rPr>
              <w:t>Obesity</w:t>
            </w:r>
          </w:p>
          <w:p w:rsidR="0013071F" w:rsidRPr="00B47AC3" w:rsidRDefault="0013071F" w:rsidP="006A0823">
            <w:pPr>
              <w:numPr>
                <w:ilvl w:val="0"/>
                <w:numId w:val="31"/>
              </w:numPr>
              <w:autoSpaceDE w:val="0"/>
              <w:autoSpaceDN w:val="0"/>
              <w:adjustRightInd w:val="0"/>
              <w:rPr>
                <w:rFonts w:eastAsia="Calibri" w:cs="Arial"/>
                <w:color w:val="000000"/>
              </w:rPr>
            </w:pPr>
            <w:r w:rsidRPr="00B47AC3">
              <w:rPr>
                <w:rFonts w:eastAsia="Calibri" w:cs="Arial"/>
                <w:color w:val="000000"/>
              </w:rPr>
              <w:t>Hypertension</w:t>
            </w:r>
          </w:p>
          <w:p w:rsidR="0013071F" w:rsidRPr="00B47AC3" w:rsidRDefault="0013071F" w:rsidP="006A0823">
            <w:pPr>
              <w:numPr>
                <w:ilvl w:val="0"/>
                <w:numId w:val="31"/>
              </w:numPr>
              <w:autoSpaceDE w:val="0"/>
              <w:autoSpaceDN w:val="0"/>
              <w:adjustRightInd w:val="0"/>
              <w:rPr>
                <w:rFonts w:eastAsia="Calibri" w:cs="Arial"/>
                <w:color w:val="000000"/>
              </w:rPr>
            </w:pPr>
            <w:r w:rsidRPr="00B47AC3">
              <w:rPr>
                <w:rFonts w:eastAsia="Calibri" w:cs="Arial"/>
                <w:color w:val="000000"/>
              </w:rPr>
              <w:t>Diabetes</w:t>
            </w:r>
          </w:p>
          <w:p w:rsidR="0013071F" w:rsidRPr="00B47AC3" w:rsidRDefault="0013071F" w:rsidP="006A0823">
            <w:pPr>
              <w:numPr>
                <w:ilvl w:val="0"/>
                <w:numId w:val="31"/>
              </w:numPr>
              <w:autoSpaceDE w:val="0"/>
              <w:autoSpaceDN w:val="0"/>
              <w:adjustRightInd w:val="0"/>
              <w:rPr>
                <w:rFonts w:eastAsia="Calibri" w:cs="Arial"/>
                <w:color w:val="000000"/>
              </w:rPr>
            </w:pPr>
            <w:r w:rsidRPr="00B47AC3">
              <w:rPr>
                <w:rFonts w:eastAsia="Calibri" w:cs="Arial"/>
                <w:color w:val="000000"/>
              </w:rPr>
              <w:t>High cholesterol</w:t>
            </w:r>
          </w:p>
          <w:p w:rsidR="0013071F" w:rsidRDefault="0013071F" w:rsidP="006A0823">
            <w:pPr>
              <w:ind w:left="720"/>
              <w:rPr>
                <w:rFonts w:cs="Arial"/>
                <w:bCs w:val="0"/>
                <w:color w:val="000000"/>
              </w:rPr>
            </w:pPr>
            <w:r w:rsidRPr="00B47AC3">
              <w:rPr>
                <w:rFonts w:cs="Arial"/>
              </w:rPr>
              <w:t>C</w:t>
            </w:r>
            <w:r>
              <w:rPr>
                <w:rFonts w:cs="Arial"/>
              </w:rPr>
              <w:t>lear</w:t>
            </w:r>
            <w:r w:rsidRPr="00B47AC3">
              <w:rPr>
                <w:rFonts w:cs="Arial"/>
              </w:rPr>
              <w:t xml:space="preserve"> pathways </w:t>
            </w:r>
            <w:r>
              <w:rPr>
                <w:rFonts w:cs="Arial"/>
              </w:rPr>
              <w:t xml:space="preserve">should be </w:t>
            </w:r>
            <w:r w:rsidRPr="00B47AC3">
              <w:rPr>
                <w:rFonts w:cs="Arial"/>
              </w:rPr>
              <w:t xml:space="preserve">in place and </w:t>
            </w:r>
            <w:r>
              <w:rPr>
                <w:rFonts w:cs="Arial"/>
              </w:rPr>
              <w:t xml:space="preserve">have been </w:t>
            </w:r>
            <w:r w:rsidRPr="00B47AC3">
              <w:rPr>
                <w:rFonts w:cs="Arial"/>
              </w:rPr>
              <w:t>disse</w:t>
            </w:r>
            <w:r>
              <w:rPr>
                <w:rFonts w:cs="Arial"/>
              </w:rPr>
              <w:t xml:space="preserve">minated to all clinical teams by the end of Q1. </w:t>
            </w:r>
            <w:r>
              <w:rPr>
                <w:rFonts w:cs="Arial"/>
                <w:color w:val="000000"/>
              </w:rPr>
              <w:t>(A</w:t>
            </w:r>
            <w:r w:rsidRPr="00B47AC3">
              <w:rPr>
                <w:rFonts w:cs="Arial"/>
                <w:color w:val="000000"/>
              </w:rPr>
              <w:t>ssessed locally by commissioners)</w:t>
            </w:r>
          </w:p>
          <w:p w:rsidR="0013071F" w:rsidRPr="00687982" w:rsidRDefault="0013071F" w:rsidP="004842CB">
            <w:pPr>
              <w:numPr>
                <w:ilvl w:val="0"/>
                <w:numId w:val="32"/>
              </w:numPr>
              <w:contextualSpacing/>
              <w:rPr>
                <w:lang w:eastAsia="en-GB"/>
              </w:rPr>
            </w:pPr>
            <w:r>
              <w:rPr>
                <w:rFonts w:cs="Arial"/>
              </w:rPr>
              <w:t>Ensure that the electronic care record system has been developed and is being used effectively for collection of physical health assessment and interventions data. (Assessed locally by commissioners).</w:t>
            </w:r>
          </w:p>
        </w:tc>
        <w:tc>
          <w:tcPr>
            <w:tcW w:w="1337" w:type="dxa"/>
          </w:tcPr>
          <w:p w:rsidR="0013071F" w:rsidRPr="00687982" w:rsidRDefault="0013071F" w:rsidP="006A0823">
            <w:pPr>
              <w:rPr>
                <w:szCs w:val="24"/>
                <w:lang w:eastAsia="en-GB"/>
              </w:rPr>
            </w:pPr>
            <w:r w:rsidRPr="00687982">
              <w:rPr>
                <w:szCs w:val="24"/>
                <w:lang w:eastAsia="en-GB"/>
              </w:rPr>
              <w:t>July 2017</w:t>
            </w:r>
          </w:p>
          <w:p w:rsidR="0013071F" w:rsidRPr="00687982" w:rsidRDefault="0013071F" w:rsidP="006A0823">
            <w:pPr>
              <w:rPr>
                <w:rFonts w:eastAsia="Calibri"/>
                <w:szCs w:val="24"/>
                <w:lang w:eastAsia="en-GB"/>
              </w:rPr>
            </w:pPr>
          </w:p>
        </w:tc>
        <w:tc>
          <w:tcPr>
            <w:tcW w:w="1510" w:type="dxa"/>
          </w:tcPr>
          <w:p w:rsidR="0013071F" w:rsidRPr="00687982" w:rsidRDefault="0013071F" w:rsidP="00D11CB8">
            <w:pPr>
              <w:rPr>
                <w:b/>
                <w:szCs w:val="24"/>
                <w:lang w:eastAsia="en-GB"/>
              </w:rPr>
            </w:pPr>
            <w:r w:rsidRPr="00687982">
              <w:rPr>
                <w:szCs w:val="24"/>
                <w:lang w:eastAsia="en-GB"/>
              </w:rPr>
              <w:t xml:space="preserve">30% of indicator weighting for part 3a (10% for each of </w:t>
            </w:r>
            <w:r w:rsidR="00D11CB8">
              <w:rPr>
                <w:szCs w:val="24"/>
                <w:lang w:eastAsia="en-GB"/>
              </w:rPr>
              <w:t>I,</w:t>
            </w:r>
            <w:r w:rsidRPr="00687982">
              <w:rPr>
                <w:szCs w:val="24"/>
                <w:lang w:eastAsia="en-GB"/>
              </w:rPr>
              <w:t xml:space="preserve"> ii and iii). </w:t>
            </w:r>
          </w:p>
        </w:tc>
      </w:tr>
      <w:tr w:rsidR="0013071F" w:rsidRPr="00687982" w:rsidTr="006A0823">
        <w:tc>
          <w:tcPr>
            <w:tcW w:w="1667" w:type="dxa"/>
          </w:tcPr>
          <w:p w:rsidR="0013071F" w:rsidRPr="00687982" w:rsidRDefault="0013071F" w:rsidP="006A0823">
            <w:pPr>
              <w:rPr>
                <w:b/>
                <w:szCs w:val="24"/>
                <w:lang w:eastAsia="en-GB"/>
              </w:rPr>
            </w:pPr>
            <w:r w:rsidRPr="00687982">
              <w:rPr>
                <w:b/>
                <w:szCs w:val="24"/>
                <w:lang w:eastAsia="en-GB"/>
              </w:rPr>
              <w:lastRenderedPageBreak/>
              <w:t>Quarter 4 17/18</w:t>
            </w:r>
          </w:p>
        </w:tc>
        <w:tc>
          <w:tcPr>
            <w:tcW w:w="4253" w:type="dxa"/>
          </w:tcPr>
          <w:p w:rsidR="0013071F" w:rsidRPr="00687982" w:rsidRDefault="0013071F" w:rsidP="006A0823">
            <w:pPr>
              <w:rPr>
                <w:szCs w:val="24"/>
                <w:lang w:eastAsia="en-GB"/>
              </w:rPr>
            </w:pPr>
            <w:r w:rsidRPr="00687982">
              <w:rPr>
                <w:szCs w:val="24"/>
                <w:lang w:eastAsia="en-GB"/>
              </w:rPr>
              <w:t>Results of national audit across inpatient and community mental health services and of EIP self-assessment scheme published. (See sliding scales below for payment details).</w:t>
            </w:r>
          </w:p>
          <w:p w:rsidR="0013071F" w:rsidRPr="00687982" w:rsidRDefault="0013071F" w:rsidP="006A0823">
            <w:pPr>
              <w:rPr>
                <w:szCs w:val="24"/>
                <w:lang w:eastAsia="en-GB"/>
              </w:rPr>
            </w:pPr>
          </w:p>
          <w:p w:rsidR="0013071F" w:rsidRPr="00687982" w:rsidRDefault="0013071F" w:rsidP="006A0823">
            <w:pPr>
              <w:rPr>
                <w:szCs w:val="24"/>
                <w:lang w:eastAsia="en-GB"/>
              </w:rPr>
            </w:pPr>
            <w:r w:rsidRPr="00687982">
              <w:rPr>
                <w:rFonts w:eastAsia="Calibri"/>
                <w:szCs w:val="24"/>
                <w:lang w:eastAsia="en-GB"/>
              </w:rPr>
              <w:t>Evidence of systematic feedback on performance to clinical teams (Assessed locally by commissioners)</w:t>
            </w:r>
            <w:r w:rsidR="00D11CB8">
              <w:rPr>
                <w:rFonts w:eastAsia="Calibri"/>
                <w:szCs w:val="24"/>
                <w:lang w:eastAsia="en-GB"/>
              </w:rPr>
              <w:t>.</w:t>
            </w:r>
          </w:p>
        </w:tc>
        <w:tc>
          <w:tcPr>
            <w:tcW w:w="1337" w:type="dxa"/>
          </w:tcPr>
          <w:p w:rsidR="0013071F" w:rsidRPr="00687982" w:rsidRDefault="0013071F" w:rsidP="006A0823">
            <w:pPr>
              <w:rPr>
                <w:szCs w:val="24"/>
                <w:lang w:eastAsia="en-GB"/>
              </w:rPr>
            </w:pPr>
            <w:r w:rsidRPr="00687982">
              <w:rPr>
                <w:szCs w:val="24"/>
                <w:lang w:eastAsia="en-GB"/>
              </w:rPr>
              <w:t>April 2018</w:t>
            </w:r>
          </w:p>
        </w:tc>
        <w:tc>
          <w:tcPr>
            <w:tcW w:w="1510" w:type="dxa"/>
          </w:tcPr>
          <w:p w:rsidR="0013071F" w:rsidRPr="00687982" w:rsidRDefault="0013071F" w:rsidP="006A0823">
            <w:pPr>
              <w:rPr>
                <w:szCs w:val="24"/>
                <w:lang w:eastAsia="en-GB"/>
              </w:rPr>
            </w:pPr>
            <w:r w:rsidRPr="00687982">
              <w:rPr>
                <w:szCs w:val="24"/>
                <w:lang w:eastAsia="en-GB"/>
              </w:rPr>
              <w:t>70% of indicator weighting for part 3a, made up of:</w:t>
            </w:r>
          </w:p>
          <w:p w:rsidR="0013071F" w:rsidRPr="00687982" w:rsidRDefault="0013071F" w:rsidP="006A0823">
            <w:pPr>
              <w:rPr>
                <w:b/>
                <w:szCs w:val="24"/>
                <w:lang w:eastAsia="en-GB"/>
              </w:rPr>
            </w:pPr>
          </w:p>
          <w:p w:rsidR="0013071F" w:rsidRPr="00687982" w:rsidRDefault="0013071F" w:rsidP="006A0823">
            <w:pPr>
              <w:rPr>
                <w:szCs w:val="24"/>
                <w:lang w:eastAsia="en-GB"/>
              </w:rPr>
            </w:pPr>
            <w:r w:rsidRPr="00687982">
              <w:rPr>
                <w:szCs w:val="24"/>
                <w:lang w:eastAsia="en-GB"/>
              </w:rPr>
              <w:t>20% (Inpatient services)</w:t>
            </w:r>
          </w:p>
          <w:p w:rsidR="0013071F" w:rsidRPr="00687982" w:rsidRDefault="0013071F" w:rsidP="006A0823">
            <w:pPr>
              <w:rPr>
                <w:szCs w:val="24"/>
                <w:lang w:eastAsia="en-GB"/>
              </w:rPr>
            </w:pPr>
          </w:p>
          <w:p w:rsidR="0013071F" w:rsidRPr="00687982" w:rsidRDefault="0013071F" w:rsidP="006A0823">
            <w:pPr>
              <w:rPr>
                <w:szCs w:val="24"/>
                <w:lang w:eastAsia="en-GB"/>
              </w:rPr>
            </w:pPr>
            <w:r w:rsidRPr="00687982">
              <w:rPr>
                <w:szCs w:val="24"/>
                <w:lang w:eastAsia="en-GB"/>
              </w:rPr>
              <w:t>20% (EIP services)</w:t>
            </w:r>
          </w:p>
          <w:p w:rsidR="0013071F" w:rsidRPr="00687982" w:rsidRDefault="0013071F" w:rsidP="006A0823">
            <w:pPr>
              <w:rPr>
                <w:szCs w:val="24"/>
                <w:lang w:eastAsia="en-GB"/>
              </w:rPr>
            </w:pPr>
          </w:p>
          <w:p w:rsidR="0013071F" w:rsidRPr="00687982" w:rsidRDefault="0013071F" w:rsidP="006A0823">
            <w:pPr>
              <w:rPr>
                <w:szCs w:val="24"/>
                <w:lang w:eastAsia="en-GB"/>
              </w:rPr>
            </w:pPr>
            <w:r w:rsidRPr="00687982">
              <w:rPr>
                <w:szCs w:val="24"/>
                <w:lang w:eastAsia="en-GB"/>
              </w:rPr>
              <w:t>30% (Community teams)</w:t>
            </w:r>
          </w:p>
        </w:tc>
      </w:tr>
    </w:tbl>
    <w:p w:rsidR="0013071F" w:rsidRDefault="0013071F" w:rsidP="0013071F">
      <w:pPr>
        <w:rPr>
          <w:lang w:eastAsia="en-GB"/>
        </w:rPr>
      </w:pPr>
    </w:p>
    <w:p w:rsidR="0013071F" w:rsidRDefault="0013071F" w:rsidP="0013071F">
      <w:pPr>
        <w:rPr>
          <w:b/>
          <w:lang w:eastAsia="en-GB"/>
        </w:rPr>
      </w:pPr>
      <w:r>
        <w:rPr>
          <w:b/>
          <w:lang w:eastAsia="en-GB"/>
        </w:rPr>
        <w:t>2018</w:t>
      </w:r>
      <w:r w:rsidRPr="00687982">
        <w:rPr>
          <w:b/>
          <w:lang w:eastAsia="en-GB"/>
        </w:rPr>
        <w:t>/1</w:t>
      </w:r>
      <w:r>
        <w:rPr>
          <w:b/>
          <w:lang w:eastAsia="en-GB"/>
        </w:rPr>
        <w:t>9</w:t>
      </w:r>
    </w:p>
    <w:p w:rsidR="004842CB" w:rsidRPr="00687982" w:rsidRDefault="004842CB" w:rsidP="0013071F">
      <w:pPr>
        <w:rPr>
          <w:b/>
          <w:lang w:eastAsia="en-GB"/>
        </w:rPr>
      </w:pPr>
    </w:p>
    <w:tbl>
      <w:tblPr>
        <w:tblStyle w:val="TableGrid3"/>
        <w:tblW w:w="0" w:type="auto"/>
        <w:tblLook w:val="04A0" w:firstRow="1" w:lastRow="0" w:firstColumn="1" w:lastColumn="0" w:noHBand="0" w:noVBand="1"/>
        <w:tblDescription w:val="Date/period milestone relates to. Rules for achievement of milestones (including evidence to be supplied to commissioner). Date milestone to be reported Milestone weighting (% of CQUIN scheme available)"/>
      </w:tblPr>
      <w:tblGrid>
        <w:gridCol w:w="1667"/>
        <w:gridCol w:w="4253"/>
        <w:gridCol w:w="1337"/>
        <w:gridCol w:w="1510"/>
      </w:tblGrid>
      <w:tr w:rsidR="0013071F" w:rsidRPr="00687982" w:rsidTr="006A0823">
        <w:trPr>
          <w:tblHeader/>
        </w:trPr>
        <w:tc>
          <w:tcPr>
            <w:tcW w:w="1667" w:type="dxa"/>
            <w:shd w:val="clear" w:color="auto" w:fill="0070C0"/>
          </w:tcPr>
          <w:p w:rsidR="0013071F" w:rsidRPr="00687982" w:rsidRDefault="0013071F" w:rsidP="006A0823">
            <w:pPr>
              <w:spacing w:before="20" w:after="20"/>
              <w:jc w:val="center"/>
              <w:rPr>
                <w:b/>
                <w:color w:val="FFFFFF"/>
                <w:szCs w:val="24"/>
                <w:lang w:eastAsia="en-GB"/>
              </w:rPr>
            </w:pPr>
            <w:r w:rsidRPr="00687982">
              <w:rPr>
                <w:b/>
                <w:color w:val="FFFFFF"/>
                <w:szCs w:val="24"/>
                <w:lang w:eastAsia="en-GB"/>
              </w:rPr>
              <w:t>Date/period milestone relates to 2018/19</w:t>
            </w:r>
          </w:p>
        </w:tc>
        <w:tc>
          <w:tcPr>
            <w:tcW w:w="4253" w:type="dxa"/>
            <w:shd w:val="clear" w:color="auto" w:fill="0070C0"/>
          </w:tcPr>
          <w:p w:rsidR="0013071F" w:rsidRPr="00687982" w:rsidRDefault="0013071F" w:rsidP="006A0823">
            <w:pPr>
              <w:spacing w:before="20" w:after="20"/>
              <w:jc w:val="center"/>
              <w:rPr>
                <w:b/>
                <w:color w:val="FFFFFF"/>
                <w:szCs w:val="24"/>
                <w:lang w:eastAsia="en-GB"/>
              </w:rPr>
            </w:pPr>
            <w:r w:rsidRPr="00687982">
              <w:rPr>
                <w:b/>
                <w:color w:val="FFFFFF"/>
                <w:szCs w:val="24"/>
                <w:lang w:eastAsia="en-GB"/>
              </w:rPr>
              <w:t>Rules for achievement of milestones (including evidence to be supplied to commissioner)</w:t>
            </w:r>
          </w:p>
        </w:tc>
        <w:tc>
          <w:tcPr>
            <w:tcW w:w="1337" w:type="dxa"/>
            <w:shd w:val="clear" w:color="auto" w:fill="0070C0"/>
          </w:tcPr>
          <w:p w:rsidR="0013071F" w:rsidRPr="00687982" w:rsidRDefault="0013071F" w:rsidP="006A0823">
            <w:pPr>
              <w:spacing w:before="20" w:after="20"/>
              <w:jc w:val="center"/>
              <w:rPr>
                <w:b/>
                <w:color w:val="FFFFFF"/>
                <w:szCs w:val="24"/>
                <w:lang w:eastAsia="en-GB"/>
              </w:rPr>
            </w:pPr>
            <w:r w:rsidRPr="00687982">
              <w:rPr>
                <w:b/>
                <w:color w:val="FFFFFF"/>
                <w:szCs w:val="24"/>
                <w:lang w:eastAsia="en-GB"/>
              </w:rPr>
              <w:t>Date milestone to be reported</w:t>
            </w:r>
          </w:p>
        </w:tc>
        <w:tc>
          <w:tcPr>
            <w:tcW w:w="1510" w:type="dxa"/>
            <w:shd w:val="clear" w:color="auto" w:fill="0070C0"/>
          </w:tcPr>
          <w:p w:rsidR="0013071F" w:rsidRPr="00687982" w:rsidRDefault="0013071F" w:rsidP="006A0823">
            <w:pPr>
              <w:spacing w:before="20" w:after="20"/>
              <w:jc w:val="center"/>
              <w:rPr>
                <w:b/>
                <w:color w:val="FFFFFF"/>
                <w:szCs w:val="24"/>
                <w:lang w:eastAsia="en-GB"/>
              </w:rPr>
            </w:pPr>
            <w:r w:rsidRPr="00687982">
              <w:rPr>
                <w:b/>
                <w:color w:val="FFFFFF"/>
                <w:szCs w:val="24"/>
                <w:lang w:eastAsia="en-GB"/>
              </w:rPr>
              <w:t>Milestone weighting (% of CQUIN scheme available)</w:t>
            </w:r>
          </w:p>
        </w:tc>
      </w:tr>
      <w:tr w:rsidR="0013071F" w:rsidRPr="00687982" w:rsidTr="006A0823">
        <w:tc>
          <w:tcPr>
            <w:tcW w:w="1667" w:type="dxa"/>
          </w:tcPr>
          <w:p w:rsidR="0013071F" w:rsidRPr="00687982" w:rsidRDefault="0013071F" w:rsidP="006A0823">
            <w:pPr>
              <w:rPr>
                <w:rFonts w:eastAsia="Calibri"/>
                <w:b/>
                <w:szCs w:val="24"/>
                <w:lang w:eastAsia="en-GB"/>
              </w:rPr>
            </w:pPr>
            <w:r w:rsidRPr="00687982">
              <w:rPr>
                <w:b/>
                <w:szCs w:val="24"/>
                <w:lang w:eastAsia="en-GB"/>
              </w:rPr>
              <w:t>Quarter 1 18/19</w:t>
            </w:r>
          </w:p>
        </w:tc>
        <w:tc>
          <w:tcPr>
            <w:tcW w:w="4253" w:type="dxa"/>
          </w:tcPr>
          <w:p w:rsidR="0013071F" w:rsidRPr="00687982" w:rsidRDefault="0013071F" w:rsidP="006A0823">
            <w:pPr>
              <w:numPr>
                <w:ilvl w:val="0"/>
                <w:numId w:val="33"/>
              </w:numPr>
              <w:contextualSpacing/>
              <w:rPr>
                <w:rFonts w:eastAsia="HGSMinchoE"/>
                <w:szCs w:val="24"/>
                <w:lang w:eastAsia="en-GB"/>
              </w:rPr>
            </w:pPr>
            <w:r w:rsidRPr="00687982">
              <w:rPr>
                <w:rFonts w:eastAsia="HGSMinchoE"/>
                <w:szCs w:val="24"/>
                <w:lang w:eastAsia="en-GB"/>
              </w:rPr>
              <w:t>Ensure physical health training programme is built into mandatory training procedures and:</w:t>
            </w:r>
          </w:p>
          <w:p w:rsidR="0013071F" w:rsidRPr="00687982" w:rsidRDefault="0013071F" w:rsidP="006A0823">
            <w:pPr>
              <w:numPr>
                <w:ilvl w:val="0"/>
                <w:numId w:val="34"/>
              </w:numPr>
              <w:contextualSpacing/>
              <w:rPr>
                <w:rFonts w:eastAsia="HGSMinchoE"/>
                <w:szCs w:val="24"/>
                <w:lang w:eastAsia="en-GB"/>
              </w:rPr>
            </w:pPr>
            <w:r w:rsidRPr="00687982">
              <w:rPr>
                <w:rFonts w:eastAsia="HGSMinchoE"/>
                <w:szCs w:val="24"/>
                <w:lang w:eastAsia="en-GB"/>
              </w:rPr>
              <w:t>All staff who should have been trained have received initial training</w:t>
            </w:r>
          </w:p>
          <w:p w:rsidR="0013071F" w:rsidRPr="00687982" w:rsidRDefault="0013071F" w:rsidP="006A0823">
            <w:pPr>
              <w:numPr>
                <w:ilvl w:val="0"/>
                <w:numId w:val="34"/>
              </w:numPr>
              <w:contextualSpacing/>
              <w:rPr>
                <w:rFonts w:eastAsia="HGSMinchoE"/>
                <w:szCs w:val="24"/>
                <w:lang w:eastAsia="en-GB"/>
              </w:rPr>
            </w:pPr>
            <w:r w:rsidRPr="00687982">
              <w:rPr>
                <w:rFonts w:eastAsia="HGSMinchoE"/>
                <w:szCs w:val="24"/>
                <w:lang w:eastAsia="en-GB"/>
              </w:rPr>
              <w:t>New starters in relevant roles are trained</w:t>
            </w:r>
          </w:p>
          <w:p w:rsidR="0013071F" w:rsidRPr="00687982" w:rsidRDefault="0013071F" w:rsidP="006A0823">
            <w:pPr>
              <w:numPr>
                <w:ilvl w:val="0"/>
                <w:numId w:val="34"/>
              </w:numPr>
              <w:contextualSpacing/>
              <w:rPr>
                <w:rFonts w:eastAsia="HGSMinchoE"/>
                <w:szCs w:val="24"/>
                <w:lang w:eastAsia="en-GB"/>
              </w:rPr>
            </w:pPr>
            <w:r w:rsidRPr="00687982">
              <w:rPr>
                <w:rFonts w:eastAsia="HGSMinchoE"/>
                <w:szCs w:val="24"/>
                <w:lang w:eastAsia="en-GB"/>
              </w:rPr>
              <w:t xml:space="preserve">Relevant staff receive refresher training </w:t>
            </w:r>
          </w:p>
          <w:p w:rsidR="0013071F" w:rsidRPr="00687982" w:rsidRDefault="0013071F" w:rsidP="006A0823">
            <w:pPr>
              <w:numPr>
                <w:ilvl w:val="0"/>
                <w:numId w:val="33"/>
              </w:numPr>
              <w:contextualSpacing/>
              <w:rPr>
                <w:rFonts w:eastAsia="HGSMinchoE"/>
                <w:szCs w:val="24"/>
                <w:lang w:eastAsia="en-GB"/>
              </w:rPr>
            </w:pPr>
            <w:r w:rsidRPr="00687982">
              <w:rPr>
                <w:rFonts w:eastAsia="HGSMinchoE"/>
                <w:szCs w:val="24"/>
                <w:lang w:eastAsia="en-GB"/>
              </w:rPr>
              <w:t>Continue to ensure clear pathways for interventions and signposting for all cardio-metabolic risk factors:</w:t>
            </w:r>
            <w:r w:rsidRPr="00687982">
              <w:rPr>
                <w:rFonts w:eastAsia="Calibri"/>
                <w:szCs w:val="24"/>
                <w:lang w:eastAsia="en-GB"/>
              </w:rPr>
              <w:t xml:space="preserve"> </w:t>
            </w:r>
          </w:p>
          <w:p w:rsidR="0013071F" w:rsidRPr="00687982" w:rsidRDefault="0013071F" w:rsidP="006A0823">
            <w:pPr>
              <w:numPr>
                <w:ilvl w:val="0"/>
                <w:numId w:val="31"/>
              </w:numPr>
              <w:rPr>
                <w:rFonts w:eastAsia="Calibri"/>
                <w:bCs w:val="0"/>
                <w:szCs w:val="24"/>
                <w:lang w:eastAsia="en-GB"/>
              </w:rPr>
            </w:pPr>
            <w:r w:rsidRPr="00687982">
              <w:rPr>
                <w:rFonts w:eastAsia="Calibri"/>
                <w:bCs w:val="0"/>
                <w:szCs w:val="24"/>
                <w:lang w:eastAsia="en-GB"/>
              </w:rPr>
              <w:t>Smoking cessation</w:t>
            </w:r>
          </w:p>
          <w:p w:rsidR="0013071F" w:rsidRPr="00687982" w:rsidRDefault="0013071F" w:rsidP="006A0823">
            <w:pPr>
              <w:numPr>
                <w:ilvl w:val="0"/>
                <w:numId w:val="31"/>
              </w:numPr>
              <w:rPr>
                <w:rFonts w:eastAsia="Calibri"/>
                <w:bCs w:val="0"/>
                <w:szCs w:val="24"/>
                <w:lang w:eastAsia="en-GB"/>
              </w:rPr>
            </w:pPr>
            <w:r w:rsidRPr="00687982">
              <w:rPr>
                <w:rFonts w:eastAsia="Calibri"/>
                <w:bCs w:val="0"/>
                <w:szCs w:val="24"/>
                <w:lang w:eastAsia="en-GB"/>
              </w:rPr>
              <w:t xml:space="preserve">Lifestyle (including exercise, diet alcohol </w:t>
            </w:r>
            <w:r w:rsidRPr="00687982">
              <w:rPr>
                <w:rFonts w:eastAsia="Calibri"/>
                <w:bCs w:val="0"/>
                <w:szCs w:val="24"/>
                <w:lang w:eastAsia="en-GB"/>
              </w:rPr>
              <w:lastRenderedPageBreak/>
              <w:t>and drugs)</w:t>
            </w:r>
          </w:p>
          <w:p w:rsidR="0013071F" w:rsidRPr="00687982" w:rsidRDefault="0013071F" w:rsidP="006A0823">
            <w:pPr>
              <w:numPr>
                <w:ilvl w:val="0"/>
                <w:numId w:val="31"/>
              </w:numPr>
              <w:rPr>
                <w:rFonts w:eastAsia="Calibri"/>
                <w:bCs w:val="0"/>
                <w:szCs w:val="24"/>
                <w:lang w:eastAsia="en-GB"/>
              </w:rPr>
            </w:pPr>
            <w:r w:rsidRPr="00687982">
              <w:rPr>
                <w:rFonts w:eastAsia="Calibri"/>
                <w:bCs w:val="0"/>
                <w:szCs w:val="24"/>
                <w:lang w:eastAsia="en-GB"/>
              </w:rPr>
              <w:t>Obesity</w:t>
            </w:r>
          </w:p>
          <w:p w:rsidR="0013071F" w:rsidRPr="00687982" w:rsidRDefault="0013071F" w:rsidP="006A0823">
            <w:pPr>
              <w:numPr>
                <w:ilvl w:val="0"/>
                <w:numId w:val="31"/>
              </w:numPr>
              <w:rPr>
                <w:rFonts w:eastAsia="Calibri"/>
                <w:bCs w:val="0"/>
                <w:szCs w:val="24"/>
                <w:lang w:eastAsia="en-GB"/>
              </w:rPr>
            </w:pPr>
            <w:r w:rsidRPr="00687982">
              <w:rPr>
                <w:rFonts w:eastAsia="Calibri"/>
                <w:bCs w:val="0"/>
                <w:szCs w:val="24"/>
                <w:lang w:eastAsia="en-GB"/>
              </w:rPr>
              <w:t>Hypertension</w:t>
            </w:r>
          </w:p>
          <w:p w:rsidR="0013071F" w:rsidRPr="00687982" w:rsidRDefault="0013071F" w:rsidP="006A0823">
            <w:pPr>
              <w:numPr>
                <w:ilvl w:val="0"/>
                <w:numId w:val="31"/>
              </w:numPr>
              <w:rPr>
                <w:rFonts w:eastAsia="Calibri"/>
                <w:bCs w:val="0"/>
                <w:szCs w:val="24"/>
                <w:lang w:eastAsia="en-GB"/>
              </w:rPr>
            </w:pPr>
            <w:r w:rsidRPr="00687982">
              <w:rPr>
                <w:rFonts w:eastAsia="Calibri"/>
                <w:bCs w:val="0"/>
                <w:szCs w:val="24"/>
                <w:lang w:eastAsia="en-GB"/>
              </w:rPr>
              <w:t>Diabetes</w:t>
            </w:r>
          </w:p>
          <w:p w:rsidR="0013071F" w:rsidRPr="00687982" w:rsidRDefault="0013071F" w:rsidP="006A0823">
            <w:pPr>
              <w:numPr>
                <w:ilvl w:val="0"/>
                <w:numId w:val="31"/>
              </w:numPr>
              <w:rPr>
                <w:rFonts w:eastAsia="Calibri"/>
                <w:bCs w:val="0"/>
                <w:szCs w:val="24"/>
                <w:lang w:eastAsia="en-GB"/>
              </w:rPr>
            </w:pPr>
            <w:r w:rsidRPr="00687982">
              <w:rPr>
                <w:rFonts w:eastAsia="Calibri"/>
                <w:bCs w:val="0"/>
                <w:szCs w:val="24"/>
                <w:lang w:eastAsia="en-GB"/>
              </w:rPr>
              <w:t>High cholesterol</w:t>
            </w:r>
          </w:p>
          <w:p w:rsidR="0013071F" w:rsidRPr="00687982" w:rsidRDefault="0013071F" w:rsidP="006A0823">
            <w:pPr>
              <w:ind w:left="720"/>
              <w:rPr>
                <w:szCs w:val="24"/>
                <w:lang w:eastAsia="en-GB"/>
              </w:rPr>
            </w:pPr>
            <w:r w:rsidRPr="00687982">
              <w:rPr>
                <w:szCs w:val="24"/>
                <w:lang w:eastAsia="en-GB"/>
              </w:rPr>
              <w:t>(Assessed locally by commissioners)</w:t>
            </w:r>
          </w:p>
          <w:p w:rsidR="0013071F" w:rsidRPr="00F12609" w:rsidRDefault="0013071F" w:rsidP="006A0823">
            <w:pPr>
              <w:numPr>
                <w:ilvl w:val="0"/>
                <w:numId w:val="33"/>
              </w:numPr>
              <w:contextualSpacing/>
              <w:rPr>
                <w:rFonts w:eastAsia="HGSMinchoE"/>
                <w:szCs w:val="24"/>
                <w:lang w:eastAsia="en-GB"/>
              </w:rPr>
            </w:pPr>
            <w:r w:rsidRPr="00687982">
              <w:rPr>
                <w:rFonts w:eastAsia="HGSMinchoE"/>
                <w:szCs w:val="24"/>
                <w:lang w:eastAsia="en-GB"/>
              </w:rPr>
              <w:t>Complete internal audit to provide assurance that physical health assessment and interventions data are being recorded appropriately on the electronic care record. (Assessed locally by commissioners).</w:t>
            </w:r>
          </w:p>
        </w:tc>
        <w:tc>
          <w:tcPr>
            <w:tcW w:w="1337" w:type="dxa"/>
          </w:tcPr>
          <w:p w:rsidR="0013071F" w:rsidRPr="00687982" w:rsidRDefault="0013071F" w:rsidP="006A0823">
            <w:pPr>
              <w:rPr>
                <w:szCs w:val="24"/>
                <w:lang w:eastAsia="en-GB"/>
              </w:rPr>
            </w:pPr>
            <w:r w:rsidRPr="00687982">
              <w:rPr>
                <w:szCs w:val="24"/>
                <w:lang w:eastAsia="en-GB"/>
              </w:rPr>
              <w:lastRenderedPageBreak/>
              <w:t>July 2018</w:t>
            </w:r>
          </w:p>
          <w:p w:rsidR="0013071F" w:rsidRPr="00687982" w:rsidRDefault="0013071F" w:rsidP="006A0823">
            <w:pPr>
              <w:rPr>
                <w:rFonts w:eastAsia="Calibri"/>
                <w:szCs w:val="24"/>
                <w:lang w:eastAsia="en-GB"/>
              </w:rPr>
            </w:pPr>
          </w:p>
        </w:tc>
        <w:tc>
          <w:tcPr>
            <w:tcW w:w="1510" w:type="dxa"/>
          </w:tcPr>
          <w:p w:rsidR="0013071F" w:rsidRPr="00687982" w:rsidRDefault="0013071F" w:rsidP="006A0823">
            <w:pPr>
              <w:rPr>
                <w:szCs w:val="24"/>
                <w:lang w:eastAsia="en-GB"/>
              </w:rPr>
            </w:pPr>
            <w:r w:rsidRPr="00687982">
              <w:rPr>
                <w:szCs w:val="24"/>
                <w:lang w:eastAsia="en-GB"/>
              </w:rPr>
              <w:t>10% of indicator weighting for part 3a</w:t>
            </w:r>
          </w:p>
        </w:tc>
      </w:tr>
      <w:tr w:rsidR="0013071F" w:rsidRPr="00687982" w:rsidTr="006A0823">
        <w:tc>
          <w:tcPr>
            <w:tcW w:w="1667" w:type="dxa"/>
          </w:tcPr>
          <w:p w:rsidR="0013071F" w:rsidRPr="00687982" w:rsidRDefault="0013071F" w:rsidP="006A0823">
            <w:pPr>
              <w:rPr>
                <w:b/>
                <w:szCs w:val="24"/>
                <w:lang w:eastAsia="en-GB"/>
              </w:rPr>
            </w:pPr>
            <w:r w:rsidRPr="00687982">
              <w:rPr>
                <w:b/>
                <w:szCs w:val="24"/>
                <w:lang w:eastAsia="en-GB"/>
              </w:rPr>
              <w:lastRenderedPageBreak/>
              <w:t>Quarter 4 18/19</w:t>
            </w:r>
          </w:p>
        </w:tc>
        <w:tc>
          <w:tcPr>
            <w:tcW w:w="4253" w:type="dxa"/>
          </w:tcPr>
          <w:p w:rsidR="0013071F" w:rsidRPr="00687982" w:rsidRDefault="0013071F" w:rsidP="006A0823">
            <w:pPr>
              <w:rPr>
                <w:szCs w:val="24"/>
                <w:lang w:eastAsia="en-GB"/>
              </w:rPr>
            </w:pPr>
            <w:r w:rsidRPr="00687982">
              <w:rPr>
                <w:szCs w:val="24"/>
                <w:lang w:eastAsia="en-GB"/>
              </w:rPr>
              <w:t>Results of national audit across inpatient and community mental health services and of EIP self-assessment scheme published. (See sliding scales below for payment details).</w:t>
            </w:r>
          </w:p>
          <w:p w:rsidR="0013071F" w:rsidRPr="00687982" w:rsidRDefault="0013071F" w:rsidP="006A0823">
            <w:pPr>
              <w:rPr>
                <w:szCs w:val="24"/>
                <w:lang w:eastAsia="en-GB"/>
              </w:rPr>
            </w:pPr>
          </w:p>
          <w:p w:rsidR="0013071F" w:rsidRPr="00687982" w:rsidRDefault="0013071F" w:rsidP="006A0823">
            <w:pPr>
              <w:rPr>
                <w:rFonts w:eastAsia="Calibri"/>
                <w:szCs w:val="24"/>
                <w:lang w:eastAsia="en-GB"/>
              </w:rPr>
            </w:pPr>
            <w:r w:rsidRPr="00687982">
              <w:rPr>
                <w:rFonts w:eastAsia="Calibri"/>
                <w:szCs w:val="24"/>
                <w:lang w:eastAsia="en-GB"/>
              </w:rPr>
              <w:t>Evidence of systematic feedback on performance to clinical teams (Assessed locally by commissioners)</w:t>
            </w:r>
            <w:r w:rsidR="00D11CB8">
              <w:rPr>
                <w:rFonts w:eastAsia="Calibri"/>
                <w:szCs w:val="24"/>
                <w:lang w:eastAsia="en-GB"/>
              </w:rPr>
              <w:t>.</w:t>
            </w:r>
          </w:p>
          <w:p w:rsidR="0013071F" w:rsidRPr="00687982" w:rsidRDefault="0013071F" w:rsidP="006A0823">
            <w:pPr>
              <w:rPr>
                <w:rFonts w:eastAsia="Calibri"/>
                <w:szCs w:val="24"/>
                <w:lang w:eastAsia="en-GB"/>
              </w:rPr>
            </w:pPr>
          </w:p>
          <w:p w:rsidR="0013071F" w:rsidRPr="00687982" w:rsidRDefault="0013071F" w:rsidP="006A0823">
            <w:pPr>
              <w:rPr>
                <w:szCs w:val="24"/>
                <w:lang w:eastAsia="en-GB"/>
              </w:rPr>
            </w:pPr>
            <w:r w:rsidRPr="00687982">
              <w:rPr>
                <w:szCs w:val="24"/>
                <w:lang w:eastAsia="en-GB"/>
              </w:rPr>
              <w:t xml:space="preserve">Results of audit across EIP services for achieving BMI outcome indicator – </w:t>
            </w:r>
            <w:r w:rsidRPr="00917125">
              <w:rPr>
                <w:szCs w:val="24"/>
                <w:lang w:eastAsia="en-GB"/>
              </w:rPr>
              <w:t>at least 35%</w:t>
            </w:r>
            <w:r w:rsidRPr="00687982">
              <w:rPr>
                <w:szCs w:val="24"/>
                <w:lang w:eastAsia="en-GB"/>
              </w:rPr>
              <w:t xml:space="preserve"> of patients should gain no more than 7% body weight in the first year of taking antipsychotic medication.</w:t>
            </w:r>
          </w:p>
          <w:p w:rsidR="0013071F" w:rsidRPr="00687982" w:rsidRDefault="0013071F" w:rsidP="006A0823">
            <w:pPr>
              <w:rPr>
                <w:szCs w:val="24"/>
                <w:lang w:eastAsia="en-GB"/>
              </w:rPr>
            </w:pPr>
          </w:p>
          <w:p w:rsidR="0013071F" w:rsidRPr="00687982" w:rsidRDefault="0013071F" w:rsidP="006A0823">
            <w:pPr>
              <w:rPr>
                <w:szCs w:val="24"/>
                <w:lang w:eastAsia="en-GB"/>
              </w:rPr>
            </w:pPr>
            <w:r w:rsidRPr="00687982">
              <w:rPr>
                <w:szCs w:val="24"/>
                <w:lang w:eastAsia="en-GB"/>
              </w:rPr>
              <w:t xml:space="preserve">Results of audit across EIP services for achieving EIP smoking outcome indicator </w:t>
            </w:r>
            <w:r w:rsidRPr="00917125">
              <w:rPr>
                <w:szCs w:val="24"/>
                <w:lang w:eastAsia="en-GB"/>
              </w:rPr>
              <w:t>– at least 10% of</w:t>
            </w:r>
            <w:r w:rsidRPr="00687982">
              <w:rPr>
                <w:szCs w:val="24"/>
                <w:lang w:eastAsia="en-GB"/>
              </w:rPr>
              <w:t xml:space="preserve"> patients who were previously in the Red Zone for smoking on the Lester Tool have stopped smoking. </w:t>
            </w:r>
          </w:p>
        </w:tc>
        <w:tc>
          <w:tcPr>
            <w:tcW w:w="1337" w:type="dxa"/>
          </w:tcPr>
          <w:p w:rsidR="0013071F" w:rsidRPr="00687982" w:rsidRDefault="0013071F" w:rsidP="006A0823">
            <w:pPr>
              <w:rPr>
                <w:szCs w:val="24"/>
                <w:lang w:eastAsia="en-GB"/>
              </w:rPr>
            </w:pPr>
            <w:r w:rsidRPr="00687982">
              <w:rPr>
                <w:szCs w:val="24"/>
                <w:lang w:eastAsia="en-GB"/>
              </w:rPr>
              <w:t>April 2019</w:t>
            </w:r>
          </w:p>
        </w:tc>
        <w:tc>
          <w:tcPr>
            <w:tcW w:w="1510" w:type="dxa"/>
          </w:tcPr>
          <w:p w:rsidR="0013071F" w:rsidRPr="00687982" w:rsidRDefault="0013071F" w:rsidP="006A0823">
            <w:pPr>
              <w:rPr>
                <w:szCs w:val="24"/>
                <w:lang w:eastAsia="en-GB"/>
              </w:rPr>
            </w:pPr>
            <w:r w:rsidRPr="00687982">
              <w:rPr>
                <w:szCs w:val="24"/>
                <w:lang w:eastAsia="en-GB"/>
              </w:rPr>
              <w:t>90% of indicator weighting for part 3a, made up of:</w:t>
            </w:r>
          </w:p>
          <w:p w:rsidR="0013071F" w:rsidRPr="00687982" w:rsidRDefault="0013071F" w:rsidP="006A0823">
            <w:pPr>
              <w:rPr>
                <w:szCs w:val="24"/>
                <w:lang w:eastAsia="en-GB"/>
              </w:rPr>
            </w:pPr>
          </w:p>
          <w:p w:rsidR="0013071F" w:rsidRPr="00687982" w:rsidRDefault="0013071F" w:rsidP="006A0823">
            <w:pPr>
              <w:rPr>
                <w:szCs w:val="24"/>
                <w:lang w:eastAsia="en-GB"/>
              </w:rPr>
            </w:pPr>
            <w:r w:rsidRPr="00687982">
              <w:rPr>
                <w:szCs w:val="24"/>
                <w:lang w:eastAsia="en-GB"/>
              </w:rPr>
              <w:t>20% (Inpatient services)</w:t>
            </w:r>
          </w:p>
          <w:p w:rsidR="0013071F" w:rsidRPr="00687982" w:rsidRDefault="0013071F" w:rsidP="006A0823">
            <w:pPr>
              <w:rPr>
                <w:szCs w:val="24"/>
                <w:lang w:eastAsia="en-GB"/>
              </w:rPr>
            </w:pPr>
          </w:p>
          <w:p w:rsidR="0013071F" w:rsidRPr="00687982" w:rsidRDefault="0013071F" w:rsidP="006A0823">
            <w:pPr>
              <w:rPr>
                <w:szCs w:val="24"/>
                <w:lang w:eastAsia="en-GB"/>
              </w:rPr>
            </w:pPr>
            <w:r w:rsidRPr="00687982">
              <w:rPr>
                <w:szCs w:val="24"/>
                <w:lang w:eastAsia="en-GB"/>
              </w:rPr>
              <w:t>40% (Community teams)</w:t>
            </w:r>
          </w:p>
          <w:p w:rsidR="0013071F" w:rsidRPr="00687982" w:rsidRDefault="0013071F" w:rsidP="006A0823">
            <w:pPr>
              <w:rPr>
                <w:szCs w:val="24"/>
                <w:lang w:eastAsia="en-GB"/>
              </w:rPr>
            </w:pPr>
          </w:p>
          <w:p w:rsidR="0013071F" w:rsidRPr="00687982" w:rsidRDefault="0013071F" w:rsidP="006A0823">
            <w:pPr>
              <w:rPr>
                <w:szCs w:val="24"/>
                <w:lang w:eastAsia="en-GB"/>
              </w:rPr>
            </w:pPr>
            <w:r w:rsidRPr="00687982">
              <w:rPr>
                <w:szCs w:val="24"/>
                <w:lang w:eastAsia="en-GB"/>
              </w:rPr>
              <w:t>20% (EIP services)</w:t>
            </w:r>
          </w:p>
          <w:p w:rsidR="0013071F" w:rsidRPr="00687982" w:rsidRDefault="0013071F" w:rsidP="006A0823">
            <w:pPr>
              <w:rPr>
                <w:szCs w:val="24"/>
                <w:lang w:eastAsia="en-GB"/>
              </w:rPr>
            </w:pPr>
          </w:p>
          <w:p w:rsidR="0013071F" w:rsidRPr="00687982" w:rsidRDefault="0013071F" w:rsidP="006A0823">
            <w:pPr>
              <w:rPr>
                <w:szCs w:val="24"/>
                <w:lang w:eastAsia="en-GB"/>
              </w:rPr>
            </w:pPr>
            <w:r w:rsidRPr="00687982">
              <w:rPr>
                <w:szCs w:val="24"/>
                <w:lang w:eastAsia="en-GB"/>
              </w:rPr>
              <w:t>5% (EIP BMI indicator)</w:t>
            </w:r>
          </w:p>
          <w:p w:rsidR="0013071F" w:rsidRPr="00687982" w:rsidRDefault="0013071F" w:rsidP="006A0823">
            <w:pPr>
              <w:rPr>
                <w:szCs w:val="24"/>
                <w:lang w:eastAsia="en-GB"/>
              </w:rPr>
            </w:pPr>
          </w:p>
          <w:p w:rsidR="0013071F" w:rsidRPr="00880B82" w:rsidRDefault="0013071F" w:rsidP="006A0823">
            <w:pPr>
              <w:rPr>
                <w:szCs w:val="24"/>
                <w:lang w:eastAsia="en-GB"/>
              </w:rPr>
            </w:pPr>
            <w:r w:rsidRPr="00687982">
              <w:rPr>
                <w:szCs w:val="24"/>
                <w:lang w:eastAsia="en-GB"/>
              </w:rPr>
              <w:t>5% (EIP Smoking indicator)</w:t>
            </w:r>
          </w:p>
        </w:tc>
      </w:tr>
    </w:tbl>
    <w:p w:rsidR="0013071F" w:rsidRDefault="0013071F" w:rsidP="0013071F">
      <w:pPr>
        <w:rPr>
          <w:lang w:eastAsia="en-GB"/>
        </w:rPr>
      </w:pPr>
    </w:p>
    <w:p w:rsidR="0013071F" w:rsidRDefault="0013071F" w:rsidP="0013071F">
      <w:pPr>
        <w:rPr>
          <w:rFonts w:eastAsiaTheme="majorEastAsia" w:cstheme="majorBidi"/>
          <w:b/>
          <w:bCs w:val="0"/>
          <w:iCs/>
          <w:color w:val="A00054" w:themeColor="accent2"/>
          <w:lang w:eastAsia="en-GB"/>
        </w:rPr>
      </w:pPr>
      <w:r>
        <w:rPr>
          <w:lang w:eastAsia="en-GB"/>
        </w:rPr>
        <w:br w:type="page"/>
      </w:r>
    </w:p>
    <w:p w:rsidR="0013071F" w:rsidRDefault="0013071F" w:rsidP="0013071F">
      <w:pPr>
        <w:pStyle w:val="Heading4"/>
        <w:rPr>
          <w:lang w:eastAsia="en-GB"/>
        </w:rPr>
      </w:pPr>
      <w:r w:rsidRPr="003919EF">
        <w:rPr>
          <w:lang w:eastAsia="en-GB"/>
        </w:rPr>
        <w:lastRenderedPageBreak/>
        <w:t>Rules for partial achievement</w:t>
      </w:r>
      <w:r>
        <w:rPr>
          <w:lang w:eastAsia="en-GB"/>
        </w:rPr>
        <w:t xml:space="preserve"> of indicator 3a</w:t>
      </w:r>
    </w:p>
    <w:p w:rsidR="0013071F" w:rsidRDefault="0013071F" w:rsidP="0013071F">
      <w:pPr>
        <w:rPr>
          <w:lang w:eastAsia="en-GB"/>
        </w:rPr>
      </w:pPr>
    </w:p>
    <w:p w:rsidR="0013071F" w:rsidRPr="00687982" w:rsidRDefault="0013071F" w:rsidP="0013071F">
      <w:pPr>
        <w:rPr>
          <w:b/>
          <w:iCs/>
          <w:lang w:eastAsia="en-GB"/>
        </w:rPr>
      </w:pPr>
      <w:r w:rsidRPr="00687982">
        <w:rPr>
          <w:b/>
          <w:iCs/>
          <w:lang w:eastAsia="en-GB"/>
        </w:rPr>
        <w:t xml:space="preserve">Inpatient services </w:t>
      </w:r>
      <w:r>
        <w:rPr>
          <w:b/>
          <w:iCs/>
          <w:lang w:eastAsia="en-GB"/>
        </w:rPr>
        <w:t>&amp;</w:t>
      </w:r>
      <w:r w:rsidRPr="0030411E">
        <w:rPr>
          <w:b/>
          <w:iCs/>
          <w:lang w:eastAsia="en-GB"/>
        </w:rPr>
        <w:t xml:space="preserve"> Early Intervention Psychosis Services (excluding BMI and smoking outcome indicators for which there is no partial achievement threshold)</w:t>
      </w:r>
    </w:p>
    <w:p w:rsidR="004842CB" w:rsidRDefault="004842CB" w:rsidP="0013071F">
      <w:pPr>
        <w:rPr>
          <w:b/>
          <w:lang w:eastAsia="en-GB"/>
        </w:rPr>
      </w:pPr>
    </w:p>
    <w:p w:rsidR="0013071F" w:rsidRPr="001C793A" w:rsidRDefault="0013071F" w:rsidP="0013071F">
      <w:pPr>
        <w:rPr>
          <w:b/>
          <w:lang w:eastAsia="en-GB"/>
        </w:rPr>
      </w:pPr>
      <w:r w:rsidRPr="001C793A">
        <w:rPr>
          <w:b/>
          <w:lang w:eastAsia="en-GB"/>
        </w:rPr>
        <w:t>For 2017/18 and 2018/19</w:t>
      </w:r>
    </w:p>
    <w:p w:rsidR="0013071F" w:rsidRPr="00687982" w:rsidRDefault="0013071F" w:rsidP="0013071F">
      <w:pPr>
        <w:rPr>
          <w:iCs/>
          <w:u w:val="single"/>
          <w:lang w:eastAsia="en-GB"/>
        </w:rPr>
      </w:pPr>
    </w:p>
    <w:tbl>
      <w:tblPr>
        <w:tblStyle w:val="TableGrid"/>
        <w:tblW w:w="0" w:type="auto"/>
        <w:tblLook w:val="04A0" w:firstRow="1" w:lastRow="0" w:firstColumn="1" w:lastColumn="0" w:noHBand="0" w:noVBand="1"/>
        <w:tblCaption w:val="Inpatients and Early Intervention Psychosis Services"/>
        <w:tblDescription w:val="Final indicator value for the partial achievement threshold. % of CQUIN scheme available for meeting final indicator value&#10;"/>
      </w:tblPr>
      <w:tblGrid>
        <w:gridCol w:w="3841"/>
        <w:gridCol w:w="4631"/>
      </w:tblGrid>
      <w:tr w:rsidR="0013071F" w:rsidRPr="00687982" w:rsidTr="004842CB">
        <w:trPr>
          <w:tblHeader/>
        </w:trPr>
        <w:tc>
          <w:tcPr>
            <w:tcW w:w="3841" w:type="dxa"/>
            <w:shd w:val="clear" w:color="auto" w:fill="0070C0"/>
          </w:tcPr>
          <w:p w:rsidR="0013071F" w:rsidRPr="00687982" w:rsidRDefault="0013071F" w:rsidP="006A0823">
            <w:pPr>
              <w:rPr>
                <w:b/>
                <w:color w:val="FFFFFF" w:themeColor="background1"/>
                <w:lang w:eastAsia="en-GB"/>
              </w:rPr>
            </w:pPr>
            <w:r w:rsidRPr="00687982">
              <w:rPr>
                <w:b/>
                <w:color w:val="FFFFFF" w:themeColor="background1"/>
                <w:lang w:eastAsia="en-GB"/>
              </w:rPr>
              <w:t>Final indicator value for the partial achievement threshold</w:t>
            </w:r>
          </w:p>
        </w:tc>
        <w:tc>
          <w:tcPr>
            <w:tcW w:w="4631" w:type="dxa"/>
            <w:shd w:val="clear" w:color="auto" w:fill="0070C0"/>
          </w:tcPr>
          <w:p w:rsidR="0013071F" w:rsidRPr="00687982" w:rsidRDefault="0013071F" w:rsidP="006A0823">
            <w:pPr>
              <w:rPr>
                <w:b/>
                <w:color w:val="FFFFFF" w:themeColor="background1"/>
                <w:lang w:eastAsia="en-GB"/>
              </w:rPr>
            </w:pPr>
            <w:r w:rsidRPr="00687982">
              <w:rPr>
                <w:b/>
                <w:color w:val="FFFFFF" w:themeColor="background1"/>
                <w:lang w:eastAsia="en-GB"/>
              </w:rPr>
              <w:t>% of CQUIN scheme available for meeting final indicator value</w:t>
            </w:r>
          </w:p>
        </w:tc>
      </w:tr>
      <w:tr w:rsidR="0013071F" w:rsidRPr="00687982" w:rsidTr="004842CB">
        <w:tc>
          <w:tcPr>
            <w:tcW w:w="3841" w:type="dxa"/>
          </w:tcPr>
          <w:p w:rsidR="0013071F" w:rsidRPr="00687982" w:rsidRDefault="0013071F" w:rsidP="006A0823">
            <w:pPr>
              <w:rPr>
                <w:b/>
                <w:lang w:eastAsia="en-GB"/>
              </w:rPr>
            </w:pPr>
            <w:r w:rsidRPr="00687982">
              <w:rPr>
                <w:lang w:eastAsia="en-GB"/>
              </w:rPr>
              <w:t>49.9% or less</w:t>
            </w:r>
          </w:p>
        </w:tc>
        <w:tc>
          <w:tcPr>
            <w:tcW w:w="4631" w:type="dxa"/>
          </w:tcPr>
          <w:p w:rsidR="0013071F" w:rsidRPr="00687982" w:rsidRDefault="0013071F" w:rsidP="006A0823">
            <w:pPr>
              <w:rPr>
                <w:b/>
                <w:lang w:eastAsia="en-GB"/>
              </w:rPr>
            </w:pPr>
            <w:r w:rsidRPr="00687982">
              <w:rPr>
                <w:lang w:eastAsia="en-GB"/>
              </w:rPr>
              <w:t>No payment</w:t>
            </w:r>
          </w:p>
        </w:tc>
      </w:tr>
      <w:tr w:rsidR="0013071F" w:rsidRPr="00687982" w:rsidTr="004842CB">
        <w:tc>
          <w:tcPr>
            <w:tcW w:w="3841" w:type="dxa"/>
          </w:tcPr>
          <w:p w:rsidR="0013071F" w:rsidRPr="00687982" w:rsidRDefault="0013071F" w:rsidP="006A0823">
            <w:pPr>
              <w:rPr>
                <w:b/>
                <w:lang w:eastAsia="en-GB"/>
              </w:rPr>
            </w:pPr>
            <w:r w:rsidRPr="00687982">
              <w:rPr>
                <w:lang w:eastAsia="en-GB"/>
              </w:rPr>
              <w:t>50.0% to 69.9%</w:t>
            </w:r>
          </w:p>
        </w:tc>
        <w:tc>
          <w:tcPr>
            <w:tcW w:w="4631" w:type="dxa"/>
          </w:tcPr>
          <w:p w:rsidR="0013071F" w:rsidRPr="00687982" w:rsidRDefault="0013071F" w:rsidP="006A0823">
            <w:pPr>
              <w:rPr>
                <w:b/>
                <w:lang w:eastAsia="en-GB"/>
              </w:rPr>
            </w:pPr>
            <w:r w:rsidRPr="00687982">
              <w:rPr>
                <w:lang w:eastAsia="en-GB"/>
              </w:rPr>
              <w:t>25% payment</w:t>
            </w:r>
          </w:p>
        </w:tc>
      </w:tr>
      <w:tr w:rsidR="0013071F" w:rsidRPr="00687982" w:rsidTr="004842CB">
        <w:tc>
          <w:tcPr>
            <w:tcW w:w="3841" w:type="dxa"/>
          </w:tcPr>
          <w:p w:rsidR="0013071F" w:rsidRPr="00687982" w:rsidRDefault="0013071F" w:rsidP="006A0823">
            <w:pPr>
              <w:rPr>
                <w:lang w:eastAsia="en-GB"/>
              </w:rPr>
            </w:pPr>
            <w:r w:rsidRPr="00687982">
              <w:rPr>
                <w:lang w:eastAsia="en-GB"/>
              </w:rPr>
              <w:t>70.0% to 79.9%</w:t>
            </w:r>
          </w:p>
        </w:tc>
        <w:tc>
          <w:tcPr>
            <w:tcW w:w="4631" w:type="dxa"/>
          </w:tcPr>
          <w:p w:rsidR="0013071F" w:rsidRPr="00687982" w:rsidRDefault="0013071F" w:rsidP="006A0823">
            <w:pPr>
              <w:rPr>
                <w:lang w:eastAsia="en-GB"/>
              </w:rPr>
            </w:pPr>
            <w:r w:rsidRPr="00687982">
              <w:rPr>
                <w:lang w:eastAsia="en-GB"/>
              </w:rPr>
              <w:t>50% payment</w:t>
            </w:r>
          </w:p>
        </w:tc>
      </w:tr>
      <w:tr w:rsidR="0013071F" w:rsidRPr="00687982" w:rsidTr="004842CB">
        <w:tc>
          <w:tcPr>
            <w:tcW w:w="3841" w:type="dxa"/>
          </w:tcPr>
          <w:p w:rsidR="0013071F" w:rsidRPr="00687982" w:rsidRDefault="0013071F" w:rsidP="006A0823">
            <w:pPr>
              <w:rPr>
                <w:lang w:eastAsia="en-GB"/>
              </w:rPr>
            </w:pPr>
            <w:r w:rsidRPr="00687982">
              <w:rPr>
                <w:lang w:eastAsia="en-GB"/>
              </w:rPr>
              <w:t>80.0% to 89.9%</w:t>
            </w:r>
          </w:p>
        </w:tc>
        <w:tc>
          <w:tcPr>
            <w:tcW w:w="4631" w:type="dxa"/>
          </w:tcPr>
          <w:p w:rsidR="0013071F" w:rsidRPr="00687982" w:rsidRDefault="0013071F" w:rsidP="006A0823">
            <w:pPr>
              <w:rPr>
                <w:lang w:eastAsia="en-GB"/>
              </w:rPr>
            </w:pPr>
            <w:r w:rsidRPr="00687982">
              <w:rPr>
                <w:lang w:eastAsia="en-GB"/>
              </w:rPr>
              <w:t>75% payment</w:t>
            </w:r>
          </w:p>
        </w:tc>
      </w:tr>
      <w:tr w:rsidR="0013071F" w:rsidRPr="00687982" w:rsidTr="004842CB">
        <w:trPr>
          <w:trHeight w:val="128"/>
        </w:trPr>
        <w:tc>
          <w:tcPr>
            <w:tcW w:w="3841" w:type="dxa"/>
          </w:tcPr>
          <w:p w:rsidR="0013071F" w:rsidRPr="00687982" w:rsidRDefault="0013071F" w:rsidP="006A0823">
            <w:pPr>
              <w:rPr>
                <w:lang w:eastAsia="en-GB"/>
              </w:rPr>
            </w:pPr>
            <w:r w:rsidRPr="00687982">
              <w:rPr>
                <w:lang w:eastAsia="en-GB"/>
              </w:rPr>
              <w:t>90.0% or above</w:t>
            </w:r>
          </w:p>
        </w:tc>
        <w:tc>
          <w:tcPr>
            <w:tcW w:w="4631" w:type="dxa"/>
          </w:tcPr>
          <w:p w:rsidR="0013071F" w:rsidRPr="00687982" w:rsidRDefault="0013071F" w:rsidP="006A0823">
            <w:pPr>
              <w:rPr>
                <w:lang w:eastAsia="en-GB"/>
              </w:rPr>
            </w:pPr>
            <w:r w:rsidRPr="00687982">
              <w:rPr>
                <w:lang w:eastAsia="en-GB"/>
              </w:rPr>
              <w:t>100% payment</w:t>
            </w:r>
          </w:p>
        </w:tc>
      </w:tr>
    </w:tbl>
    <w:p w:rsidR="0013071F" w:rsidRPr="00687982" w:rsidRDefault="0013071F" w:rsidP="0013071F">
      <w:pPr>
        <w:rPr>
          <w:lang w:eastAsia="en-GB"/>
        </w:rPr>
      </w:pPr>
    </w:p>
    <w:p w:rsidR="0013071F" w:rsidRPr="00687982" w:rsidRDefault="0013071F" w:rsidP="0013071F">
      <w:pPr>
        <w:rPr>
          <w:b/>
          <w:iCs/>
          <w:lang w:eastAsia="en-GB"/>
        </w:rPr>
      </w:pPr>
      <w:r w:rsidRPr="00687982">
        <w:rPr>
          <w:b/>
          <w:iCs/>
          <w:lang w:eastAsia="en-GB"/>
        </w:rPr>
        <w:t xml:space="preserve">Community Mental Health Services </w:t>
      </w:r>
    </w:p>
    <w:p w:rsidR="004842CB" w:rsidRDefault="004842CB" w:rsidP="0013071F">
      <w:pPr>
        <w:rPr>
          <w:b/>
          <w:iCs/>
          <w:lang w:eastAsia="en-GB"/>
        </w:rPr>
      </w:pPr>
    </w:p>
    <w:p w:rsidR="0013071F" w:rsidRPr="00687982" w:rsidRDefault="0013071F" w:rsidP="0013071F">
      <w:pPr>
        <w:rPr>
          <w:b/>
          <w:iCs/>
          <w:lang w:eastAsia="en-GB"/>
        </w:rPr>
      </w:pPr>
      <w:r w:rsidRPr="00687982">
        <w:rPr>
          <w:b/>
          <w:iCs/>
          <w:lang w:eastAsia="en-GB"/>
        </w:rPr>
        <w:t>For 2017/18</w:t>
      </w:r>
    </w:p>
    <w:p w:rsidR="0013071F" w:rsidRPr="00687982" w:rsidRDefault="0013071F" w:rsidP="0013071F">
      <w:pPr>
        <w:rPr>
          <w:iCs/>
          <w:u w:val="single"/>
          <w:lang w:eastAsia="en-GB"/>
        </w:rPr>
      </w:pPr>
    </w:p>
    <w:tbl>
      <w:tblPr>
        <w:tblStyle w:val="TableGrid"/>
        <w:tblW w:w="0" w:type="auto"/>
        <w:tblLook w:val="04A0" w:firstRow="1" w:lastRow="0" w:firstColumn="1" w:lastColumn="0" w:noHBand="0" w:noVBand="1"/>
        <w:tblCaption w:val="Community Mental Health Services"/>
        <w:tblDescription w:val="&#10;Final indicator value for the partial achievement threshold. % of CQUIN scheme available for meeting final indicator value&#10;"/>
      </w:tblPr>
      <w:tblGrid>
        <w:gridCol w:w="4077"/>
        <w:gridCol w:w="4678"/>
      </w:tblGrid>
      <w:tr w:rsidR="0013071F" w:rsidRPr="00687982" w:rsidTr="00991F88">
        <w:trPr>
          <w:tblHeader/>
        </w:trPr>
        <w:tc>
          <w:tcPr>
            <w:tcW w:w="4077" w:type="dxa"/>
            <w:shd w:val="clear" w:color="auto" w:fill="0070C0"/>
          </w:tcPr>
          <w:p w:rsidR="0013071F" w:rsidRPr="00687982" w:rsidRDefault="0013071F" w:rsidP="006A0823">
            <w:pPr>
              <w:rPr>
                <w:b/>
                <w:color w:val="FFFFFF" w:themeColor="background1"/>
                <w:lang w:eastAsia="en-GB"/>
              </w:rPr>
            </w:pPr>
            <w:r w:rsidRPr="00687982">
              <w:rPr>
                <w:b/>
                <w:color w:val="FFFFFF" w:themeColor="background1"/>
                <w:lang w:eastAsia="en-GB"/>
              </w:rPr>
              <w:t>Final indicator value for the partial achievement threshold</w:t>
            </w:r>
          </w:p>
        </w:tc>
        <w:tc>
          <w:tcPr>
            <w:tcW w:w="4678" w:type="dxa"/>
            <w:shd w:val="clear" w:color="auto" w:fill="0070C0"/>
          </w:tcPr>
          <w:p w:rsidR="0013071F" w:rsidRPr="00687982" w:rsidRDefault="0013071F" w:rsidP="006A0823">
            <w:pPr>
              <w:rPr>
                <w:b/>
                <w:color w:val="FFFFFF" w:themeColor="background1"/>
                <w:lang w:eastAsia="en-GB"/>
              </w:rPr>
            </w:pPr>
            <w:r w:rsidRPr="00687982">
              <w:rPr>
                <w:b/>
                <w:color w:val="FFFFFF" w:themeColor="background1"/>
                <w:lang w:eastAsia="en-GB"/>
              </w:rPr>
              <w:t>% of CQUIN scheme available for meeting final indicator value</w:t>
            </w:r>
          </w:p>
        </w:tc>
      </w:tr>
      <w:tr w:rsidR="0013071F" w:rsidRPr="00687982" w:rsidTr="00991F88">
        <w:tc>
          <w:tcPr>
            <w:tcW w:w="4077" w:type="dxa"/>
          </w:tcPr>
          <w:p w:rsidR="0013071F" w:rsidRPr="00687982" w:rsidRDefault="0013071F" w:rsidP="006A0823">
            <w:pPr>
              <w:rPr>
                <w:b/>
                <w:lang w:eastAsia="en-GB"/>
              </w:rPr>
            </w:pPr>
            <w:r w:rsidRPr="00687982">
              <w:rPr>
                <w:lang w:eastAsia="en-GB"/>
              </w:rPr>
              <w:t>34.9% or less</w:t>
            </w:r>
          </w:p>
        </w:tc>
        <w:tc>
          <w:tcPr>
            <w:tcW w:w="4678" w:type="dxa"/>
          </w:tcPr>
          <w:p w:rsidR="0013071F" w:rsidRPr="00687982" w:rsidRDefault="0013071F" w:rsidP="006A0823">
            <w:pPr>
              <w:rPr>
                <w:b/>
                <w:lang w:eastAsia="en-GB"/>
              </w:rPr>
            </w:pPr>
            <w:r w:rsidRPr="00687982">
              <w:rPr>
                <w:lang w:eastAsia="en-GB"/>
              </w:rPr>
              <w:t>No payment</w:t>
            </w:r>
          </w:p>
        </w:tc>
      </w:tr>
      <w:tr w:rsidR="0013071F" w:rsidRPr="00687982" w:rsidTr="00991F88">
        <w:tc>
          <w:tcPr>
            <w:tcW w:w="4077" w:type="dxa"/>
          </w:tcPr>
          <w:p w:rsidR="0013071F" w:rsidRPr="00687982" w:rsidRDefault="0013071F" w:rsidP="006A0823">
            <w:pPr>
              <w:rPr>
                <w:lang w:eastAsia="en-GB"/>
              </w:rPr>
            </w:pPr>
            <w:r w:rsidRPr="00687982">
              <w:rPr>
                <w:lang w:eastAsia="en-GB"/>
              </w:rPr>
              <w:t>35.0% to 44.9%</w:t>
            </w:r>
          </w:p>
        </w:tc>
        <w:tc>
          <w:tcPr>
            <w:tcW w:w="4678" w:type="dxa"/>
          </w:tcPr>
          <w:p w:rsidR="0013071F" w:rsidRPr="00687982" w:rsidRDefault="0013071F" w:rsidP="006A0823">
            <w:pPr>
              <w:rPr>
                <w:lang w:eastAsia="en-GB"/>
              </w:rPr>
            </w:pPr>
            <w:r w:rsidRPr="00687982">
              <w:rPr>
                <w:lang w:eastAsia="en-GB"/>
              </w:rPr>
              <w:t>25% payment</w:t>
            </w:r>
          </w:p>
        </w:tc>
      </w:tr>
      <w:tr w:rsidR="0013071F" w:rsidRPr="00687982" w:rsidTr="00991F88">
        <w:tc>
          <w:tcPr>
            <w:tcW w:w="4077" w:type="dxa"/>
          </w:tcPr>
          <w:p w:rsidR="0013071F" w:rsidRPr="00687982" w:rsidRDefault="0013071F" w:rsidP="006A0823">
            <w:pPr>
              <w:rPr>
                <w:lang w:eastAsia="en-GB"/>
              </w:rPr>
            </w:pPr>
            <w:r w:rsidRPr="00687982">
              <w:rPr>
                <w:lang w:eastAsia="en-GB"/>
              </w:rPr>
              <w:t>45.0% to 54.9%</w:t>
            </w:r>
          </w:p>
        </w:tc>
        <w:tc>
          <w:tcPr>
            <w:tcW w:w="4678" w:type="dxa"/>
          </w:tcPr>
          <w:p w:rsidR="0013071F" w:rsidRPr="00687982" w:rsidRDefault="0013071F" w:rsidP="006A0823">
            <w:pPr>
              <w:rPr>
                <w:lang w:eastAsia="en-GB"/>
              </w:rPr>
            </w:pPr>
            <w:r w:rsidRPr="00687982">
              <w:rPr>
                <w:lang w:eastAsia="en-GB"/>
              </w:rPr>
              <w:t>50% payment</w:t>
            </w:r>
          </w:p>
        </w:tc>
      </w:tr>
      <w:tr w:rsidR="0013071F" w:rsidRPr="00687982" w:rsidTr="00991F88">
        <w:trPr>
          <w:trHeight w:val="128"/>
        </w:trPr>
        <w:tc>
          <w:tcPr>
            <w:tcW w:w="4077" w:type="dxa"/>
          </w:tcPr>
          <w:p w:rsidR="0013071F" w:rsidRPr="00687982" w:rsidRDefault="0013071F" w:rsidP="006A0823">
            <w:pPr>
              <w:rPr>
                <w:lang w:eastAsia="en-GB"/>
              </w:rPr>
            </w:pPr>
            <w:r w:rsidRPr="00687982">
              <w:rPr>
                <w:lang w:eastAsia="en-GB"/>
              </w:rPr>
              <w:t>55.0% to 64.9%</w:t>
            </w:r>
          </w:p>
        </w:tc>
        <w:tc>
          <w:tcPr>
            <w:tcW w:w="4678" w:type="dxa"/>
          </w:tcPr>
          <w:p w:rsidR="0013071F" w:rsidRPr="00687982" w:rsidRDefault="0013071F" w:rsidP="006A0823">
            <w:pPr>
              <w:rPr>
                <w:lang w:eastAsia="en-GB"/>
              </w:rPr>
            </w:pPr>
            <w:r w:rsidRPr="00687982">
              <w:rPr>
                <w:lang w:eastAsia="en-GB"/>
              </w:rPr>
              <w:t>75% payment</w:t>
            </w:r>
          </w:p>
        </w:tc>
      </w:tr>
      <w:tr w:rsidR="0013071F" w:rsidRPr="00687982" w:rsidTr="00991F88">
        <w:trPr>
          <w:trHeight w:val="128"/>
        </w:trPr>
        <w:tc>
          <w:tcPr>
            <w:tcW w:w="4077" w:type="dxa"/>
          </w:tcPr>
          <w:p w:rsidR="0013071F" w:rsidRPr="00687982" w:rsidRDefault="0013071F" w:rsidP="006A0823">
            <w:pPr>
              <w:rPr>
                <w:lang w:eastAsia="en-GB"/>
              </w:rPr>
            </w:pPr>
            <w:r w:rsidRPr="00687982">
              <w:rPr>
                <w:lang w:eastAsia="en-GB"/>
              </w:rPr>
              <w:t>65.0% or above</w:t>
            </w:r>
          </w:p>
        </w:tc>
        <w:tc>
          <w:tcPr>
            <w:tcW w:w="4678" w:type="dxa"/>
          </w:tcPr>
          <w:p w:rsidR="0013071F" w:rsidRPr="00687982" w:rsidRDefault="0013071F" w:rsidP="006A0823">
            <w:pPr>
              <w:rPr>
                <w:lang w:eastAsia="en-GB"/>
              </w:rPr>
            </w:pPr>
            <w:r w:rsidRPr="00687982">
              <w:rPr>
                <w:lang w:eastAsia="en-GB"/>
              </w:rPr>
              <w:t>100% payment</w:t>
            </w:r>
          </w:p>
        </w:tc>
      </w:tr>
    </w:tbl>
    <w:p w:rsidR="0013071F" w:rsidRDefault="0013071F" w:rsidP="0013071F">
      <w:pPr>
        <w:rPr>
          <w:b/>
          <w:iCs/>
          <w:lang w:eastAsia="en-GB"/>
        </w:rPr>
      </w:pPr>
    </w:p>
    <w:p w:rsidR="0013071F" w:rsidRPr="0030411E" w:rsidRDefault="0013071F" w:rsidP="0013071F">
      <w:pPr>
        <w:rPr>
          <w:b/>
        </w:rPr>
      </w:pPr>
      <w:r w:rsidRPr="0030411E">
        <w:rPr>
          <w:b/>
        </w:rPr>
        <w:t>For 2018/19</w:t>
      </w:r>
    </w:p>
    <w:p w:rsidR="0013071F" w:rsidRPr="00FA70DF" w:rsidRDefault="0013071F" w:rsidP="0013071F">
      <w:pPr>
        <w:rPr>
          <w:b/>
          <w:iCs/>
          <w:lang w:eastAsia="en-GB"/>
        </w:rPr>
      </w:pPr>
    </w:p>
    <w:tbl>
      <w:tblPr>
        <w:tblStyle w:val="TableGrid6"/>
        <w:tblW w:w="0" w:type="auto"/>
        <w:tblLook w:val="04A0" w:firstRow="1" w:lastRow="0" w:firstColumn="1" w:lastColumn="0" w:noHBand="0" w:noVBand="1"/>
        <w:tblCaption w:val="Community Mental Health Services"/>
        <w:tblDescription w:val="&#10;Final indicator value for the partial achievement threshold. % of CQUIN scheme available for meeting final indicator value&#10;"/>
      </w:tblPr>
      <w:tblGrid>
        <w:gridCol w:w="4077"/>
        <w:gridCol w:w="4678"/>
      </w:tblGrid>
      <w:tr w:rsidR="0013071F" w:rsidRPr="00FA70DF" w:rsidTr="00991F88">
        <w:trPr>
          <w:tblHeader/>
        </w:trPr>
        <w:tc>
          <w:tcPr>
            <w:tcW w:w="4077" w:type="dxa"/>
            <w:shd w:val="clear" w:color="auto" w:fill="0070C0"/>
          </w:tcPr>
          <w:p w:rsidR="0013071F" w:rsidRPr="0030411E" w:rsidRDefault="0013071F" w:rsidP="006A0823">
            <w:pPr>
              <w:spacing w:before="20" w:after="20"/>
              <w:jc w:val="center"/>
              <w:rPr>
                <w:b/>
                <w:color w:val="FFFFFF"/>
                <w:szCs w:val="24"/>
                <w:lang w:eastAsia="en-GB"/>
              </w:rPr>
            </w:pPr>
            <w:r w:rsidRPr="0030411E">
              <w:rPr>
                <w:b/>
                <w:color w:val="FFFFFF"/>
                <w:szCs w:val="24"/>
                <w:lang w:eastAsia="en-GB"/>
              </w:rPr>
              <w:t>Final indicator value for the partial achievement threshold</w:t>
            </w:r>
          </w:p>
        </w:tc>
        <w:tc>
          <w:tcPr>
            <w:tcW w:w="4678" w:type="dxa"/>
            <w:shd w:val="clear" w:color="auto" w:fill="0070C0"/>
          </w:tcPr>
          <w:p w:rsidR="0013071F" w:rsidRPr="0030411E" w:rsidRDefault="0013071F" w:rsidP="006A0823">
            <w:pPr>
              <w:spacing w:before="20" w:after="20"/>
              <w:jc w:val="center"/>
              <w:rPr>
                <w:b/>
                <w:color w:val="FFFFFF"/>
                <w:szCs w:val="24"/>
                <w:lang w:eastAsia="en-GB"/>
              </w:rPr>
            </w:pPr>
            <w:r w:rsidRPr="0030411E">
              <w:rPr>
                <w:b/>
                <w:color w:val="FFFFFF"/>
                <w:szCs w:val="24"/>
                <w:lang w:eastAsia="en-GB"/>
              </w:rPr>
              <w:t>% of CQUIN scheme available for meeting final indicator value</w:t>
            </w:r>
          </w:p>
        </w:tc>
      </w:tr>
      <w:tr w:rsidR="0013071F" w:rsidRPr="00FA70DF" w:rsidTr="00991F88">
        <w:tc>
          <w:tcPr>
            <w:tcW w:w="4077" w:type="dxa"/>
          </w:tcPr>
          <w:p w:rsidR="0013071F" w:rsidRPr="0030411E" w:rsidRDefault="0013071F" w:rsidP="006A0823">
            <w:pPr>
              <w:rPr>
                <w:rFonts w:eastAsia="Calibri"/>
                <w:b/>
                <w:szCs w:val="24"/>
                <w:lang w:eastAsia="en-GB"/>
              </w:rPr>
            </w:pPr>
            <w:r w:rsidRPr="0030411E">
              <w:rPr>
                <w:lang w:eastAsia="en-GB"/>
              </w:rPr>
              <w:t>44.9% or less</w:t>
            </w:r>
          </w:p>
        </w:tc>
        <w:tc>
          <w:tcPr>
            <w:tcW w:w="4678" w:type="dxa"/>
          </w:tcPr>
          <w:p w:rsidR="0013071F" w:rsidRPr="0030411E" w:rsidRDefault="0013071F" w:rsidP="006A0823">
            <w:pPr>
              <w:rPr>
                <w:b/>
                <w:szCs w:val="24"/>
                <w:lang w:eastAsia="en-GB"/>
              </w:rPr>
            </w:pPr>
            <w:r w:rsidRPr="0030411E">
              <w:rPr>
                <w:rFonts w:eastAsia="Calibri"/>
                <w:lang w:eastAsia="en-GB"/>
              </w:rPr>
              <w:t>No payment</w:t>
            </w:r>
          </w:p>
        </w:tc>
      </w:tr>
      <w:tr w:rsidR="0013071F" w:rsidRPr="00FA70DF" w:rsidTr="00991F88">
        <w:tc>
          <w:tcPr>
            <w:tcW w:w="4077" w:type="dxa"/>
          </w:tcPr>
          <w:p w:rsidR="0013071F" w:rsidRPr="0030411E" w:rsidRDefault="0013071F" w:rsidP="006A0823">
            <w:pPr>
              <w:rPr>
                <w:lang w:eastAsia="en-GB"/>
              </w:rPr>
            </w:pPr>
            <w:r w:rsidRPr="0030411E">
              <w:rPr>
                <w:lang w:eastAsia="en-GB"/>
              </w:rPr>
              <w:t>45.0% to 54.9%</w:t>
            </w:r>
          </w:p>
        </w:tc>
        <w:tc>
          <w:tcPr>
            <w:tcW w:w="4678" w:type="dxa"/>
          </w:tcPr>
          <w:p w:rsidR="0013071F" w:rsidRPr="0030411E" w:rsidRDefault="0013071F" w:rsidP="006A0823">
            <w:pPr>
              <w:rPr>
                <w:lang w:eastAsia="en-GB"/>
              </w:rPr>
            </w:pPr>
            <w:r w:rsidRPr="0030411E">
              <w:rPr>
                <w:rFonts w:eastAsia="Calibri"/>
                <w:lang w:eastAsia="en-GB"/>
              </w:rPr>
              <w:t>25% payment</w:t>
            </w:r>
          </w:p>
        </w:tc>
      </w:tr>
      <w:tr w:rsidR="0013071F" w:rsidRPr="00FA70DF" w:rsidTr="00991F88">
        <w:tc>
          <w:tcPr>
            <w:tcW w:w="4077" w:type="dxa"/>
          </w:tcPr>
          <w:p w:rsidR="0013071F" w:rsidRPr="0030411E" w:rsidRDefault="0013071F" w:rsidP="006A0823">
            <w:pPr>
              <w:rPr>
                <w:lang w:eastAsia="en-GB"/>
              </w:rPr>
            </w:pPr>
            <w:r w:rsidRPr="0030411E">
              <w:rPr>
                <w:lang w:eastAsia="en-GB"/>
              </w:rPr>
              <w:t>55.0% to 64.9%</w:t>
            </w:r>
          </w:p>
        </w:tc>
        <w:tc>
          <w:tcPr>
            <w:tcW w:w="4678" w:type="dxa"/>
          </w:tcPr>
          <w:p w:rsidR="0013071F" w:rsidRPr="0030411E" w:rsidRDefault="0013071F" w:rsidP="006A0823">
            <w:pPr>
              <w:rPr>
                <w:lang w:eastAsia="en-GB"/>
              </w:rPr>
            </w:pPr>
            <w:r w:rsidRPr="0030411E">
              <w:rPr>
                <w:rFonts w:eastAsia="Calibri"/>
                <w:lang w:eastAsia="en-GB"/>
              </w:rPr>
              <w:t>50% payment</w:t>
            </w:r>
          </w:p>
        </w:tc>
      </w:tr>
      <w:tr w:rsidR="0013071F" w:rsidRPr="00FA70DF" w:rsidTr="00991F88">
        <w:trPr>
          <w:trHeight w:val="128"/>
        </w:trPr>
        <w:tc>
          <w:tcPr>
            <w:tcW w:w="4077" w:type="dxa"/>
          </w:tcPr>
          <w:p w:rsidR="0013071F" w:rsidRPr="0030411E" w:rsidRDefault="0013071F" w:rsidP="006A0823">
            <w:pPr>
              <w:rPr>
                <w:lang w:eastAsia="en-GB"/>
              </w:rPr>
            </w:pPr>
            <w:r w:rsidRPr="0030411E">
              <w:rPr>
                <w:lang w:eastAsia="en-GB"/>
              </w:rPr>
              <w:t>65.0% to 74.9%</w:t>
            </w:r>
          </w:p>
        </w:tc>
        <w:tc>
          <w:tcPr>
            <w:tcW w:w="4678" w:type="dxa"/>
          </w:tcPr>
          <w:p w:rsidR="0013071F" w:rsidRPr="0030411E" w:rsidRDefault="0013071F" w:rsidP="006A0823">
            <w:pPr>
              <w:rPr>
                <w:lang w:eastAsia="en-GB"/>
              </w:rPr>
            </w:pPr>
            <w:r w:rsidRPr="0030411E">
              <w:rPr>
                <w:rFonts w:eastAsia="Calibri"/>
                <w:lang w:eastAsia="en-GB"/>
              </w:rPr>
              <w:t>75% payment</w:t>
            </w:r>
          </w:p>
        </w:tc>
      </w:tr>
      <w:tr w:rsidR="0013071F" w:rsidRPr="00917125" w:rsidTr="00991F88">
        <w:trPr>
          <w:trHeight w:val="128"/>
        </w:trPr>
        <w:tc>
          <w:tcPr>
            <w:tcW w:w="4077" w:type="dxa"/>
          </w:tcPr>
          <w:p w:rsidR="0013071F" w:rsidRPr="0030411E" w:rsidRDefault="0013071F" w:rsidP="006A0823">
            <w:pPr>
              <w:rPr>
                <w:lang w:eastAsia="en-GB"/>
              </w:rPr>
            </w:pPr>
            <w:r w:rsidRPr="0030411E">
              <w:rPr>
                <w:lang w:eastAsia="en-GB"/>
              </w:rPr>
              <w:t>75.0% or above</w:t>
            </w:r>
          </w:p>
        </w:tc>
        <w:tc>
          <w:tcPr>
            <w:tcW w:w="4678" w:type="dxa"/>
          </w:tcPr>
          <w:p w:rsidR="0013071F" w:rsidRPr="00917125" w:rsidRDefault="0013071F" w:rsidP="006A0823">
            <w:pPr>
              <w:rPr>
                <w:rFonts w:eastAsia="Calibri"/>
                <w:lang w:eastAsia="en-GB"/>
              </w:rPr>
            </w:pPr>
            <w:r w:rsidRPr="0030411E">
              <w:rPr>
                <w:rFonts w:eastAsia="Calibri"/>
                <w:lang w:eastAsia="en-GB"/>
              </w:rPr>
              <w:t>100% payment</w:t>
            </w:r>
          </w:p>
        </w:tc>
      </w:tr>
    </w:tbl>
    <w:p w:rsidR="0013071F" w:rsidRDefault="0013071F" w:rsidP="0013071F">
      <w:pPr>
        <w:rPr>
          <w:b/>
          <w:iCs/>
          <w:lang w:eastAsia="en-GB"/>
        </w:rPr>
      </w:pPr>
    </w:p>
    <w:p w:rsidR="0013071F" w:rsidRDefault="0013071F" w:rsidP="0013071F">
      <w:pPr>
        <w:rPr>
          <w:b/>
          <w:iCs/>
          <w:highlight w:val="yellow"/>
          <w:lang w:eastAsia="en-GB"/>
        </w:rPr>
      </w:pPr>
    </w:p>
    <w:p w:rsidR="001416F0" w:rsidRDefault="001416F0">
      <w:pPr>
        <w:rPr>
          <w:rFonts w:eastAsiaTheme="majorEastAsia" w:cstheme="majorBidi"/>
          <w:b/>
          <w:bCs w:val="0"/>
          <w:iCs/>
          <w:color w:val="A00054" w:themeColor="accent2"/>
          <w:lang w:eastAsia="en-GB"/>
        </w:rPr>
      </w:pPr>
      <w:r>
        <w:rPr>
          <w:lang w:eastAsia="en-GB"/>
        </w:rPr>
        <w:br w:type="page"/>
      </w:r>
    </w:p>
    <w:p w:rsidR="0013071F" w:rsidRDefault="0013071F" w:rsidP="0013071F">
      <w:pPr>
        <w:pStyle w:val="Heading4"/>
        <w:rPr>
          <w:lang w:eastAsia="en-GB"/>
        </w:rPr>
      </w:pPr>
      <w:r>
        <w:rPr>
          <w:lang w:eastAsia="en-GB"/>
        </w:rPr>
        <w:lastRenderedPageBreak/>
        <w:t>Indicator 3b</w:t>
      </w:r>
      <w:r w:rsidRPr="003919EF">
        <w:rPr>
          <w:lang w:eastAsia="en-GB"/>
        </w:rPr>
        <w:t xml:space="preserve"> Collaboration with primary care clinicians</w:t>
      </w:r>
    </w:p>
    <w:p w:rsidR="0013071F" w:rsidRDefault="0013071F" w:rsidP="0013071F">
      <w:pPr>
        <w:rPr>
          <w:b/>
          <w:lang w:eastAsia="en-GB"/>
        </w:rPr>
      </w:pPr>
    </w:p>
    <w:tbl>
      <w:tblPr>
        <w:tblStyle w:val="TableGrid"/>
        <w:tblW w:w="4717" w:type="pct"/>
        <w:tblLook w:val="04A0" w:firstRow="1" w:lastRow="0" w:firstColumn="1" w:lastColumn="0" w:noHBand="0" w:noVBand="1"/>
        <w:tblCaption w:val="Please add a description of this table"/>
      </w:tblPr>
      <w:tblGrid>
        <w:gridCol w:w="3085"/>
        <w:gridCol w:w="5670"/>
      </w:tblGrid>
      <w:tr w:rsidR="0013071F" w:rsidRPr="00A621FC" w:rsidTr="00991F88">
        <w:trPr>
          <w:tblHeader/>
        </w:trPr>
        <w:tc>
          <w:tcPr>
            <w:tcW w:w="5000" w:type="pct"/>
            <w:gridSpan w:val="2"/>
            <w:shd w:val="clear" w:color="auto" w:fill="0070C0"/>
          </w:tcPr>
          <w:p w:rsidR="0013071F" w:rsidRPr="00A621FC" w:rsidRDefault="0013071F" w:rsidP="006A0823">
            <w:pPr>
              <w:jc w:val="center"/>
              <w:rPr>
                <w:b/>
                <w:lang w:eastAsia="en-GB"/>
              </w:rPr>
            </w:pPr>
            <w:r w:rsidRPr="00A621FC">
              <w:rPr>
                <w:b/>
                <w:color w:val="FFFFFF" w:themeColor="background1"/>
                <w:lang w:eastAsia="en-GB"/>
              </w:rPr>
              <w:t>Indicator</w:t>
            </w:r>
            <w:r>
              <w:rPr>
                <w:b/>
                <w:color w:val="FFFFFF" w:themeColor="background1"/>
                <w:lang w:eastAsia="en-GB"/>
              </w:rPr>
              <w:t xml:space="preserve"> 3b</w:t>
            </w:r>
          </w:p>
        </w:tc>
      </w:tr>
      <w:tr w:rsidR="0013071F" w:rsidRPr="00A621FC" w:rsidTr="00991F88">
        <w:tc>
          <w:tcPr>
            <w:tcW w:w="1762" w:type="pct"/>
          </w:tcPr>
          <w:p w:rsidR="0013071F" w:rsidRPr="00A621FC" w:rsidRDefault="0013071F" w:rsidP="006A0823">
            <w:pPr>
              <w:rPr>
                <w:b/>
                <w:lang w:eastAsia="en-GB"/>
              </w:rPr>
            </w:pPr>
            <w:r w:rsidRPr="00A621FC">
              <w:rPr>
                <w:b/>
                <w:lang w:eastAsia="en-GB"/>
              </w:rPr>
              <w:t>Indicator name</w:t>
            </w:r>
          </w:p>
        </w:tc>
        <w:tc>
          <w:tcPr>
            <w:tcW w:w="3238" w:type="pct"/>
          </w:tcPr>
          <w:p w:rsidR="0013071F" w:rsidRPr="00A621FC" w:rsidRDefault="0013071F" w:rsidP="006A0823">
            <w:pPr>
              <w:rPr>
                <w:lang w:eastAsia="en-GB"/>
              </w:rPr>
            </w:pPr>
            <w:r w:rsidRPr="00A621FC">
              <w:rPr>
                <w:lang w:eastAsia="en-GB"/>
              </w:rPr>
              <w:t>Collaboration with primary care clinicians.</w:t>
            </w:r>
          </w:p>
        </w:tc>
      </w:tr>
      <w:tr w:rsidR="0013071F" w:rsidRPr="00A621FC" w:rsidTr="00991F88">
        <w:tc>
          <w:tcPr>
            <w:tcW w:w="1762" w:type="pct"/>
          </w:tcPr>
          <w:p w:rsidR="0013071F" w:rsidRPr="00A621FC" w:rsidRDefault="0013071F" w:rsidP="006A0823">
            <w:pPr>
              <w:rPr>
                <w:b/>
                <w:lang w:eastAsia="en-GB"/>
              </w:rPr>
            </w:pPr>
            <w:r w:rsidRPr="00A621FC">
              <w:rPr>
                <w:b/>
                <w:lang w:eastAsia="en-GB"/>
              </w:rPr>
              <w:t xml:space="preserve">Indicator weighting </w:t>
            </w:r>
            <w:r w:rsidRPr="00A621FC">
              <w:rPr>
                <w:b/>
                <w:lang w:eastAsia="en-GB"/>
              </w:rPr>
              <w:br/>
              <w:t>(% of CQUIN scheme available)</w:t>
            </w:r>
          </w:p>
        </w:tc>
        <w:tc>
          <w:tcPr>
            <w:tcW w:w="3238" w:type="pct"/>
          </w:tcPr>
          <w:p w:rsidR="0013071F" w:rsidRPr="00A621FC" w:rsidRDefault="0013071F" w:rsidP="006A0823">
            <w:pPr>
              <w:rPr>
                <w:lang w:eastAsia="en-GB"/>
              </w:rPr>
            </w:pPr>
            <w:r w:rsidRPr="00A621FC">
              <w:rPr>
                <w:lang w:eastAsia="en-GB"/>
              </w:rPr>
              <w:t>20% of 0.25% (0.05%)</w:t>
            </w:r>
          </w:p>
        </w:tc>
      </w:tr>
      <w:tr w:rsidR="0013071F" w:rsidRPr="00A621FC" w:rsidTr="00991F88">
        <w:tc>
          <w:tcPr>
            <w:tcW w:w="1762" w:type="pct"/>
          </w:tcPr>
          <w:p w:rsidR="0013071F" w:rsidRPr="00A621FC" w:rsidRDefault="0013071F" w:rsidP="006A0823">
            <w:pPr>
              <w:rPr>
                <w:b/>
                <w:lang w:eastAsia="en-GB"/>
              </w:rPr>
            </w:pPr>
            <w:r w:rsidRPr="00A621FC">
              <w:rPr>
                <w:b/>
                <w:lang w:eastAsia="en-GB"/>
              </w:rPr>
              <w:t>Description of indicator</w:t>
            </w:r>
          </w:p>
        </w:tc>
        <w:tc>
          <w:tcPr>
            <w:tcW w:w="3238" w:type="pct"/>
          </w:tcPr>
          <w:p w:rsidR="0013071F" w:rsidRPr="00A621FC" w:rsidRDefault="0013071F" w:rsidP="006A0823">
            <w:pPr>
              <w:rPr>
                <w:lang w:eastAsia="en-GB"/>
              </w:rPr>
            </w:pPr>
            <w:r w:rsidRPr="00A621FC">
              <w:rPr>
                <w:lang w:eastAsia="en-GB"/>
              </w:rPr>
              <w:t xml:space="preserve">90% of patients to have </w:t>
            </w:r>
            <w:proofErr w:type="gramStart"/>
            <w:r w:rsidRPr="00A621FC">
              <w:rPr>
                <w:lang w:eastAsia="en-GB"/>
              </w:rPr>
              <w:t>either an</w:t>
            </w:r>
            <w:proofErr w:type="gramEnd"/>
            <w:r w:rsidRPr="00A621FC">
              <w:rPr>
                <w:lang w:eastAsia="en-GB"/>
              </w:rPr>
              <w:t xml:space="preserve"> up to date CPA (care programme approach), care plan or a comprehensive discharge summary shared with their GP. A local audit of communications should be completed.</w:t>
            </w:r>
          </w:p>
        </w:tc>
      </w:tr>
      <w:tr w:rsidR="0013071F" w:rsidRPr="00A621FC" w:rsidTr="00991F88">
        <w:tc>
          <w:tcPr>
            <w:tcW w:w="1762" w:type="pct"/>
          </w:tcPr>
          <w:p w:rsidR="0013071F" w:rsidRPr="00A621FC" w:rsidRDefault="0013071F" w:rsidP="006A0823">
            <w:pPr>
              <w:rPr>
                <w:b/>
                <w:lang w:eastAsia="en-GB"/>
              </w:rPr>
            </w:pPr>
            <w:r w:rsidRPr="00A621FC">
              <w:rPr>
                <w:b/>
                <w:lang w:eastAsia="en-GB"/>
              </w:rPr>
              <w:t>Numerator</w:t>
            </w:r>
          </w:p>
        </w:tc>
        <w:tc>
          <w:tcPr>
            <w:tcW w:w="3238" w:type="pct"/>
          </w:tcPr>
          <w:p w:rsidR="0013071F" w:rsidRPr="00B47AC3" w:rsidRDefault="0013071F" w:rsidP="006A0823">
            <w:pPr>
              <w:rPr>
                <w:rFonts w:cs="Arial"/>
                <w:bCs w:val="0"/>
              </w:rPr>
            </w:pPr>
            <w:r w:rsidRPr="00B47AC3">
              <w:rPr>
                <w:rFonts w:cs="Arial"/>
              </w:rPr>
              <w:t xml:space="preserve">The number of patients in the audit sample for whom the </w:t>
            </w:r>
            <w:r>
              <w:rPr>
                <w:rFonts w:cs="Arial"/>
              </w:rPr>
              <w:t xml:space="preserve">mental health provider has provided to the GP* </w:t>
            </w:r>
            <w:r w:rsidRPr="00B47AC3">
              <w:rPr>
                <w:rFonts w:cs="Arial"/>
              </w:rPr>
              <w:t>an up-to-date copy of the patient’s care plan/CPA review letter or a discharge summary which sets out details of all of the following:</w:t>
            </w:r>
          </w:p>
          <w:p w:rsidR="0013071F" w:rsidRPr="00B47AC3" w:rsidRDefault="0013071F" w:rsidP="006A0823">
            <w:pPr>
              <w:numPr>
                <w:ilvl w:val="1"/>
                <w:numId w:val="35"/>
              </w:numPr>
              <w:ind w:left="720"/>
              <w:contextualSpacing/>
              <w:rPr>
                <w:rFonts w:cs="Arial"/>
                <w:bCs w:val="0"/>
              </w:rPr>
            </w:pPr>
            <w:r w:rsidRPr="00B47AC3">
              <w:rPr>
                <w:rFonts w:cs="Arial"/>
              </w:rPr>
              <w:t>NHS number</w:t>
            </w:r>
          </w:p>
          <w:p w:rsidR="0013071F" w:rsidRPr="00B47AC3" w:rsidRDefault="0013071F" w:rsidP="006A0823">
            <w:pPr>
              <w:numPr>
                <w:ilvl w:val="1"/>
                <w:numId w:val="35"/>
              </w:numPr>
              <w:ind w:left="720"/>
              <w:contextualSpacing/>
              <w:rPr>
                <w:rFonts w:cs="Arial"/>
                <w:bCs w:val="0"/>
              </w:rPr>
            </w:pPr>
            <w:r w:rsidRPr="00B47AC3">
              <w:rPr>
                <w:rFonts w:cs="Arial"/>
              </w:rPr>
              <w:t>All primary and secondary mental and physical health diagnoses</w:t>
            </w:r>
          </w:p>
          <w:p w:rsidR="0013071F" w:rsidRDefault="0013071F" w:rsidP="006A0823">
            <w:pPr>
              <w:numPr>
                <w:ilvl w:val="1"/>
                <w:numId w:val="35"/>
              </w:numPr>
              <w:ind w:left="720"/>
              <w:contextualSpacing/>
              <w:rPr>
                <w:rFonts w:cs="Arial"/>
                <w:bCs w:val="0"/>
              </w:rPr>
            </w:pPr>
            <w:r w:rsidRPr="001E71FC">
              <w:rPr>
                <w:rFonts w:cs="Arial"/>
              </w:rPr>
              <w:t>Medications prescribed and recommendations (</w:t>
            </w:r>
            <w:r>
              <w:rPr>
                <w:rFonts w:cs="Arial"/>
              </w:rPr>
              <w:t>including</w:t>
            </w:r>
            <w:r w:rsidRPr="001E71FC">
              <w:rPr>
                <w:rFonts w:cs="Arial"/>
              </w:rPr>
              <w:t xml:space="preserve"> duration and/or review, ongoing monitoring requirements, advice on starting, discontinuing or changing medication).</w:t>
            </w:r>
          </w:p>
          <w:p w:rsidR="0013071F" w:rsidRPr="00CB14CF" w:rsidRDefault="0013071F" w:rsidP="006A0823">
            <w:pPr>
              <w:numPr>
                <w:ilvl w:val="1"/>
                <w:numId w:val="35"/>
              </w:numPr>
              <w:ind w:left="720"/>
              <w:contextualSpacing/>
              <w:rPr>
                <w:rFonts w:cs="Arial"/>
                <w:bCs w:val="0"/>
              </w:rPr>
            </w:pPr>
            <w:r w:rsidRPr="00425C8B">
              <w:rPr>
                <w:rFonts w:cs="Arial"/>
              </w:rPr>
              <w:t>Ongoing</w:t>
            </w:r>
            <w:r>
              <w:rPr>
                <w:rFonts w:cs="Arial"/>
              </w:rPr>
              <w:t xml:space="preserve"> </w:t>
            </w:r>
            <w:r w:rsidRPr="00425C8B">
              <w:rPr>
                <w:rFonts w:cs="Arial"/>
              </w:rPr>
              <w:t>monitoring and</w:t>
            </w:r>
            <w:r>
              <w:rPr>
                <w:rFonts w:cs="Arial"/>
              </w:rPr>
              <w:t>/or</w:t>
            </w:r>
            <w:r w:rsidRPr="00425C8B">
              <w:rPr>
                <w:rFonts w:cs="Arial"/>
              </w:rPr>
              <w:t xml:space="preserve"> treatment needs for cardio-metabolic risk factors identified</w:t>
            </w:r>
            <w:r>
              <w:rPr>
                <w:rFonts w:cs="Arial"/>
              </w:rPr>
              <w:t xml:space="preserve">, as per the Lester Tool. </w:t>
            </w:r>
          </w:p>
          <w:p w:rsidR="0013071F" w:rsidRDefault="0013071F" w:rsidP="006A0823">
            <w:pPr>
              <w:numPr>
                <w:ilvl w:val="1"/>
                <w:numId w:val="35"/>
              </w:numPr>
              <w:ind w:left="720"/>
              <w:contextualSpacing/>
              <w:rPr>
                <w:rFonts w:cs="Arial"/>
                <w:bCs w:val="0"/>
              </w:rPr>
            </w:pPr>
            <w:r>
              <w:rPr>
                <w:rFonts w:cs="Arial"/>
              </w:rPr>
              <w:t>Care p</w:t>
            </w:r>
            <w:r w:rsidRPr="00B47AC3">
              <w:rPr>
                <w:rFonts w:cs="Arial"/>
              </w:rPr>
              <w:t>lan or discharge plan</w:t>
            </w:r>
          </w:p>
          <w:p w:rsidR="0013071F" w:rsidRDefault="0013071F" w:rsidP="006A0823">
            <w:pPr>
              <w:pStyle w:val="ListParagraph"/>
              <w:rPr>
                <w:rFonts w:cs="Arial"/>
                <w:bCs w:val="0"/>
              </w:rPr>
            </w:pPr>
          </w:p>
          <w:p w:rsidR="0013071F" w:rsidRPr="00EE790B" w:rsidRDefault="0013071F" w:rsidP="006A0823">
            <w:pPr>
              <w:rPr>
                <w:rFonts w:cs="Arial"/>
              </w:rPr>
            </w:pPr>
            <w:r w:rsidRPr="00EE790B">
              <w:rPr>
                <w:rFonts w:cs="Arial"/>
              </w:rPr>
              <w:t>*To take place within the following time periods:</w:t>
            </w:r>
          </w:p>
          <w:p w:rsidR="0013071F" w:rsidRPr="00EE790B" w:rsidRDefault="0013071F" w:rsidP="00DF18AB">
            <w:pPr>
              <w:pStyle w:val="ListParagraph"/>
              <w:numPr>
                <w:ilvl w:val="0"/>
                <w:numId w:val="97"/>
              </w:numPr>
              <w:rPr>
                <w:rFonts w:cs="Arial"/>
                <w:szCs w:val="24"/>
              </w:rPr>
            </w:pPr>
            <w:r w:rsidRPr="00EE790B">
              <w:rPr>
                <w:rFonts w:cs="Arial"/>
                <w:szCs w:val="24"/>
              </w:rPr>
              <w:t xml:space="preserve">Within </w:t>
            </w:r>
            <w:r>
              <w:rPr>
                <w:rFonts w:cs="Arial"/>
                <w:szCs w:val="24"/>
              </w:rPr>
              <w:t xml:space="preserve">48 hours </w:t>
            </w:r>
            <w:r w:rsidRPr="00EE790B">
              <w:rPr>
                <w:rFonts w:cs="Arial"/>
                <w:szCs w:val="24"/>
              </w:rPr>
              <w:t xml:space="preserve">for patients discharged as inpatients </w:t>
            </w:r>
          </w:p>
          <w:p w:rsidR="0013071F" w:rsidRPr="00917125" w:rsidRDefault="0013071F" w:rsidP="00DF18AB">
            <w:pPr>
              <w:pStyle w:val="ListParagraph"/>
              <w:numPr>
                <w:ilvl w:val="0"/>
                <w:numId w:val="97"/>
              </w:numPr>
              <w:rPr>
                <w:rFonts w:cs="Arial"/>
                <w:szCs w:val="24"/>
              </w:rPr>
            </w:pPr>
            <w:r w:rsidRPr="00EE790B">
              <w:rPr>
                <w:rFonts w:cs="Arial"/>
                <w:szCs w:val="24"/>
              </w:rPr>
              <w:t xml:space="preserve">Within </w:t>
            </w:r>
            <w:r w:rsidRPr="004E5245">
              <w:rPr>
                <w:rFonts w:cs="Arial"/>
                <w:szCs w:val="24"/>
              </w:rPr>
              <w:t>2 weeks</w:t>
            </w:r>
            <w:r w:rsidRPr="00EE790B">
              <w:rPr>
                <w:rFonts w:cs="Arial"/>
                <w:szCs w:val="24"/>
              </w:rPr>
              <w:t xml:space="preserve"> for patients on CPA</w:t>
            </w:r>
            <w:r w:rsidRPr="00917125">
              <w:rPr>
                <w:rFonts w:cs="Arial"/>
                <w:highlight w:val="yellow"/>
              </w:rPr>
              <w:t xml:space="preserve"> </w:t>
            </w:r>
          </w:p>
        </w:tc>
      </w:tr>
      <w:tr w:rsidR="0013071F" w:rsidRPr="00A621FC" w:rsidTr="00991F88">
        <w:tc>
          <w:tcPr>
            <w:tcW w:w="1762" w:type="pct"/>
          </w:tcPr>
          <w:p w:rsidR="0013071F" w:rsidRPr="00A621FC" w:rsidRDefault="0013071F" w:rsidP="006A0823">
            <w:pPr>
              <w:rPr>
                <w:b/>
                <w:lang w:eastAsia="en-GB"/>
              </w:rPr>
            </w:pPr>
            <w:r w:rsidRPr="00A621FC">
              <w:rPr>
                <w:b/>
                <w:lang w:eastAsia="en-GB"/>
              </w:rPr>
              <w:t>Denominator</w:t>
            </w:r>
          </w:p>
        </w:tc>
        <w:tc>
          <w:tcPr>
            <w:tcW w:w="3238" w:type="pct"/>
          </w:tcPr>
          <w:p w:rsidR="0013071F" w:rsidRPr="00917125" w:rsidRDefault="0013071F" w:rsidP="006A0823">
            <w:pPr>
              <w:rPr>
                <w:rFonts w:cs="Arial"/>
                <w:bCs w:val="0"/>
              </w:rPr>
            </w:pPr>
            <w:r w:rsidRPr="004E5245">
              <w:rPr>
                <w:rFonts w:cs="Arial"/>
              </w:rPr>
              <w:t>Patients within the defined audit sample who are subject to the CPA, and who have been under the care of the mental health provider for at least 12 months at the time of the defined audit period.</w:t>
            </w:r>
          </w:p>
        </w:tc>
      </w:tr>
      <w:tr w:rsidR="0013071F" w:rsidRPr="00A621FC" w:rsidTr="00991F88">
        <w:tc>
          <w:tcPr>
            <w:tcW w:w="1762" w:type="pct"/>
          </w:tcPr>
          <w:p w:rsidR="0013071F" w:rsidRPr="00A621FC" w:rsidRDefault="0013071F" w:rsidP="006A0823">
            <w:pPr>
              <w:rPr>
                <w:b/>
                <w:lang w:eastAsia="en-GB"/>
              </w:rPr>
            </w:pPr>
            <w:r w:rsidRPr="00A621FC">
              <w:rPr>
                <w:b/>
                <w:lang w:eastAsia="en-GB"/>
              </w:rPr>
              <w:t>Rationale for inclusion</w:t>
            </w:r>
          </w:p>
        </w:tc>
        <w:tc>
          <w:tcPr>
            <w:tcW w:w="3238" w:type="pct"/>
          </w:tcPr>
          <w:p w:rsidR="0013071F" w:rsidRDefault="0013071F" w:rsidP="006A0823">
            <w:pPr>
              <w:keepNext/>
              <w:contextualSpacing/>
              <w:rPr>
                <w:rFonts w:cs="Arial"/>
                <w:bCs w:val="0"/>
                <w:color w:val="000000"/>
              </w:rPr>
            </w:pPr>
            <w:r w:rsidRPr="00EE790B">
              <w:rPr>
                <w:rFonts w:cs="Arial"/>
                <w:color w:val="000000"/>
              </w:rPr>
              <w:t xml:space="preserve">With over 490,000 people with SMI registered with a GP, it is important to </w:t>
            </w:r>
            <w:r>
              <w:rPr>
                <w:rFonts w:cs="Arial"/>
                <w:color w:val="000000"/>
              </w:rPr>
              <w:t>ensure</w:t>
            </w:r>
            <w:r w:rsidRPr="00EE790B">
              <w:rPr>
                <w:rFonts w:cs="Arial"/>
                <w:color w:val="000000"/>
              </w:rPr>
              <w:t xml:space="preserve"> a stronger emphasis on collaboration and communication </w:t>
            </w:r>
            <w:r>
              <w:rPr>
                <w:rFonts w:cs="Arial"/>
                <w:color w:val="000000"/>
              </w:rPr>
              <w:t xml:space="preserve">between </w:t>
            </w:r>
            <w:r w:rsidRPr="00EE790B">
              <w:rPr>
                <w:rFonts w:cs="Arial"/>
                <w:color w:val="000000"/>
              </w:rPr>
              <w:t xml:space="preserve">primary </w:t>
            </w:r>
            <w:r>
              <w:rPr>
                <w:rFonts w:cs="Arial"/>
                <w:color w:val="000000"/>
              </w:rPr>
              <w:t>and secondary care. This is necessary</w:t>
            </w:r>
            <w:r w:rsidRPr="00EE790B">
              <w:rPr>
                <w:rFonts w:cs="Arial"/>
                <w:color w:val="000000"/>
              </w:rPr>
              <w:t xml:space="preserve"> given that in the long</w:t>
            </w:r>
            <w:r>
              <w:rPr>
                <w:rFonts w:cs="Arial"/>
                <w:color w:val="000000"/>
              </w:rPr>
              <w:t>er</w:t>
            </w:r>
            <w:r w:rsidRPr="00EE790B">
              <w:rPr>
                <w:rFonts w:cs="Arial"/>
                <w:color w:val="000000"/>
              </w:rPr>
              <w:t xml:space="preserve"> term </w:t>
            </w:r>
            <w:r>
              <w:rPr>
                <w:rFonts w:cs="Arial"/>
                <w:color w:val="000000"/>
              </w:rPr>
              <w:t xml:space="preserve">and certainly following discharge from secondary care, </w:t>
            </w:r>
            <w:r w:rsidRPr="00EE790B">
              <w:rPr>
                <w:rFonts w:cs="Arial"/>
                <w:color w:val="000000"/>
              </w:rPr>
              <w:t xml:space="preserve">people </w:t>
            </w:r>
            <w:r>
              <w:rPr>
                <w:rFonts w:cs="Arial"/>
                <w:color w:val="000000"/>
              </w:rPr>
              <w:t xml:space="preserve">with SMI </w:t>
            </w:r>
            <w:r w:rsidRPr="00EE790B">
              <w:rPr>
                <w:rFonts w:cs="Arial"/>
                <w:color w:val="000000"/>
              </w:rPr>
              <w:t xml:space="preserve">should be supported to manage their health within primary care.   </w:t>
            </w:r>
            <w:r>
              <w:rPr>
                <w:rFonts w:cs="Arial"/>
                <w:color w:val="000000"/>
              </w:rPr>
              <w:t xml:space="preserve">  </w:t>
            </w:r>
          </w:p>
          <w:p w:rsidR="0013071F" w:rsidRDefault="0013071F" w:rsidP="006A0823">
            <w:pPr>
              <w:keepNext/>
              <w:rPr>
                <w:rFonts w:cs="Arial"/>
                <w:bCs w:val="0"/>
                <w:color w:val="000000"/>
              </w:rPr>
            </w:pPr>
          </w:p>
          <w:p w:rsidR="0013071F" w:rsidRDefault="0013071F" w:rsidP="006A0823">
            <w:pPr>
              <w:keepNext/>
              <w:rPr>
                <w:rFonts w:cs="Arial"/>
                <w:bCs w:val="0"/>
                <w:color w:val="000000"/>
              </w:rPr>
            </w:pPr>
            <w:r w:rsidRPr="00B47AC3">
              <w:rPr>
                <w:rFonts w:cs="Arial"/>
                <w:color w:val="000000"/>
              </w:rPr>
              <w:t xml:space="preserve">Appropriate sharing </w:t>
            </w:r>
            <w:r>
              <w:rPr>
                <w:rFonts w:cs="Arial"/>
                <w:color w:val="000000"/>
              </w:rPr>
              <w:t xml:space="preserve">and exchanging </w:t>
            </w:r>
            <w:r w:rsidRPr="00B47AC3">
              <w:rPr>
                <w:rFonts w:cs="Arial"/>
                <w:color w:val="000000"/>
              </w:rPr>
              <w:t xml:space="preserve">of information between practitioners about diagnosed physical and mental health conditions is essential for safe </w:t>
            </w:r>
            <w:r w:rsidRPr="00B47AC3">
              <w:rPr>
                <w:rFonts w:cs="Arial"/>
                <w:color w:val="000000"/>
              </w:rPr>
              <w:lastRenderedPageBreak/>
              <w:t>practice. The rationale for this CQUIN is to ensure essential information needed for safe and effective care of patients who are also seen by secondary care mental health services is communicated to primary care professionals.</w:t>
            </w:r>
          </w:p>
          <w:p w:rsidR="0013071F" w:rsidRDefault="0013071F" w:rsidP="006A0823">
            <w:pPr>
              <w:keepNext/>
              <w:rPr>
                <w:rFonts w:cs="Arial"/>
                <w:bCs w:val="0"/>
                <w:color w:val="000000"/>
              </w:rPr>
            </w:pPr>
          </w:p>
          <w:p w:rsidR="0013071F" w:rsidRPr="00917125" w:rsidRDefault="0013071F" w:rsidP="006A0823">
            <w:pPr>
              <w:keepNext/>
              <w:rPr>
                <w:rFonts w:cs="Arial"/>
                <w:bCs w:val="0"/>
                <w:color w:val="000000"/>
              </w:rPr>
            </w:pPr>
            <w:r>
              <w:rPr>
                <w:rFonts w:cs="Arial"/>
                <w:color w:val="000000"/>
              </w:rPr>
              <w:t>Building on the developments made across England to improve communications between primary and secondary care, the CQUIN addresses further alignment and collaboration. To do this, responsibilities for conducting physical health checks and the on-going management of physical healthcare should be clearly identified and formalised locally. Electronic systems and infrastructure should continue to evolve to support the transfer of accurate and up to date patient records, making information acces</w:t>
            </w:r>
            <w:r w:rsidRPr="00CB1143">
              <w:rPr>
                <w:rFonts w:cs="Arial"/>
                <w:color w:val="000000"/>
              </w:rPr>
              <w:t xml:space="preserve">sible. </w:t>
            </w:r>
            <w:r>
              <w:rPr>
                <w:rFonts w:cs="Arial"/>
                <w:color w:val="000000"/>
              </w:rPr>
              <w:t>By the end of</w:t>
            </w:r>
            <w:r w:rsidRPr="00A763C8">
              <w:rPr>
                <w:rFonts w:cs="Arial"/>
                <w:color w:val="000000"/>
              </w:rPr>
              <w:t xml:space="preserve"> 2016, NHS England plans to publish national best practice to support secondary and primary care in achieving the above.</w:t>
            </w:r>
            <w:r>
              <w:rPr>
                <w:rFonts w:cs="Arial"/>
                <w:color w:val="000000"/>
              </w:rPr>
              <w:t xml:space="preserve"> </w:t>
            </w:r>
          </w:p>
        </w:tc>
      </w:tr>
      <w:tr w:rsidR="0013071F" w:rsidRPr="00A621FC" w:rsidTr="00991F88">
        <w:tc>
          <w:tcPr>
            <w:tcW w:w="1762" w:type="pct"/>
          </w:tcPr>
          <w:p w:rsidR="0013071F" w:rsidRPr="00A621FC" w:rsidRDefault="0013071F" w:rsidP="006A0823">
            <w:pPr>
              <w:rPr>
                <w:b/>
                <w:lang w:eastAsia="en-GB"/>
              </w:rPr>
            </w:pPr>
            <w:r w:rsidRPr="00A621FC">
              <w:rPr>
                <w:b/>
                <w:lang w:eastAsia="en-GB"/>
              </w:rPr>
              <w:lastRenderedPageBreak/>
              <w:t>Data source</w:t>
            </w:r>
          </w:p>
        </w:tc>
        <w:tc>
          <w:tcPr>
            <w:tcW w:w="3238" w:type="pct"/>
          </w:tcPr>
          <w:p w:rsidR="0013071F" w:rsidRPr="00A621FC" w:rsidRDefault="0013071F" w:rsidP="006A0823">
            <w:pPr>
              <w:rPr>
                <w:lang w:eastAsia="en-GB"/>
              </w:rPr>
            </w:pPr>
            <w:r w:rsidRPr="00B47AC3">
              <w:rPr>
                <w:rFonts w:cs="Arial"/>
                <w:color w:val="000000"/>
              </w:rPr>
              <w:t xml:space="preserve">Internal audit undertaken by </w:t>
            </w:r>
            <w:r>
              <w:rPr>
                <w:rFonts w:cs="Arial"/>
                <w:color w:val="000000"/>
              </w:rPr>
              <w:t xml:space="preserve">mental health </w:t>
            </w:r>
            <w:r w:rsidRPr="00B47AC3">
              <w:rPr>
                <w:rFonts w:cs="Arial"/>
                <w:color w:val="000000"/>
              </w:rPr>
              <w:t>providers</w:t>
            </w:r>
            <w:r>
              <w:rPr>
                <w:rFonts w:cs="Arial"/>
                <w:color w:val="000000"/>
              </w:rPr>
              <w:t>.</w:t>
            </w:r>
          </w:p>
        </w:tc>
      </w:tr>
      <w:tr w:rsidR="0013071F" w:rsidRPr="00A621FC" w:rsidTr="00991F88">
        <w:tc>
          <w:tcPr>
            <w:tcW w:w="1762" w:type="pct"/>
          </w:tcPr>
          <w:p w:rsidR="0013071F" w:rsidRPr="00A621FC" w:rsidRDefault="0013071F" w:rsidP="006A0823">
            <w:pPr>
              <w:rPr>
                <w:b/>
                <w:lang w:eastAsia="en-GB"/>
              </w:rPr>
            </w:pPr>
            <w:r w:rsidRPr="00A621FC">
              <w:rPr>
                <w:b/>
                <w:lang w:eastAsia="en-GB"/>
              </w:rPr>
              <w:t>Frequency of data collection</w:t>
            </w:r>
          </w:p>
        </w:tc>
        <w:tc>
          <w:tcPr>
            <w:tcW w:w="3238" w:type="pct"/>
          </w:tcPr>
          <w:p w:rsidR="0013071F" w:rsidRPr="00A621FC" w:rsidRDefault="0013071F" w:rsidP="006A0823">
            <w:pPr>
              <w:rPr>
                <w:lang w:eastAsia="en-GB"/>
              </w:rPr>
            </w:pPr>
            <w:r>
              <w:rPr>
                <w:rFonts w:cs="Arial"/>
              </w:rPr>
              <w:t xml:space="preserve">Annual audit </w:t>
            </w:r>
          </w:p>
        </w:tc>
      </w:tr>
      <w:tr w:rsidR="0013071F" w:rsidRPr="00A621FC" w:rsidTr="00991F88">
        <w:tc>
          <w:tcPr>
            <w:tcW w:w="1762" w:type="pct"/>
          </w:tcPr>
          <w:p w:rsidR="0013071F" w:rsidRPr="00A621FC" w:rsidRDefault="0013071F" w:rsidP="006A0823">
            <w:pPr>
              <w:rPr>
                <w:b/>
                <w:lang w:eastAsia="en-GB"/>
              </w:rPr>
            </w:pPr>
            <w:r w:rsidRPr="00A621FC">
              <w:rPr>
                <w:b/>
                <w:lang w:eastAsia="en-GB"/>
              </w:rPr>
              <w:t>Organisation responsible for data collection</w:t>
            </w:r>
          </w:p>
        </w:tc>
        <w:tc>
          <w:tcPr>
            <w:tcW w:w="3238" w:type="pct"/>
          </w:tcPr>
          <w:p w:rsidR="0013071F" w:rsidRPr="00A621FC" w:rsidRDefault="0013071F" w:rsidP="006A0823">
            <w:pPr>
              <w:rPr>
                <w:lang w:eastAsia="en-GB"/>
              </w:rPr>
            </w:pPr>
            <w:r w:rsidRPr="00B47AC3">
              <w:rPr>
                <w:rFonts w:cs="Arial"/>
              </w:rPr>
              <w:t>M</w:t>
            </w:r>
            <w:r>
              <w:rPr>
                <w:rFonts w:cs="Arial"/>
              </w:rPr>
              <w:t>ental health</w:t>
            </w:r>
            <w:r w:rsidRPr="00B47AC3">
              <w:rPr>
                <w:rFonts w:cs="Arial"/>
              </w:rPr>
              <w:t xml:space="preserve"> provider</w:t>
            </w:r>
          </w:p>
        </w:tc>
      </w:tr>
      <w:tr w:rsidR="0013071F" w:rsidRPr="00A621FC" w:rsidTr="00991F88">
        <w:tc>
          <w:tcPr>
            <w:tcW w:w="1762" w:type="pct"/>
          </w:tcPr>
          <w:p w:rsidR="0013071F" w:rsidRPr="00A621FC" w:rsidRDefault="0013071F" w:rsidP="006A0823">
            <w:pPr>
              <w:rPr>
                <w:b/>
                <w:lang w:eastAsia="en-GB"/>
              </w:rPr>
            </w:pPr>
            <w:r w:rsidRPr="00A621FC">
              <w:rPr>
                <w:b/>
                <w:lang w:eastAsia="en-GB"/>
              </w:rPr>
              <w:t>Frequency of reporting to commissioner</w:t>
            </w:r>
          </w:p>
        </w:tc>
        <w:tc>
          <w:tcPr>
            <w:tcW w:w="3238" w:type="pct"/>
          </w:tcPr>
          <w:p w:rsidR="0013071F" w:rsidRPr="00A621FC" w:rsidRDefault="0013071F" w:rsidP="006A0823">
            <w:pPr>
              <w:rPr>
                <w:lang w:eastAsia="en-GB"/>
              </w:rPr>
            </w:pPr>
            <w:r w:rsidRPr="00B47AC3">
              <w:rPr>
                <w:rFonts w:cs="Arial"/>
              </w:rPr>
              <w:t xml:space="preserve">Results of local audit required to be reported to </w:t>
            </w:r>
            <w:r>
              <w:rPr>
                <w:rFonts w:cs="Arial"/>
              </w:rPr>
              <w:t>local commissioners in Quarter 4</w:t>
            </w:r>
            <w:r>
              <w:t xml:space="preserve"> </w:t>
            </w:r>
            <w:r>
              <w:rPr>
                <w:rFonts w:cs="Arial"/>
              </w:rPr>
              <w:t>of both 2017/18 and 2018/</w:t>
            </w:r>
            <w:r w:rsidRPr="00EE790B">
              <w:rPr>
                <w:rFonts w:cs="Arial"/>
              </w:rPr>
              <w:t>19.</w:t>
            </w:r>
          </w:p>
        </w:tc>
      </w:tr>
      <w:tr w:rsidR="0013071F" w:rsidRPr="00A621FC" w:rsidTr="00991F88">
        <w:tc>
          <w:tcPr>
            <w:tcW w:w="1762" w:type="pct"/>
          </w:tcPr>
          <w:p w:rsidR="0013071F" w:rsidRPr="00A621FC" w:rsidRDefault="0013071F" w:rsidP="006A0823">
            <w:pPr>
              <w:rPr>
                <w:b/>
                <w:lang w:eastAsia="en-GB"/>
              </w:rPr>
            </w:pPr>
            <w:r w:rsidRPr="00A621FC">
              <w:rPr>
                <w:b/>
                <w:lang w:eastAsia="en-GB"/>
              </w:rPr>
              <w:t>Baseline period/date</w:t>
            </w:r>
          </w:p>
        </w:tc>
        <w:tc>
          <w:tcPr>
            <w:tcW w:w="3238" w:type="pct"/>
          </w:tcPr>
          <w:p w:rsidR="0013071F" w:rsidRPr="00A621FC" w:rsidRDefault="0013071F" w:rsidP="006A0823">
            <w:pPr>
              <w:rPr>
                <w:lang w:eastAsia="en-GB"/>
              </w:rPr>
            </w:pPr>
            <w:r w:rsidRPr="00B47AC3">
              <w:rPr>
                <w:rFonts w:cs="Arial"/>
              </w:rPr>
              <w:t>Not applicable</w:t>
            </w:r>
          </w:p>
        </w:tc>
      </w:tr>
      <w:tr w:rsidR="0013071F" w:rsidRPr="00A621FC" w:rsidTr="00991F88">
        <w:tc>
          <w:tcPr>
            <w:tcW w:w="1762" w:type="pct"/>
          </w:tcPr>
          <w:p w:rsidR="0013071F" w:rsidRPr="00A621FC" w:rsidRDefault="0013071F" w:rsidP="006A0823">
            <w:pPr>
              <w:rPr>
                <w:b/>
                <w:lang w:eastAsia="en-GB"/>
              </w:rPr>
            </w:pPr>
            <w:r w:rsidRPr="00A621FC">
              <w:rPr>
                <w:b/>
                <w:lang w:eastAsia="en-GB"/>
              </w:rPr>
              <w:t>Baseline value</w:t>
            </w:r>
          </w:p>
        </w:tc>
        <w:tc>
          <w:tcPr>
            <w:tcW w:w="3238" w:type="pct"/>
          </w:tcPr>
          <w:p w:rsidR="0013071F" w:rsidRPr="00A621FC" w:rsidRDefault="0013071F" w:rsidP="006A0823">
            <w:pPr>
              <w:rPr>
                <w:lang w:eastAsia="en-GB"/>
              </w:rPr>
            </w:pPr>
            <w:r w:rsidRPr="00B47AC3">
              <w:rPr>
                <w:rFonts w:cs="Arial"/>
              </w:rPr>
              <w:t>Not applicable</w:t>
            </w:r>
          </w:p>
        </w:tc>
      </w:tr>
      <w:tr w:rsidR="0013071F" w:rsidRPr="00A621FC" w:rsidTr="00991F88">
        <w:tc>
          <w:tcPr>
            <w:tcW w:w="1762" w:type="pct"/>
          </w:tcPr>
          <w:p w:rsidR="0013071F" w:rsidRPr="00A621FC" w:rsidRDefault="0013071F" w:rsidP="006A0823">
            <w:pPr>
              <w:rPr>
                <w:b/>
                <w:lang w:eastAsia="en-GB"/>
              </w:rPr>
            </w:pPr>
            <w:r w:rsidRPr="00A621FC">
              <w:rPr>
                <w:b/>
                <w:lang w:eastAsia="en-GB"/>
              </w:rPr>
              <w:t>Final indicator period/date (on which payment is based)</w:t>
            </w:r>
          </w:p>
        </w:tc>
        <w:tc>
          <w:tcPr>
            <w:tcW w:w="3238" w:type="pct"/>
          </w:tcPr>
          <w:p w:rsidR="0013071F" w:rsidRPr="00A621FC" w:rsidRDefault="0013071F" w:rsidP="006A0823">
            <w:pPr>
              <w:rPr>
                <w:lang w:eastAsia="en-GB"/>
              </w:rPr>
            </w:pPr>
            <w:r>
              <w:rPr>
                <w:rFonts w:cs="Arial"/>
              </w:rPr>
              <w:t>Quarter 3 of both 2017/18 and 2018/19.</w:t>
            </w:r>
          </w:p>
        </w:tc>
      </w:tr>
      <w:tr w:rsidR="0013071F" w:rsidRPr="00A621FC" w:rsidTr="00991F88">
        <w:tc>
          <w:tcPr>
            <w:tcW w:w="1762" w:type="pct"/>
          </w:tcPr>
          <w:p w:rsidR="0013071F" w:rsidRPr="00A621FC" w:rsidRDefault="0013071F" w:rsidP="006A0823">
            <w:pPr>
              <w:rPr>
                <w:b/>
                <w:lang w:eastAsia="en-GB"/>
              </w:rPr>
            </w:pPr>
            <w:r w:rsidRPr="00A621FC">
              <w:rPr>
                <w:b/>
                <w:lang w:eastAsia="en-GB"/>
              </w:rPr>
              <w:t>Final indicator value (payment threshold)</w:t>
            </w:r>
          </w:p>
        </w:tc>
        <w:tc>
          <w:tcPr>
            <w:tcW w:w="3238" w:type="pct"/>
          </w:tcPr>
          <w:p w:rsidR="0013071F" w:rsidRPr="00A621FC" w:rsidRDefault="0013071F" w:rsidP="006A0823">
            <w:pPr>
              <w:rPr>
                <w:lang w:eastAsia="en-GB"/>
              </w:rPr>
            </w:pPr>
            <w:r w:rsidRPr="00B47AC3">
              <w:rPr>
                <w:rFonts w:cs="Arial"/>
              </w:rPr>
              <w:t>90.0%</w:t>
            </w:r>
          </w:p>
        </w:tc>
      </w:tr>
      <w:tr w:rsidR="0013071F" w:rsidRPr="00A621FC" w:rsidTr="00991F88">
        <w:tc>
          <w:tcPr>
            <w:tcW w:w="1762" w:type="pct"/>
          </w:tcPr>
          <w:p w:rsidR="0013071F" w:rsidRPr="00A621FC" w:rsidRDefault="0013071F" w:rsidP="006A0823">
            <w:pPr>
              <w:rPr>
                <w:b/>
                <w:lang w:eastAsia="en-GB"/>
              </w:rPr>
            </w:pPr>
            <w:r w:rsidRPr="00A621FC">
              <w:rPr>
                <w:b/>
                <w:lang w:eastAsia="en-GB"/>
              </w:rPr>
              <w:t>Final indicator reporting date</w:t>
            </w:r>
          </w:p>
        </w:tc>
        <w:tc>
          <w:tcPr>
            <w:tcW w:w="3238" w:type="pct"/>
          </w:tcPr>
          <w:p w:rsidR="0013071F" w:rsidRPr="00A621FC" w:rsidRDefault="0013071F" w:rsidP="006A0823">
            <w:pPr>
              <w:rPr>
                <w:lang w:eastAsia="en-GB"/>
              </w:rPr>
            </w:pPr>
            <w:r w:rsidRPr="002635E9">
              <w:rPr>
                <w:rFonts w:cs="Arial"/>
              </w:rPr>
              <w:t xml:space="preserve">30 March 2018 and </w:t>
            </w:r>
            <w:r>
              <w:rPr>
                <w:rFonts w:cs="Arial"/>
              </w:rPr>
              <w:t>29</w:t>
            </w:r>
            <w:r w:rsidRPr="002635E9">
              <w:rPr>
                <w:rFonts w:cs="Arial"/>
              </w:rPr>
              <w:t xml:space="preserve"> March 2019</w:t>
            </w:r>
          </w:p>
        </w:tc>
      </w:tr>
      <w:tr w:rsidR="0013071F" w:rsidRPr="00A621FC" w:rsidTr="00991F88">
        <w:tc>
          <w:tcPr>
            <w:tcW w:w="1762" w:type="pct"/>
          </w:tcPr>
          <w:p w:rsidR="0013071F" w:rsidRPr="00A621FC" w:rsidRDefault="0013071F" w:rsidP="006A0823">
            <w:pPr>
              <w:rPr>
                <w:b/>
                <w:lang w:eastAsia="en-GB"/>
              </w:rPr>
            </w:pPr>
            <w:r w:rsidRPr="00A621FC">
              <w:rPr>
                <w:b/>
                <w:lang w:eastAsia="en-GB"/>
              </w:rPr>
              <w:t>Are there rules for any agreed in-year milestones that result in payment?</w:t>
            </w:r>
          </w:p>
        </w:tc>
        <w:tc>
          <w:tcPr>
            <w:tcW w:w="3238" w:type="pct"/>
          </w:tcPr>
          <w:p w:rsidR="0013071F" w:rsidRPr="002635E9" w:rsidRDefault="0013071F" w:rsidP="006A0823">
            <w:pPr>
              <w:keepNext/>
              <w:contextualSpacing/>
              <w:rPr>
                <w:rFonts w:cs="Arial"/>
                <w:b/>
                <w:bCs w:val="0"/>
              </w:rPr>
            </w:pPr>
            <w:r w:rsidRPr="002635E9">
              <w:rPr>
                <w:rFonts w:eastAsia="Calibri" w:cs="Arial"/>
              </w:rPr>
              <w:t>Yes – see below</w:t>
            </w:r>
          </w:p>
          <w:p w:rsidR="0013071F" w:rsidRPr="000D4435" w:rsidRDefault="0013071F" w:rsidP="006A0823">
            <w:pPr>
              <w:keepNext/>
              <w:contextualSpacing/>
              <w:rPr>
                <w:rFonts w:cs="Arial"/>
                <w:b/>
                <w:bCs w:val="0"/>
                <w:highlight w:val="cyan"/>
              </w:rPr>
            </w:pPr>
          </w:p>
          <w:p w:rsidR="0013071F" w:rsidRPr="000D4435" w:rsidRDefault="0013071F" w:rsidP="006A0823">
            <w:pPr>
              <w:keepNext/>
              <w:contextualSpacing/>
              <w:rPr>
                <w:rFonts w:cs="Arial"/>
                <w:b/>
                <w:bCs w:val="0"/>
                <w:highlight w:val="cyan"/>
              </w:rPr>
            </w:pPr>
          </w:p>
          <w:p w:rsidR="0013071F" w:rsidRPr="00A621FC" w:rsidRDefault="0013071F" w:rsidP="006A0823">
            <w:pPr>
              <w:rPr>
                <w:lang w:eastAsia="en-GB"/>
              </w:rPr>
            </w:pPr>
          </w:p>
        </w:tc>
      </w:tr>
      <w:tr w:rsidR="0013071F" w:rsidRPr="00A621FC" w:rsidTr="00991F88">
        <w:tc>
          <w:tcPr>
            <w:tcW w:w="1762" w:type="pct"/>
          </w:tcPr>
          <w:p w:rsidR="0013071F" w:rsidRPr="00A621FC" w:rsidRDefault="0013071F" w:rsidP="006A0823">
            <w:pPr>
              <w:rPr>
                <w:b/>
                <w:lang w:eastAsia="en-GB"/>
              </w:rPr>
            </w:pPr>
            <w:r w:rsidRPr="00A621FC">
              <w:rPr>
                <w:b/>
                <w:lang w:eastAsia="en-GB"/>
              </w:rPr>
              <w:t>Are there any rules for partial achievement of the indicator at the final indicator period/date?</w:t>
            </w:r>
          </w:p>
        </w:tc>
        <w:tc>
          <w:tcPr>
            <w:tcW w:w="3238" w:type="pct"/>
          </w:tcPr>
          <w:p w:rsidR="0013071F" w:rsidRPr="00A621FC" w:rsidRDefault="0013071F" w:rsidP="006A0823">
            <w:pPr>
              <w:rPr>
                <w:lang w:eastAsia="en-GB"/>
              </w:rPr>
            </w:pPr>
            <w:r w:rsidRPr="002635E9">
              <w:rPr>
                <w:rFonts w:eastAsia="Calibri" w:cs="Arial"/>
              </w:rPr>
              <w:t>Yes – see below</w:t>
            </w:r>
          </w:p>
        </w:tc>
      </w:tr>
      <w:tr w:rsidR="0013071F" w:rsidRPr="00A621FC" w:rsidTr="00991F88">
        <w:tc>
          <w:tcPr>
            <w:tcW w:w="1762" w:type="pct"/>
          </w:tcPr>
          <w:p w:rsidR="0013071F" w:rsidRPr="00A621FC" w:rsidRDefault="0013071F" w:rsidP="006A0823">
            <w:pPr>
              <w:rPr>
                <w:b/>
                <w:lang w:eastAsia="en-GB"/>
              </w:rPr>
            </w:pPr>
            <w:r w:rsidRPr="00A621FC">
              <w:rPr>
                <w:b/>
                <w:lang w:eastAsia="en-GB"/>
              </w:rPr>
              <w:t>EXIT Route</w:t>
            </w:r>
          </w:p>
        </w:tc>
        <w:tc>
          <w:tcPr>
            <w:tcW w:w="3238" w:type="pct"/>
          </w:tcPr>
          <w:p w:rsidR="0013071F" w:rsidRPr="00A621FC" w:rsidRDefault="0013071F" w:rsidP="006A0823">
            <w:pPr>
              <w:rPr>
                <w:lang w:eastAsia="en-GB"/>
              </w:rPr>
            </w:pPr>
            <w:r w:rsidRPr="00B47AC3">
              <w:rPr>
                <w:rFonts w:cs="Arial"/>
                <w:color w:val="000000"/>
              </w:rPr>
              <w:t>To be determined locally</w:t>
            </w:r>
          </w:p>
        </w:tc>
      </w:tr>
    </w:tbl>
    <w:p w:rsidR="0013071F" w:rsidRPr="00A621FC" w:rsidRDefault="0013071F" w:rsidP="0013071F">
      <w:pPr>
        <w:rPr>
          <w:lang w:eastAsia="en-GB"/>
        </w:rPr>
      </w:pPr>
    </w:p>
    <w:p w:rsidR="0013071F" w:rsidRDefault="0013071F" w:rsidP="0013071F">
      <w:pPr>
        <w:pStyle w:val="Heading4"/>
        <w:rPr>
          <w:lang w:eastAsia="en-GB"/>
        </w:rPr>
      </w:pPr>
      <w:r>
        <w:rPr>
          <w:lang w:eastAsia="en-GB"/>
        </w:rPr>
        <w:lastRenderedPageBreak/>
        <w:t>Milestones for indicator 3b</w:t>
      </w:r>
    </w:p>
    <w:p w:rsidR="0013071F" w:rsidRDefault="0013071F" w:rsidP="0013071F">
      <w:pPr>
        <w:rPr>
          <w:lang w:eastAsia="en-GB"/>
        </w:rPr>
      </w:pPr>
    </w:p>
    <w:p w:rsidR="0013071F" w:rsidRDefault="0013071F" w:rsidP="0013071F">
      <w:pPr>
        <w:rPr>
          <w:b/>
          <w:lang w:eastAsia="en-GB"/>
        </w:rPr>
      </w:pPr>
      <w:r w:rsidRPr="00687982">
        <w:rPr>
          <w:b/>
          <w:lang w:eastAsia="en-GB"/>
        </w:rPr>
        <w:t>2017/18</w:t>
      </w:r>
    </w:p>
    <w:p w:rsidR="004842CB" w:rsidRDefault="004842CB" w:rsidP="0013071F">
      <w:pPr>
        <w:rPr>
          <w:b/>
          <w:lang w:eastAsia="en-GB"/>
        </w:rPr>
      </w:pPr>
    </w:p>
    <w:tbl>
      <w:tblPr>
        <w:tblStyle w:val="TableGrid8"/>
        <w:tblW w:w="0" w:type="auto"/>
        <w:tblLook w:val="04A0" w:firstRow="1" w:lastRow="0" w:firstColumn="1" w:lastColumn="0" w:noHBand="0" w:noVBand="1"/>
        <w:tblDescription w:val="Date/period milestone relates to. Rules for achievement of milestones (including evidence to be supplied to commissioner). Date milestone to be reported Milestone weighting (% of CQUIN scheme available)"/>
      </w:tblPr>
      <w:tblGrid>
        <w:gridCol w:w="1951"/>
        <w:gridCol w:w="3402"/>
        <w:gridCol w:w="1843"/>
        <w:gridCol w:w="1336"/>
      </w:tblGrid>
      <w:tr w:rsidR="0013071F" w:rsidRPr="00A00FA3" w:rsidTr="006A0823">
        <w:trPr>
          <w:tblHeader/>
        </w:trPr>
        <w:tc>
          <w:tcPr>
            <w:tcW w:w="1951" w:type="dxa"/>
            <w:shd w:val="clear" w:color="auto" w:fill="0070C0"/>
          </w:tcPr>
          <w:p w:rsidR="0013071F" w:rsidRPr="00A00FA3" w:rsidRDefault="0013071F" w:rsidP="006A0823">
            <w:pPr>
              <w:spacing w:before="20" w:after="20"/>
              <w:jc w:val="center"/>
              <w:rPr>
                <w:b/>
                <w:color w:val="FFFFFF"/>
                <w:szCs w:val="24"/>
                <w:lang w:eastAsia="en-GB"/>
              </w:rPr>
            </w:pPr>
            <w:r w:rsidRPr="00A00FA3">
              <w:rPr>
                <w:b/>
                <w:color w:val="FFFFFF"/>
                <w:szCs w:val="24"/>
                <w:lang w:eastAsia="en-GB"/>
              </w:rPr>
              <w:t>Date/period milestone relates to 2017/18</w:t>
            </w:r>
          </w:p>
        </w:tc>
        <w:tc>
          <w:tcPr>
            <w:tcW w:w="3402" w:type="dxa"/>
            <w:shd w:val="clear" w:color="auto" w:fill="0070C0"/>
          </w:tcPr>
          <w:p w:rsidR="0013071F" w:rsidRPr="00A00FA3" w:rsidRDefault="0013071F" w:rsidP="006A0823">
            <w:pPr>
              <w:spacing w:before="20" w:after="20"/>
              <w:jc w:val="center"/>
              <w:rPr>
                <w:b/>
                <w:color w:val="FFFFFF"/>
                <w:szCs w:val="24"/>
                <w:lang w:eastAsia="en-GB"/>
              </w:rPr>
            </w:pPr>
            <w:r w:rsidRPr="00A00FA3">
              <w:rPr>
                <w:b/>
                <w:color w:val="FFFFFF"/>
                <w:szCs w:val="24"/>
                <w:lang w:eastAsia="en-GB"/>
              </w:rPr>
              <w:t>Rules for achievement of milestones (including evidence to be supplied to commissioner)</w:t>
            </w:r>
          </w:p>
        </w:tc>
        <w:tc>
          <w:tcPr>
            <w:tcW w:w="1843" w:type="dxa"/>
            <w:shd w:val="clear" w:color="auto" w:fill="0070C0"/>
          </w:tcPr>
          <w:p w:rsidR="0013071F" w:rsidRPr="00A00FA3" w:rsidRDefault="0013071F" w:rsidP="006A0823">
            <w:pPr>
              <w:spacing w:before="20" w:after="20"/>
              <w:jc w:val="center"/>
              <w:rPr>
                <w:b/>
                <w:color w:val="FFFFFF"/>
                <w:szCs w:val="24"/>
                <w:lang w:eastAsia="en-GB"/>
              </w:rPr>
            </w:pPr>
            <w:r w:rsidRPr="00A00FA3">
              <w:rPr>
                <w:b/>
                <w:color w:val="FFFFFF"/>
                <w:szCs w:val="24"/>
                <w:lang w:eastAsia="en-GB"/>
              </w:rPr>
              <w:t>Date milestone to be reported</w:t>
            </w:r>
          </w:p>
        </w:tc>
        <w:tc>
          <w:tcPr>
            <w:tcW w:w="1336" w:type="dxa"/>
            <w:shd w:val="clear" w:color="auto" w:fill="0070C0"/>
          </w:tcPr>
          <w:p w:rsidR="0013071F" w:rsidRPr="00A00FA3" w:rsidRDefault="0013071F" w:rsidP="006A0823">
            <w:pPr>
              <w:spacing w:before="20" w:after="20"/>
              <w:jc w:val="center"/>
              <w:rPr>
                <w:b/>
                <w:color w:val="FFFFFF"/>
                <w:szCs w:val="24"/>
                <w:lang w:eastAsia="en-GB"/>
              </w:rPr>
            </w:pPr>
            <w:r w:rsidRPr="00A00FA3">
              <w:rPr>
                <w:b/>
                <w:color w:val="FFFFFF"/>
                <w:szCs w:val="24"/>
                <w:lang w:eastAsia="en-GB"/>
              </w:rPr>
              <w:t>Milestone weighting (% of CQUIN scheme available)</w:t>
            </w:r>
          </w:p>
        </w:tc>
      </w:tr>
      <w:tr w:rsidR="0013071F" w:rsidRPr="00A00FA3" w:rsidTr="006A0823">
        <w:tc>
          <w:tcPr>
            <w:tcW w:w="1951" w:type="dxa"/>
          </w:tcPr>
          <w:p w:rsidR="0013071F" w:rsidRPr="00A00FA3" w:rsidRDefault="0013071F" w:rsidP="006A0823">
            <w:pPr>
              <w:rPr>
                <w:rFonts w:eastAsia="Calibri"/>
                <w:b/>
                <w:szCs w:val="24"/>
                <w:lang w:eastAsia="en-GB"/>
              </w:rPr>
            </w:pPr>
            <w:r w:rsidRPr="00A00FA3">
              <w:rPr>
                <w:b/>
                <w:szCs w:val="24"/>
                <w:lang w:eastAsia="en-GB"/>
              </w:rPr>
              <w:t>Quarter 2 17/18</w:t>
            </w:r>
          </w:p>
        </w:tc>
        <w:tc>
          <w:tcPr>
            <w:tcW w:w="3402" w:type="dxa"/>
          </w:tcPr>
          <w:p w:rsidR="0013071F" w:rsidRPr="004842CB" w:rsidRDefault="0013071F" w:rsidP="006A0823">
            <w:pPr>
              <w:keepNext/>
              <w:rPr>
                <w:rFonts w:eastAsia="HGSMinchoE"/>
                <w:bCs w:val="0"/>
                <w:szCs w:val="24"/>
                <w:lang w:eastAsia="en-GB"/>
              </w:rPr>
            </w:pPr>
            <w:r w:rsidRPr="00A00FA3">
              <w:rPr>
                <w:rFonts w:eastAsia="HGSMinchoE"/>
                <w:bCs w:val="0"/>
                <w:szCs w:val="24"/>
                <w:lang w:eastAsia="en-GB"/>
              </w:rPr>
              <w:t>Identify and develop clear plans for aligning and cross checking SMI QOF and CPA registers.</w:t>
            </w:r>
          </w:p>
        </w:tc>
        <w:tc>
          <w:tcPr>
            <w:tcW w:w="1843" w:type="dxa"/>
          </w:tcPr>
          <w:p w:rsidR="0013071F" w:rsidRPr="00A00FA3" w:rsidRDefault="0013071F" w:rsidP="006A0823">
            <w:pPr>
              <w:rPr>
                <w:rFonts w:eastAsia="Calibri"/>
                <w:szCs w:val="24"/>
                <w:lang w:eastAsia="en-GB"/>
              </w:rPr>
            </w:pPr>
            <w:r w:rsidRPr="00A00FA3">
              <w:rPr>
                <w:szCs w:val="24"/>
                <w:lang w:eastAsia="en-GB"/>
              </w:rPr>
              <w:t>October 2017</w:t>
            </w:r>
          </w:p>
        </w:tc>
        <w:tc>
          <w:tcPr>
            <w:tcW w:w="1336" w:type="dxa"/>
          </w:tcPr>
          <w:p w:rsidR="0013071F" w:rsidRPr="00A00FA3" w:rsidRDefault="0013071F" w:rsidP="006A0823">
            <w:pPr>
              <w:rPr>
                <w:b/>
                <w:szCs w:val="24"/>
                <w:lang w:eastAsia="en-GB"/>
              </w:rPr>
            </w:pPr>
            <w:r w:rsidRPr="00A00FA3">
              <w:rPr>
                <w:szCs w:val="24"/>
                <w:lang w:eastAsia="en-GB"/>
              </w:rPr>
              <w:t>20% of indicator weighting for part 3b</w:t>
            </w:r>
          </w:p>
        </w:tc>
      </w:tr>
      <w:tr w:rsidR="0013071F" w:rsidRPr="00A00FA3" w:rsidTr="006A0823">
        <w:tc>
          <w:tcPr>
            <w:tcW w:w="1951" w:type="dxa"/>
          </w:tcPr>
          <w:p w:rsidR="0013071F" w:rsidRPr="00A00FA3" w:rsidRDefault="0013071F" w:rsidP="006A0823">
            <w:pPr>
              <w:rPr>
                <w:rFonts w:eastAsia="Calibri"/>
                <w:b/>
                <w:szCs w:val="24"/>
                <w:lang w:eastAsia="en-GB"/>
              </w:rPr>
            </w:pPr>
            <w:r w:rsidRPr="00A00FA3">
              <w:rPr>
                <w:b/>
                <w:szCs w:val="24"/>
                <w:lang w:eastAsia="en-GB"/>
              </w:rPr>
              <w:t xml:space="preserve">Quarter 3 17/18 </w:t>
            </w:r>
          </w:p>
        </w:tc>
        <w:tc>
          <w:tcPr>
            <w:tcW w:w="3402" w:type="dxa"/>
          </w:tcPr>
          <w:p w:rsidR="0013071F" w:rsidRPr="00A00FA3" w:rsidRDefault="0013071F" w:rsidP="006A0823">
            <w:pPr>
              <w:rPr>
                <w:lang w:eastAsia="en-GB"/>
              </w:rPr>
            </w:pPr>
            <w:r w:rsidRPr="00A00FA3">
              <w:rPr>
                <w:lang w:eastAsia="en-GB"/>
              </w:rPr>
              <w:t xml:space="preserve">Establish a clear shared care protocol between secondary care provider and primary care regarding physical health checks for people with SMI and the appropriate follow up. </w:t>
            </w:r>
          </w:p>
          <w:p w:rsidR="0013071F" w:rsidRPr="00A00FA3" w:rsidRDefault="0013071F" w:rsidP="006A0823">
            <w:pPr>
              <w:keepNext/>
              <w:contextualSpacing/>
              <w:rPr>
                <w:szCs w:val="24"/>
                <w:lang w:eastAsia="en-GB"/>
              </w:rPr>
            </w:pPr>
          </w:p>
          <w:p w:rsidR="0013071F" w:rsidRPr="00A00FA3" w:rsidRDefault="0013071F" w:rsidP="006A0823">
            <w:pPr>
              <w:keepNext/>
              <w:contextualSpacing/>
              <w:rPr>
                <w:szCs w:val="24"/>
                <w:lang w:eastAsia="en-GB"/>
              </w:rPr>
            </w:pPr>
            <w:r w:rsidRPr="00A00FA3">
              <w:rPr>
                <w:szCs w:val="24"/>
                <w:lang w:eastAsia="en-GB"/>
              </w:rPr>
              <w:t>This should include information on</w:t>
            </w:r>
            <w:r>
              <w:rPr>
                <w:szCs w:val="24"/>
                <w:lang w:eastAsia="en-GB"/>
              </w:rPr>
              <w:t>:</w:t>
            </w:r>
          </w:p>
          <w:p w:rsidR="0013071F" w:rsidRPr="00A00FA3" w:rsidRDefault="0013071F" w:rsidP="006A0823">
            <w:pPr>
              <w:keepNext/>
              <w:numPr>
                <w:ilvl w:val="0"/>
                <w:numId w:val="36"/>
              </w:numPr>
              <w:contextualSpacing/>
              <w:rPr>
                <w:szCs w:val="24"/>
                <w:lang w:eastAsia="en-GB"/>
              </w:rPr>
            </w:pPr>
            <w:r w:rsidRPr="00A00FA3">
              <w:rPr>
                <w:szCs w:val="24"/>
                <w:lang w:eastAsia="en-GB"/>
              </w:rPr>
              <w:t>Communication channels locally</w:t>
            </w:r>
          </w:p>
          <w:p w:rsidR="0013071F" w:rsidRPr="00A00FA3" w:rsidRDefault="0013071F" w:rsidP="006A0823">
            <w:pPr>
              <w:keepNext/>
              <w:numPr>
                <w:ilvl w:val="0"/>
                <w:numId w:val="36"/>
              </w:numPr>
              <w:contextualSpacing/>
              <w:rPr>
                <w:szCs w:val="24"/>
                <w:lang w:eastAsia="en-GB"/>
              </w:rPr>
            </w:pPr>
            <w:r w:rsidRPr="00A00FA3">
              <w:rPr>
                <w:szCs w:val="24"/>
                <w:lang w:eastAsia="en-GB"/>
              </w:rPr>
              <w:t>Resources contributed to this agenda</w:t>
            </w:r>
          </w:p>
          <w:p w:rsidR="0013071F" w:rsidRPr="00A00FA3" w:rsidRDefault="0013071F" w:rsidP="006A0823">
            <w:pPr>
              <w:keepNext/>
              <w:numPr>
                <w:ilvl w:val="0"/>
                <w:numId w:val="36"/>
              </w:numPr>
              <w:contextualSpacing/>
              <w:rPr>
                <w:szCs w:val="24"/>
                <w:lang w:eastAsia="en-GB"/>
              </w:rPr>
            </w:pPr>
            <w:r w:rsidRPr="00A00FA3">
              <w:rPr>
                <w:szCs w:val="24"/>
                <w:lang w:eastAsia="en-GB"/>
              </w:rPr>
              <w:t>Roles and responsibilities, including frequency of follow up annual physical health checks</w:t>
            </w:r>
          </w:p>
          <w:p w:rsidR="0013071F" w:rsidRPr="00A00FA3" w:rsidRDefault="0013071F" w:rsidP="006A0823">
            <w:pPr>
              <w:keepNext/>
              <w:numPr>
                <w:ilvl w:val="0"/>
                <w:numId w:val="36"/>
              </w:numPr>
              <w:contextualSpacing/>
              <w:rPr>
                <w:szCs w:val="24"/>
                <w:lang w:eastAsia="en-GB"/>
              </w:rPr>
            </w:pPr>
            <w:r w:rsidRPr="00A00FA3">
              <w:rPr>
                <w:bCs w:val="0"/>
                <w:lang w:eastAsia="en-GB"/>
              </w:rPr>
              <w:t>Sharing and exchanging information regarding physical health of people with SMI, via electronic patient records across secondary and primary interfaces</w:t>
            </w:r>
          </w:p>
          <w:p w:rsidR="0013071F" w:rsidRPr="00A00FA3" w:rsidRDefault="0013071F" w:rsidP="006A0823">
            <w:pPr>
              <w:keepNext/>
              <w:ind w:left="781"/>
              <w:contextualSpacing/>
              <w:rPr>
                <w:szCs w:val="24"/>
                <w:lang w:eastAsia="en-GB"/>
              </w:rPr>
            </w:pPr>
          </w:p>
          <w:p w:rsidR="0013071F" w:rsidRPr="00A00FA3" w:rsidRDefault="0013071F" w:rsidP="006A0823">
            <w:pPr>
              <w:rPr>
                <w:szCs w:val="24"/>
                <w:lang w:eastAsia="en-GB"/>
              </w:rPr>
            </w:pPr>
            <w:r w:rsidRPr="00A00FA3">
              <w:rPr>
                <w:szCs w:val="24"/>
                <w:lang w:eastAsia="en-GB"/>
              </w:rPr>
              <w:t>Audit to be undertaken by provider.</w:t>
            </w:r>
          </w:p>
        </w:tc>
        <w:tc>
          <w:tcPr>
            <w:tcW w:w="1843" w:type="dxa"/>
          </w:tcPr>
          <w:p w:rsidR="0013071F" w:rsidRPr="00A00FA3" w:rsidRDefault="0013071F" w:rsidP="006A0823">
            <w:pPr>
              <w:rPr>
                <w:rFonts w:eastAsia="Calibri"/>
                <w:szCs w:val="24"/>
                <w:lang w:eastAsia="en-GB"/>
              </w:rPr>
            </w:pPr>
            <w:r w:rsidRPr="00A00FA3">
              <w:rPr>
                <w:szCs w:val="24"/>
                <w:lang w:eastAsia="en-GB"/>
              </w:rPr>
              <w:t>December 2017</w:t>
            </w:r>
          </w:p>
        </w:tc>
        <w:tc>
          <w:tcPr>
            <w:tcW w:w="1336" w:type="dxa"/>
          </w:tcPr>
          <w:p w:rsidR="0013071F" w:rsidRPr="00A00FA3" w:rsidRDefault="0013071F" w:rsidP="006A0823">
            <w:pPr>
              <w:rPr>
                <w:b/>
                <w:szCs w:val="24"/>
                <w:lang w:eastAsia="en-GB"/>
              </w:rPr>
            </w:pPr>
            <w:r w:rsidRPr="00A00FA3">
              <w:rPr>
                <w:szCs w:val="24"/>
                <w:lang w:eastAsia="en-GB"/>
              </w:rPr>
              <w:t>50% of indicator weighting for part 3b</w:t>
            </w:r>
          </w:p>
        </w:tc>
      </w:tr>
      <w:tr w:rsidR="0013071F" w:rsidRPr="00A00FA3" w:rsidTr="006A0823">
        <w:tc>
          <w:tcPr>
            <w:tcW w:w="1951" w:type="dxa"/>
          </w:tcPr>
          <w:p w:rsidR="0013071F" w:rsidRPr="00A00FA3" w:rsidRDefault="0013071F" w:rsidP="006A0823">
            <w:pPr>
              <w:rPr>
                <w:b/>
                <w:szCs w:val="24"/>
                <w:lang w:eastAsia="en-GB"/>
              </w:rPr>
            </w:pPr>
            <w:r w:rsidRPr="00A00FA3">
              <w:rPr>
                <w:b/>
                <w:szCs w:val="24"/>
                <w:lang w:eastAsia="en-GB"/>
              </w:rPr>
              <w:t>Quarter 4 17/18</w:t>
            </w:r>
          </w:p>
        </w:tc>
        <w:tc>
          <w:tcPr>
            <w:tcW w:w="3402" w:type="dxa"/>
          </w:tcPr>
          <w:p w:rsidR="0013071F" w:rsidRPr="00A00FA3" w:rsidRDefault="0013071F" w:rsidP="006A0823">
            <w:pPr>
              <w:rPr>
                <w:szCs w:val="24"/>
                <w:lang w:eastAsia="en-GB"/>
              </w:rPr>
            </w:pPr>
            <w:r w:rsidRPr="00A00FA3">
              <w:rPr>
                <w:szCs w:val="24"/>
                <w:lang w:eastAsia="en-GB"/>
              </w:rPr>
              <w:t>Results of local audit required to be reported to local commissioners.  (See sliding scale below for payment details)  Action plan in place for 18/19 based on audit findings.</w:t>
            </w:r>
          </w:p>
        </w:tc>
        <w:tc>
          <w:tcPr>
            <w:tcW w:w="1843" w:type="dxa"/>
          </w:tcPr>
          <w:p w:rsidR="0013071F" w:rsidRPr="00A00FA3" w:rsidRDefault="0013071F" w:rsidP="006A0823">
            <w:pPr>
              <w:rPr>
                <w:szCs w:val="24"/>
                <w:lang w:eastAsia="en-GB"/>
              </w:rPr>
            </w:pPr>
            <w:r w:rsidRPr="00A00FA3">
              <w:rPr>
                <w:szCs w:val="24"/>
                <w:lang w:eastAsia="en-GB"/>
              </w:rPr>
              <w:t>April 2018</w:t>
            </w:r>
          </w:p>
        </w:tc>
        <w:tc>
          <w:tcPr>
            <w:tcW w:w="1336" w:type="dxa"/>
          </w:tcPr>
          <w:p w:rsidR="0013071F" w:rsidRPr="00A00FA3" w:rsidRDefault="0013071F" w:rsidP="006A0823">
            <w:pPr>
              <w:rPr>
                <w:b/>
                <w:szCs w:val="24"/>
                <w:lang w:eastAsia="en-GB"/>
              </w:rPr>
            </w:pPr>
            <w:r w:rsidRPr="00A00FA3">
              <w:rPr>
                <w:szCs w:val="24"/>
                <w:lang w:eastAsia="en-GB"/>
              </w:rPr>
              <w:t>30% of indicator weighting for part 3b</w:t>
            </w:r>
          </w:p>
        </w:tc>
      </w:tr>
    </w:tbl>
    <w:p w:rsidR="0013071F" w:rsidRPr="00A00FA3" w:rsidRDefault="0013071F" w:rsidP="0013071F">
      <w:pPr>
        <w:rPr>
          <w:lang w:eastAsia="en-GB"/>
        </w:rPr>
      </w:pPr>
    </w:p>
    <w:p w:rsidR="0013071F" w:rsidRDefault="0013071F" w:rsidP="0013071F">
      <w:pPr>
        <w:rPr>
          <w:b/>
          <w:lang w:eastAsia="en-GB"/>
        </w:rPr>
      </w:pPr>
      <w:r>
        <w:rPr>
          <w:b/>
          <w:lang w:eastAsia="en-GB"/>
        </w:rPr>
        <w:lastRenderedPageBreak/>
        <w:t>2018/19</w:t>
      </w:r>
    </w:p>
    <w:p w:rsidR="004842CB" w:rsidRPr="00687982" w:rsidRDefault="004842CB" w:rsidP="0013071F">
      <w:pPr>
        <w:rPr>
          <w:b/>
          <w:lang w:eastAsia="en-GB"/>
        </w:rPr>
      </w:pPr>
    </w:p>
    <w:tbl>
      <w:tblPr>
        <w:tblStyle w:val="TableGrid9"/>
        <w:tblW w:w="0" w:type="auto"/>
        <w:tblLook w:val="04A0" w:firstRow="1" w:lastRow="0" w:firstColumn="1" w:lastColumn="0" w:noHBand="0" w:noVBand="1"/>
        <w:tblDescription w:val="Date/period milestone relates to. Rules for achievement of milestones (including evidence to be supplied to commissioner). Date milestone to be reported Milestone weighting (% of CQUIN scheme available)"/>
      </w:tblPr>
      <w:tblGrid>
        <w:gridCol w:w="1922"/>
        <w:gridCol w:w="3431"/>
        <w:gridCol w:w="1843"/>
        <w:gridCol w:w="1336"/>
      </w:tblGrid>
      <w:tr w:rsidR="0013071F" w:rsidRPr="00A00FA3" w:rsidTr="006A0823">
        <w:trPr>
          <w:tblHeader/>
        </w:trPr>
        <w:tc>
          <w:tcPr>
            <w:tcW w:w="1922" w:type="dxa"/>
            <w:shd w:val="clear" w:color="auto" w:fill="0070C0"/>
          </w:tcPr>
          <w:p w:rsidR="0013071F" w:rsidRPr="00A00FA3" w:rsidRDefault="0013071F" w:rsidP="006A0823">
            <w:pPr>
              <w:spacing w:before="20" w:after="20"/>
              <w:jc w:val="center"/>
              <w:rPr>
                <w:b/>
                <w:color w:val="FFFFFF"/>
                <w:szCs w:val="24"/>
                <w:lang w:eastAsia="en-GB"/>
              </w:rPr>
            </w:pPr>
            <w:r w:rsidRPr="00A00FA3">
              <w:rPr>
                <w:b/>
                <w:color w:val="FFFFFF"/>
                <w:szCs w:val="24"/>
                <w:lang w:eastAsia="en-GB"/>
              </w:rPr>
              <w:t>Date/period milestone relates to 2018/19</w:t>
            </w:r>
          </w:p>
        </w:tc>
        <w:tc>
          <w:tcPr>
            <w:tcW w:w="3431" w:type="dxa"/>
            <w:shd w:val="clear" w:color="auto" w:fill="0070C0"/>
          </w:tcPr>
          <w:p w:rsidR="0013071F" w:rsidRPr="00A00FA3" w:rsidRDefault="0013071F" w:rsidP="006A0823">
            <w:pPr>
              <w:spacing w:before="20" w:after="20"/>
              <w:jc w:val="center"/>
              <w:rPr>
                <w:b/>
                <w:color w:val="FFFFFF"/>
                <w:szCs w:val="24"/>
                <w:lang w:eastAsia="en-GB"/>
              </w:rPr>
            </w:pPr>
            <w:r w:rsidRPr="00A00FA3">
              <w:rPr>
                <w:b/>
                <w:color w:val="FFFFFF"/>
                <w:szCs w:val="24"/>
                <w:lang w:eastAsia="en-GB"/>
              </w:rPr>
              <w:t>Rules for achievement of milestones (including evidence to be supplied to commissioner)</w:t>
            </w:r>
          </w:p>
        </w:tc>
        <w:tc>
          <w:tcPr>
            <w:tcW w:w="1843" w:type="dxa"/>
            <w:shd w:val="clear" w:color="auto" w:fill="0070C0"/>
          </w:tcPr>
          <w:p w:rsidR="0013071F" w:rsidRPr="00A00FA3" w:rsidRDefault="0013071F" w:rsidP="006A0823">
            <w:pPr>
              <w:spacing w:before="20" w:after="20"/>
              <w:jc w:val="center"/>
              <w:rPr>
                <w:b/>
                <w:color w:val="FFFFFF"/>
                <w:szCs w:val="24"/>
                <w:lang w:eastAsia="en-GB"/>
              </w:rPr>
            </w:pPr>
            <w:r w:rsidRPr="00A00FA3">
              <w:rPr>
                <w:b/>
                <w:color w:val="FFFFFF"/>
                <w:szCs w:val="24"/>
                <w:lang w:eastAsia="en-GB"/>
              </w:rPr>
              <w:t>Date milestone to be reported</w:t>
            </w:r>
          </w:p>
        </w:tc>
        <w:tc>
          <w:tcPr>
            <w:tcW w:w="1336" w:type="dxa"/>
            <w:shd w:val="clear" w:color="auto" w:fill="0070C0"/>
          </w:tcPr>
          <w:p w:rsidR="0013071F" w:rsidRPr="00A00FA3" w:rsidRDefault="0013071F" w:rsidP="006A0823">
            <w:pPr>
              <w:spacing w:before="20" w:after="20"/>
              <w:jc w:val="center"/>
              <w:rPr>
                <w:b/>
                <w:color w:val="FFFFFF"/>
                <w:szCs w:val="24"/>
                <w:lang w:eastAsia="en-GB"/>
              </w:rPr>
            </w:pPr>
            <w:r w:rsidRPr="00A00FA3">
              <w:rPr>
                <w:b/>
                <w:color w:val="FFFFFF"/>
                <w:szCs w:val="24"/>
                <w:lang w:eastAsia="en-GB"/>
              </w:rPr>
              <w:t>Milestone weighting (% of CQUIN scheme available)</w:t>
            </w:r>
          </w:p>
        </w:tc>
      </w:tr>
      <w:tr w:rsidR="0013071F" w:rsidRPr="00A00FA3" w:rsidTr="006A0823">
        <w:tc>
          <w:tcPr>
            <w:tcW w:w="1922" w:type="dxa"/>
          </w:tcPr>
          <w:p w:rsidR="0013071F" w:rsidRPr="00A00FA3" w:rsidRDefault="0013071F" w:rsidP="006A0823">
            <w:pPr>
              <w:rPr>
                <w:rFonts w:eastAsia="Calibri"/>
                <w:b/>
                <w:szCs w:val="24"/>
                <w:lang w:eastAsia="en-GB"/>
              </w:rPr>
            </w:pPr>
            <w:r w:rsidRPr="00A00FA3">
              <w:rPr>
                <w:b/>
                <w:szCs w:val="24"/>
                <w:lang w:eastAsia="en-GB"/>
              </w:rPr>
              <w:t>Quarter 1 18/19</w:t>
            </w:r>
          </w:p>
        </w:tc>
        <w:tc>
          <w:tcPr>
            <w:tcW w:w="3431" w:type="dxa"/>
          </w:tcPr>
          <w:p w:rsidR="0013071F" w:rsidRPr="00A00FA3" w:rsidRDefault="0013071F" w:rsidP="006A0823">
            <w:pPr>
              <w:rPr>
                <w:szCs w:val="24"/>
                <w:lang w:eastAsia="en-GB"/>
              </w:rPr>
            </w:pPr>
            <w:r w:rsidRPr="00A00FA3">
              <w:rPr>
                <w:szCs w:val="24"/>
                <w:lang w:eastAsia="en-GB"/>
              </w:rPr>
              <w:t xml:space="preserve">Complete alignment of SMI QOF and CPA registers and have system in place for routine reconciliation going forward  </w:t>
            </w:r>
          </w:p>
        </w:tc>
        <w:tc>
          <w:tcPr>
            <w:tcW w:w="1843" w:type="dxa"/>
          </w:tcPr>
          <w:p w:rsidR="0013071F" w:rsidRPr="00A00FA3" w:rsidRDefault="0013071F" w:rsidP="006A0823">
            <w:pPr>
              <w:rPr>
                <w:szCs w:val="24"/>
                <w:lang w:eastAsia="en-GB"/>
              </w:rPr>
            </w:pPr>
            <w:r w:rsidRPr="00A00FA3">
              <w:rPr>
                <w:szCs w:val="24"/>
                <w:lang w:eastAsia="en-GB"/>
              </w:rPr>
              <w:t>July 2018</w:t>
            </w:r>
          </w:p>
          <w:p w:rsidR="0013071F" w:rsidRPr="00A00FA3" w:rsidRDefault="0013071F" w:rsidP="006A0823">
            <w:pPr>
              <w:rPr>
                <w:rFonts w:eastAsia="Calibri"/>
                <w:szCs w:val="24"/>
                <w:lang w:eastAsia="en-GB"/>
              </w:rPr>
            </w:pPr>
          </w:p>
        </w:tc>
        <w:tc>
          <w:tcPr>
            <w:tcW w:w="1336" w:type="dxa"/>
          </w:tcPr>
          <w:p w:rsidR="0013071F" w:rsidRPr="00A00FA3" w:rsidRDefault="0013071F" w:rsidP="006A0823">
            <w:pPr>
              <w:rPr>
                <w:szCs w:val="24"/>
                <w:lang w:eastAsia="en-GB"/>
              </w:rPr>
            </w:pPr>
            <w:r w:rsidRPr="00A00FA3">
              <w:rPr>
                <w:szCs w:val="24"/>
                <w:lang w:eastAsia="en-GB"/>
              </w:rPr>
              <w:t>20% of indicator weighting for part 3b</w:t>
            </w:r>
          </w:p>
          <w:p w:rsidR="0013071F" w:rsidRPr="00A00FA3" w:rsidRDefault="0013071F" w:rsidP="006A0823">
            <w:pPr>
              <w:rPr>
                <w:szCs w:val="24"/>
                <w:lang w:eastAsia="en-GB"/>
              </w:rPr>
            </w:pPr>
          </w:p>
        </w:tc>
      </w:tr>
      <w:tr w:rsidR="0013071F" w:rsidRPr="00A00FA3" w:rsidTr="006A0823">
        <w:tc>
          <w:tcPr>
            <w:tcW w:w="1922" w:type="dxa"/>
          </w:tcPr>
          <w:p w:rsidR="0013071F" w:rsidRPr="00A00FA3" w:rsidRDefault="0013071F" w:rsidP="006A0823">
            <w:pPr>
              <w:rPr>
                <w:rFonts w:eastAsia="Calibri"/>
                <w:b/>
                <w:szCs w:val="24"/>
                <w:lang w:eastAsia="en-GB"/>
              </w:rPr>
            </w:pPr>
            <w:r w:rsidRPr="00A00FA3">
              <w:rPr>
                <w:b/>
                <w:szCs w:val="24"/>
                <w:lang w:eastAsia="en-GB"/>
              </w:rPr>
              <w:t>Quarter 2 18/19</w:t>
            </w:r>
          </w:p>
        </w:tc>
        <w:tc>
          <w:tcPr>
            <w:tcW w:w="3431" w:type="dxa"/>
          </w:tcPr>
          <w:p w:rsidR="0013071F" w:rsidRPr="00A00FA3" w:rsidRDefault="0013071F" w:rsidP="006A0823">
            <w:pPr>
              <w:keepNext/>
              <w:contextualSpacing/>
              <w:rPr>
                <w:szCs w:val="24"/>
                <w:lang w:eastAsia="en-GB"/>
              </w:rPr>
            </w:pPr>
            <w:r w:rsidRPr="00A00FA3">
              <w:rPr>
                <w:szCs w:val="24"/>
                <w:lang w:eastAsia="en-GB"/>
              </w:rPr>
              <w:t>Review progress made in implementing shared care protocol between secondary care provider and primary care regarding physical health checks for people with SMI and the appropriate follow up checks.  Agree joint action plan to address outstanding issues.</w:t>
            </w:r>
          </w:p>
        </w:tc>
        <w:tc>
          <w:tcPr>
            <w:tcW w:w="1843" w:type="dxa"/>
          </w:tcPr>
          <w:p w:rsidR="0013071F" w:rsidRPr="00A00FA3" w:rsidRDefault="0013071F" w:rsidP="006A0823">
            <w:pPr>
              <w:rPr>
                <w:rFonts w:eastAsia="Calibri"/>
                <w:szCs w:val="24"/>
                <w:lang w:eastAsia="en-GB"/>
              </w:rPr>
            </w:pPr>
            <w:r w:rsidRPr="00A00FA3">
              <w:rPr>
                <w:szCs w:val="24"/>
                <w:lang w:eastAsia="en-GB"/>
              </w:rPr>
              <w:t>October 2018</w:t>
            </w:r>
          </w:p>
        </w:tc>
        <w:tc>
          <w:tcPr>
            <w:tcW w:w="1336" w:type="dxa"/>
          </w:tcPr>
          <w:p w:rsidR="0013071F" w:rsidRPr="00A00FA3" w:rsidRDefault="0013071F" w:rsidP="006A0823">
            <w:pPr>
              <w:rPr>
                <w:szCs w:val="24"/>
                <w:lang w:eastAsia="en-GB"/>
              </w:rPr>
            </w:pPr>
            <w:r w:rsidRPr="00A00FA3">
              <w:rPr>
                <w:szCs w:val="24"/>
                <w:lang w:eastAsia="en-GB"/>
              </w:rPr>
              <w:t>50% of indicator weighting for part 3b</w:t>
            </w:r>
          </w:p>
        </w:tc>
      </w:tr>
      <w:tr w:rsidR="0013071F" w:rsidRPr="00A00FA3" w:rsidTr="006A0823">
        <w:tc>
          <w:tcPr>
            <w:tcW w:w="1922" w:type="dxa"/>
          </w:tcPr>
          <w:p w:rsidR="0013071F" w:rsidRPr="00A00FA3" w:rsidRDefault="0013071F" w:rsidP="006A0823">
            <w:pPr>
              <w:rPr>
                <w:rFonts w:eastAsia="Calibri"/>
                <w:b/>
                <w:szCs w:val="24"/>
                <w:lang w:eastAsia="en-GB"/>
              </w:rPr>
            </w:pPr>
            <w:r w:rsidRPr="00A00FA3">
              <w:rPr>
                <w:b/>
                <w:szCs w:val="24"/>
                <w:lang w:eastAsia="en-GB"/>
              </w:rPr>
              <w:t xml:space="preserve">Quarter 3 18/19 </w:t>
            </w:r>
          </w:p>
        </w:tc>
        <w:tc>
          <w:tcPr>
            <w:tcW w:w="3431" w:type="dxa"/>
          </w:tcPr>
          <w:p w:rsidR="0013071F" w:rsidRPr="00A00FA3" w:rsidRDefault="0013071F" w:rsidP="006A0823">
            <w:pPr>
              <w:rPr>
                <w:szCs w:val="24"/>
                <w:lang w:eastAsia="en-GB"/>
              </w:rPr>
            </w:pPr>
            <w:r w:rsidRPr="00A00FA3">
              <w:rPr>
                <w:szCs w:val="24"/>
                <w:lang w:eastAsia="en-GB"/>
              </w:rPr>
              <w:t>Evidence status of interoperability of data and IT systems between secondary and primary care, to facilitate flow of information on physical health issues for people with SMI. Agree joint action plan to address outstanding issues.</w:t>
            </w:r>
          </w:p>
          <w:p w:rsidR="0013071F" w:rsidRPr="00A00FA3" w:rsidRDefault="0013071F" w:rsidP="006A0823">
            <w:pPr>
              <w:rPr>
                <w:szCs w:val="24"/>
                <w:lang w:eastAsia="en-GB"/>
              </w:rPr>
            </w:pPr>
          </w:p>
          <w:p w:rsidR="0013071F" w:rsidRPr="00A00FA3" w:rsidRDefault="0013071F" w:rsidP="006A0823">
            <w:pPr>
              <w:rPr>
                <w:szCs w:val="24"/>
                <w:lang w:eastAsia="en-GB"/>
              </w:rPr>
            </w:pPr>
            <w:r w:rsidRPr="00A00FA3">
              <w:rPr>
                <w:szCs w:val="24"/>
                <w:lang w:eastAsia="en-GB"/>
              </w:rPr>
              <w:t>Audit to be undertaken by provider.</w:t>
            </w:r>
          </w:p>
        </w:tc>
        <w:tc>
          <w:tcPr>
            <w:tcW w:w="1843" w:type="dxa"/>
          </w:tcPr>
          <w:p w:rsidR="0013071F" w:rsidRPr="00A00FA3" w:rsidRDefault="0013071F" w:rsidP="006A0823">
            <w:pPr>
              <w:rPr>
                <w:rFonts w:eastAsia="Calibri"/>
                <w:szCs w:val="24"/>
                <w:lang w:eastAsia="en-GB"/>
              </w:rPr>
            </w:pPr>
            <w:r w:rsidRPr="00A00FA3">
              <w:rPr>
                <w:szCs w:val="24"/>
                <w:lang w:eastAsia="en-GB"/>
              </w:rPr>
              <w:t>December 2018</w:t>
            </w:r>
          </w:p>
        </w:tc>
        <w:tc>
          <w:tcPr>
            <w:tcW w:w="1336" w:type="dxa"/>
          </w:tcPr>
          <w:p w:rsidR="0013071F" w:rsidRPr="00A00FA3" w:rsidRDefault="0013071F" w:rsidP="006A0823">
            <w:pPr>
              <w:rPr>
                <w:szCs w:val="24"/>
                <w:lang w:eastAsia="en-GB"/>
              </w:rPr>
            </w:pPr>
            <w:r w:rsidRPr="00A00FA3">
              <w:rPr>
                <w:szCs w:val="24"/>
                <w:lang w:eastAsia="en-GB"/>
              </w:rPr>
              <w:t>10% of indicator weighting for part 3b</w:t>
            </w:r>
          </w:p>
        </w:tc>
      </w:tr>
      <w:tr w:rsidR="0013071F" w:rsidRPr="00A00FA3" w:rsidTr="006A0823">
        <w:tc>
          <w:tcPr>
            <w:tcW w:w="1922" w:type="dxa"/>
          </w:tcPr>
          <w:p w:rsidR="0013071F" w:rsidRPr="00A00FA3" w:rsidRDefault="0013071F" w:rsidP="006A0823">
            <w:pPr>
              <w:rPr>
                <w:b/>
                <w:szCs w:val="24"/>
                <w:lang w:eastAsia="en-GB"/>
              </w:rPr>
            </w:pPr>
            <w:r w:rsidRPr="00A00FA3">
              <w:rPr>
                <w:b/>
                <w:szCs w:val="24"/>
                <w:lang w:eastAsia="en-GB"/>
              </w:rPr>
              <w:t>Quarter 4 18/19</w:t>
            </w:r>
          </w:p>
        </w:tc>
        <w:tc>
          <w:tcPr>
            <w:tcW w:w="3431" w:type="dxa"/>
          </w:tcPr>
          <w:p w:rsidR="0013071F" w:rsidRPr="00A00FA3" w:rsidRDefault="0013071F" w:rsidP="006A0823">
            <w:pPr>
              <w:rPr>
                <w:szCs w:val="24"/>
                <w:lang w:eastAsia="en-GB"/>
              </w:rPr>
            </w:pPr>
            <w:r w:rsidRPr="00A00FA3">
              <w:rPr>
                <w:szCs w:val="24"/>
                <w:lang w:eastAsia="en-GB"/>
              </w:rPr>
              <w:t>Results of local audit required to be reported to local commissioners.  (See sliding scale below for payment details).</w:t>
            </w:r>
          </w:p>
        </w:tc>
        <w:tc>
          <w:tcPr>
            <w:tcW w:w="1843" w:type="dxa"/>
          </w:tcPr>
          <w:p w:rsidR="0013071F" w:rsidRPr="00A00FA3" w:rsidRDefault="0013071F" w:rsidP="006A0823">
            <w:pPr>
              <w:rPr>
                <w:szCs w:val="24"/>
                <w:lang w:eastAsia="en-GB"/>
              </w:rPr>
            </w:pPr>
            <w:r w:rsidRPr="00A00FA3">
              <w:rPr>
                <w:szCs w:val="24"/>
                <w:lang w:eastAsia="en-GB"/>
              </w:rPr>
              <w:t>April 2019</w:t>
            </w:r>
          </w:p>
        </w:tc>
        <w:tc>
          <w:tcPr>
            <w:tcW w:w="1336" w:type="dxa"/>
          </w:tcPr>
          <w:p w:rsidR="0013071F" w:rsidRPr="00A00FA3" w:rsidRDefault="0013071F" w:rsidP="006A0823">
            <w:pPr>
              <w:rPr>
                <w:szCs w:val="24"/>
                <w:lang w:eastAsia="en-GB"/>
              </w:rPr>
            </w:pPr>
            <w:r w:rsidRPr="00A00FA3">
              <w:rPr>
                <w:szCs w:val="24"/>
                <w:lang w:eastAsia="en-GB"/>
              </w:rPr>
              <w:t>20% of indicator weighting for part 3b</w:t>
            </w:r>
          </w:p>
        </w:tc>
      </w:tr>
    </w:tbl>
    <w:p w:rsidR="0013071F" w:rsidRDefault="0013071F" w:rsidP="0013071F">
      <w:pPr>
        <w:rPr>
          <w:lang w:eastAsia="en-GB"/>
        </w:rPr>
      </w:pPr>
    </w:p>
    <w:p w:rsidR="0013071F" w:rsidRDefault="0013071F" w:rsidP="0013071F">
      <w:pPr>
        <w:pStyle w:val="Heading4"/>
        <w:rPr>
          <w:lang w:eastAsia="en-GB"/>
        </w:rPr>
      </w:pPr>
      <w:r w:rsidRPr="00702E87">
        <w:rPr>
          <w:lang w:eastAsia="en-GB"/>
        </w:rPr>
        <w:t>Rules for partial achievement</w:t>
      </w:r>
      <w:r>
        <w:rPr>
          <w:lang w:eastAsia="en-GB"/>
        </w:rPr>
        <w:t xml:space="preserve"> of indicator 3b</w:t>
      </w:r>
    </w:p>
    <w:p w:rsidR="0013071F" w:rsidRDefault="0013071F" w:rsidP="0013071F">
      <w:pPr>
        <w:rPr>
          <w:lang w:eastAsia="en-GB"/>
        </w:rPr>
      </w:pPr>
    </w:p>
    <w:tbl>
      <w:tblPr>
        <w:tblW w:w="4565" w:type="pct"/>
        <w:tblLayout w:type="fixed"/>
        <w:tblLook w:val="0000" w:firstRow="0" w:lastRow="0" w:firstColumn="0" w:lastColumn="0" w:noHBand="0" w:noVBand="0"/>
      </w:tblPr>
      <w:tblGrid>
        <w:gridCol w:w="3794"/>
        <w:gridCol w:w="4679"/>
      </w:tblGrid>
      <w:tr w:rsidR="0013071F" w:rsidRPr="00A00FA3" w:rsidTr="00991F88">
        <w:trPr>
          <w:trHeight w:val="300"/>
          <w:tblHeader/>
        </w:trPr>
        <w:tc>
          <w:tcPr>
            <w:tcW w:w="2239" w:type="pct"/>
            <w:tcBorders>
              <w:top w:val="single" w:sz="4" w:space="0" w:color="auto"/>
              <w:left w:val="single" w:sz="4" w:space="0" w:color="auto"/>
              <w:bottom w:val="single" w:sz="4" w:space="0" w:color="auto"/>
              <w:right w:val="nil"/>
            </w:tcBorders>
            <w:shd w:val="clear" w:color="auto" w:fill="0070C0"/>
            <w:noWrap/>
          </w:tcPr>
          <w:p w:rsidR="0013071F" w:rsidRPr="00A00FA3" w:rsidRDefault="0013071F" w:rsidP="006A0823">
            <w:pPr>
              <w:rPr>
                <w:rFonts w:eastAsia="Calibri" w:cs="Arial"/>
                <w:b/>
                <w:color w:val="FFFFFF"/>
              </w:rPr>
            </w:pPr>
            <w:r w:rsidRPr="00A00FA3">
              <w:rPr>
                <w:rFonts w:eastAsia="Calibri" w:cs="Arial"/>
                <w:b/>
                <w:color w:val="FFFFFF"/>
              </w:rPr>
              <w:t>Final indicator value for the partial achievement threshold</w:t>
            </w:r>
          </w:p>
        </w:tc>
        <w:tc>
          <w:tcPr>
            <w:tcW w:w="2761" w:type="pct"/>
            <w:tcBorders>
              <w:top w:val="single" w:sz="4" w:space="0" w:color="auto"/>
              <w:left w:val="single" w:sz="4" w:space="0" w:color="auto"/>
              <w:bottom w:val="single" w:sz="4" w:space="0" w:color="auto"/>
              <w:right w:val="single" w:sz="4" w:space="0" w:color="auto"/>
            </w:tcBorders>
            <w:shd w:val="clear" w:color="auto" w:fill="0070C0"/>
          </w:tcPr>
          <w:p w:rsidR="0013071F" w:rsidRPr="00A00FA3" w:rsidRDefault="0013071F" w:rsidP="006A0823">
            <w:pPr>
              <w:rPr>
                <w:rFonts w:eastAsia="Calibri" w:cs="Arial"/>
                <w:b/>
                <w:color w:val="FFFFFF"/>
              </w:rPr>
            </w:pPr>
            <w:r w:rsidRPr="00A00FA3">
              <w:rPr>
                <w:rFonts w:eastAsia="Calibri" w:cs="Arial"/>
                <w:b/>
                <w:color w:val="FFFFFF"/>
              </w:rPr>
              <w:t>% of CQUIN scheme available for meeting final indicator value</w:t>
            </w:r>
          </w:p>
        </w:tc>
      </w:tr>
      <w:tr w:rsidR="0013071F" w:rsidRPr="00A00FA3" w:rsidTr="00991F88">
        <w:trPr>
          <w:trHeight w:val="301"/>
        </w:trPr>
        <w:tc>
          <w:tcPr>
            <w:tcW w:w="2239" w:type="pct"/>
            <w:tcBorders>
              <w:top w:val="nil"/>
              <w:left w:val="single" w:sz="4" w:space="0" w:color="auto"/>
              <w:bottom w:val="single" w:sz="4" w:space="0" w:color="auto"/>
              <w:right w:val="nil"/>
            </w:tcBorders>
          </w:tcPr>
          <w:p w:rsidR="0013071F" w:rsidRPr="00A00FA3" w:rsidRDefault="0013071F" w:rsidP="006A0823">
            <w:pPr>
              <w:tabs>
                <w:tab w:val="left" w:pos="1964"/>
              </w:tabs>
              <w:rPr>
                <w:rFonts w:eastAsia="Calibri" w:cs="Arial"/>
              </w:rPr>
            </w:pPr>
            <w:r w:rsidRPr="00A00FA3">
              <w:rPr>
                <w:rFonts w:eastAsia="Calibri" w:cs="Arial"/>
              </w:rPr>
              <w:t>49.9% or less</w:t>
            </w:r>
            <w:r w:rsidRPr="00A00FA3">
              <w:rPr>
                <w:rFonts w:eastAsia="Calibri" w:cs="Arial"/>
              </w:rPr>
              <w:tab/>
            </w:r>
          </w:p>
        </w:tc>
        <w:tc>
          <w:tcPr>
            <w:tcW w:w="2761" w:type="pct"/>
            <w:tcBorders>
              <w:top w:val="nil"/>
              <w:left w:val="single" w:sz="4" w:space="0" w:color="auto"/>
              <w:bottom w:val="single" w:sz="4" w:space="0" w:color="auto"/>
              <w:right w:val="single" w:sz="4" w:space="0" w:color="auto"/>
            </w:tcBorders>
          </w:tcPr>
          <w:p w:rsidR="0013071F" w:rsidRPr="00A00FA3" w:rsidRDefault="0013071F" w:rsidP="006A0823">
            <w:pPr>
              <w:rPr>
                <w:rFonts w:eastAsia="Calibri" w:cs="Arial"/>
              </w:rPr>
            </w:pPr>
            <w:r w:rsidRPr="00A00FA3">
              <w:rPr>
                <w:rFonts w:eastAsia="Calibri" w:cs="Arial"/>
              </w:rPr>
              <w:t>No payment</w:t>
            </w:r>
          </w:p>
        </w:tc>
      </w:tr>
      <w:tr w:rsidR="0013071F" w:rsidRPr="00A00FA3" w:rsidTr="00991F88">
        <w:trPr>
          <w:trHeight w:val="301"/>
        </w:trPr>
        <w:tc>
          <w:tcPr>
            <w:tcW w:w="2239" w:type="pct"/>
            <w:tcBorders>
              <w:top w:val="nil"/>
              <w:left w:val="single" w:sz="4" w:space="0" w:color="auto"/>
              <w:bottom w:val="single" w:sz="4" w:space="0" w:color="auto"/>
              <w:right w:val="nil"/>
            </w:tcBorders>
          </w:tcPr>
          <w:p w:rsidR="0013071F" w:rsidRPr="00A00FA3" w:rsidRDefault="0013071F" w:rsidP="006A0823">
            <w:pPr>
              <w:rPr>
                <w:rFonts w:eastAsia="Calibri" w:cs="Arial"/>
              </w:rPr>
            </w:pPr>
            <w:r w:rsidRPr="00A00FA3">
              <w:rPr>
                <w:rFonts w:eastAsia="Calibri" w:cs="Arial"/>
              </w:rPr>
              <w:t>50.0% to 69.9%</w:t>
            </w:r>
          </w:p>
        </w:tc>
        <w:tc>
          <w:tcPr>
            <w:tcW w:w="2761" w:type="pct"/>
            <w:tcBorders>
              <w:top w:val="nil"/>
              <w:left w:val="single" w:sz="4" w:space="0" w:color="auto"/>
              <w:bottom w:val="single" w:sz="4" w:space="0" w:color="auto"/>
              <w:right w:val="single" w:sz="4" w:space="0" w:color="auto"/>
            </w:tcBorders>
          </w:tcPr>
          <w:p w:rsidR="0013071F" w:rsidRPr="00A00FA3" w:rsidRDefault="0013071F" w:rsidP="006A0823">
            <w:pPr>
              <w:rPr>
                <w:rFonts w:eastAsia="Calibri" w:cs="Arial"/>
              </w:rPr>
            </w:pPr>
            <w:r w:rsidRPr="00A00FA3">
              <w:rPr>
                <w:rFonts w:eastAsia="Calibri" w:cs="Arial"/>
              </w:rPr>
              <w:t>25% payment</w:t>
            </w:r>
          </w:p>
        </w:tc>
      </w:tr>
      <w:tr w:rsidR="0013071F" w:rsidRPr="00A00FA3" w:rsidTr="00991F88">
        <w:trPr>
          <w:trHeight w:val="301"/>
        </w:trPr>
        <w:tc>
          <w:tcPr>
            <w:tcW w:w="2239" w:type="pct"/>
            <w:tcBorders>
              <w:top w:val="nil"/>
              <w:left w:val="single" w:sz="4" w:space="0" w:color="auto"/>
              <w:bottom w:val="single" w:sz="4" w:space="0" w:color="auto"/>
              <w:right w:val="nil"/>
            </w:tcBorders>
          </w:tcPr>
          <w:p w:rsidR="0013071F" w:rsidRPr="00A00FA3" w:rsidRDefault="0013071F" w:rsidP="006A0823">
            <w:pPr>
              <w:rPr>
                <w:rFonts w:eastAsia="Calibri" w:cs="Arial"/>
              </w:rPr>
            </w:pPr>
            <w:r w:rsidRPr="00A00FA3">
              <w:rPr>
                <w:rFonts w:eastAsia="Calibri" w:cs="Arial"/>
              </w:rPr>
              <w:t>70.0% to 79.9%</w:t>
            </w:r>
          </w:p>
        </w:tc>
        <w:tc>
          <w:tcPr>
            <w:tcW w:w="2761" w:type="pct"/>
            <w:tcBorders>
              <w:top w:val="nil"/>
              <w:left w:val="single" w:sz="4" w:space="0" w:color="auto"/>
              <w:bottom w:val="single" w:sz="4" w:space="0" w:color="auto"/>
              <w:right w:val="single" w:sz="4" w:space="0" w:color="auto"/>
            </w:tcBorders>
          </w:tcPr>
          <w:p w:rsidR="0013071F" w:rsidRPr="00A00FA3" w:rsidRDefault="0013071F" w:rsidP="006A0823">
            <w:pPr>
              <w:rPr>
                <w:rFonts w:eastAsia="Calibri" w:cs="Arial"/>
              </w:rPr>
            </w:pPr>
            <w:r w:rsidRPr="00A00FA3">
              <w:rPr>
                <w:rFonts w:eastAsia="Calibri" w:cs="Arial"/>
              </w:rPr>
              <w:t>50% payment</w:t>
            </w:r>
          </w:p>
        </w:tc>
      </w:tr>
      <w:tr w:rsidR="0013071F" w:rsidRPr="00A00FA3" w:rsidTr="00991F88">
        <w:trPr>
          <w:trHeight w:val="301"/>
        </w:trPr>
        <w:tc>
          <w:tcPr>
            <w:tcW w:w="2239" w:type="pct"/>
            <w:tcBorders>
              <w:top w:val="nil"/>
              <w:left w:val="single" w:sz="4" w:space="0" w:color="auto"/>
              <w:bottom w:val="single" w:sz="4" w:space="0" w:color="auto"/>
              <w:right w:val="nil"/>
            </w:tcBorders>
          </w:tcPr>
          <w:p w:rsidR="0013071F" w:rsidRPr="00A00FA3" w:rsidRDefault="0013071F" w:rsidP="006A0823">
            <w:pPr>
              <w:rPr>
                <w:rFonts w:eastAsia="Calibri" w:cs="Arial"/>
              </w:rPr>
            </w:pPr>
            <w:r w:rsidRPr="00A00FA3">
              <w:rPr>
                <w:rFonts w:eastAsia="Calibri" w:cs="Arial"/>
              </w:rPr>
              <w:t>80.0% to 89.9%</w:t>
            </w:r>
          </w:p>
        </w:tc>
        <w:tc>
          <w:tcPr>
            <w:tcW w:w="2761" w:type="pct"/>
            <w:tcBorders>
              <w:top w:val="nil"/>
              <w:left w:val="single" w:sz="4" w:space="0" w:color="auto"/>
              <w:bottom w:val="single" w:sz="4" w:space="0" w:color="auto"/>
              <w:right w:val="single" w:sz="4" w:space="0" w:color="auto"/>
            </w:tcBorders>
          </w:tcPr>
          <w:p w:rsidR="0013071F" w:rsidRPr="00A00FA3" w:rsidRDefault="0013071F" w:rsidP="006A0823">
            <w:pPr>
              <w:rPr>
                <w:rFonts w:eastAsia="Calibri" w:cs="Arial"/>
              </w:rPr>
            </w:pPr>
            <w:r w:rsidRPr="00A00FA3">
              <w:rPr>
                <w:rFonts w:eastAsia="Calibri" w:cs="Arial"/>
              </w:rPr>
              <w:t>75% payment</w:t>
            </w:r>
          </w:p>
        </w:tc>
      </w:tr>
      <w:tr w:rsidR="0013071F" w:rsidRPr="00A00FA3" w:rsidTr="00991F88">
        <w:trPr>
          <w:trHeight w:val="301"/>
        </w:trPr>
        <w:tc>
          <w:tcPr>
            <w:tcW w:w="2239" w:type="pct"/>
            <w:tcBorders>
              <w:top w:val="nil"/>
              <w:left w:val="single" w:sz="4" w:space="0" w:color="auto"/>
              <w:bottom w:val="single" w:sz="4" w:space="0" w:color="auto"/>
              <w:right w:val="nil"/>
            </w:tcBorders>
          </w:tcPr>
          <w:p w:rsidR="0013071F" w:rsidRPr="00A00FA3" w:rsidRDefault="0013071F" w:rsidP="006A0823">
            <w:pPr>
              <w:rPr>
                <w:rFonts w:eastAsia="Calibri" w:cs="Arial"/>
              </w:rPr>
            </w:pPr>
            <w:r w:rsidRPr="00A00FA3">
              <w:rPr>
                <w:rFonts w:eastAsia="Calibri" w:cs="Arial"/>
              </w:rPr>
              <w:t>90.0% or above</w:t>
            </w:r>
          </w:p>
        </w:tc>
        <w:tc>
          <w:tcPr>
            <w:tcW w:w="2761" w:type="pct"/>
            <w:tcBorders>
              <w:top w:val="nil"/>
              <w:left w:val="single" w:sz="4" w:space="0" w:color="auto"/>
              <w:bottom w:val="single" w:sz="4" w:space="0" w:color="auto"/>
              <w:right w:val="single" w:sz="4" w:space="0" w:color="auto"/>
            </w:tcBorders>
          </w:tcPr>
          <w:p w:rsidR="0013071F" w:rsidRPr="00A00FA3" w:rsidRDefault="0013071F" w:rsidP="006A0823">
            <w:pPr>
              <w:rPr>
                <w:rFonts w:eastAsia="Calibri" w:cs="Arial"/>
              </w:rPr>
            </w:pPr>
            <w:r w:rsidRPr="00A00FA3">
              <w:rPr>
                <w:rFonts w:eastAsia="Calibri" w:cs="Arial"/>
              </w:rPr>
              <w:t>100% payment</w:t>
            </w:r>
          </w:p>
        </w:tc>
      </w:tr>
    </w:tbl>
    <w:p w:rsidR="0013071F" w:rsidRDefault="0013071F" w:rsidP="0013071F">
      <w:pPr>
        <w:rPr>
          <w:lang w:eastAsia="en-GB"/>
        </w:rPr>
      </w:pPr>
    </w:p>
    <w:p w:rsidR="0013071F" w:rsidRDefault="0013071F" w:rsidP="0013071F">
      <w:pPr>
        <w:rPr>
          <w:b/>
          <w:lang w:eastAsia="en-GB"/>
        </w:rPr>
      </w:pPr>
    </w:p>
    <w:p w:rsidR="0013071F" w:rsidRDefault="0013071F" w:rsidP="0013071F">
      <w:pPr>
        <w:pStyle w:val="Heading4"/>
        <w:rPr>
          <w:lang w:eastAsia="en-GB"/>
        </w:rPr>
      </w:pPr>
      <w:r w:rsidRPr="001A20AA">
        <w:rPr>
          <w:lang w:eastAsia="en-GB"/>
        </w:rPr>
        <w:t>Supporting guidance and references for CQUIN</w:t>
      </w:r>
      <w:r>
        <w:rPr>
          <w:lang w:eastAsia="en-GB"/>
        </w:rPr>
        <w:t xml:space="preserve"> 3a and 3b</w:t>
      </w:r>
      <w:r w:rsidRPr="001A20AA">
        <w:rPr>
          <w:lang w:eastAsia="en-GB"/>
        </w:rPr>
        <w:t xml:space="preserve"> implementation</w:t>
      </w:r>
    </w:p>
    <w:p w:rsidR="0013071F" w:rsidRPr="00A00FA3" w:rsidRDefault="0013071F" w:rsidP="0013071F">
      <w:pPr>
        <w:rPr>
          <w:lang w:eastAsia="en-GB"/>
        </w:rPr>
      </w:pPr>
    </w:p>
    <w:p w:rsidR="0013071F" w:rsidRPr="002C228F" w:rsidRDefault="0013071F" w:rsidP="0013071F">
      <w:pPr>
        <w:numPr>
          <w:ilvl w:val="0"/>
          <w:numId w:val="37"/>
        </w:numPr>
        <w:rPr>
          <w:b/>
          <w:iCs/>
          <w:lang w:eastAsia="en-GB"/>
        </w:rPr>
      </w:pPr>
      <w:r w:rsidRPr="00A00FA3">
        <w:rPr>
          <w:b/>
          <w:iCs/>
          <w:lang w:eastAsia="en-GB"/>
        </w:rPr>
        <w:t xml:space="preserve">ICD 10 codes: </w:t>
      </w:r>
    </w:p>
    <w:p w:rsidR="0013071F" w:rsidRPr="00A00FA3" w:rsidRDefault="0013071F" w:rsidP="0013071F">
      <w:pPr>
        <w:rPr>
          <w:b/>
          <w:iCs/>
          <w:lang w:eastAsia="en-GB"/>
        </w:rPr>
      </w:pPr>
      <w:r w:rsidRPr="00A00FA3">
        <w:rPr>
          <w:iCs/>
          <w:lang w:eastAsia="en-GB"/>
        </w:rPr>
        <w:t>For the purposes of the CQUIN, patients who have a diagnosis of psychosis, including schizophrenia and bipolar affective disorder with the relevant ICD-10 diagnostic codes will be included in the national audit: F10.5, F11.5, F12.5, F13.5, F14.5, F15.5, F16.5, F19.5, F20-29, F30.2, F31.2, F31.5, F32.3 and F33.3.</w:t>
      </w:r>
      <w:r w:rsidRPr="00A00FA3">
        <w:rPr>
          <w:b/>
          <w:iCs/>
          <w:lang w:eastAsia="en-GB"/>
        </w:rPr>
        <w:t xml:space="preserve"> </w:t>
      </w:r>
    </w:p>
    <w:p w:rsidR="0013071F" w:rsidRPr="00A00FA3" w:rsidRDefault="0013071F" w:rsidP="0013071F">
      <w:pPr>
        <w:rPr>
          <w:b/>
          <w:iCs/>
          <w:lang w:eastAsia="en-GB"/>
        </w:rPr>
      </w:pPr>
    </w:p>
    <w:p w:rsidR="0013071F" w:rsidRDefault="0013071F" w:rsidP="0013071F">
      <w:pPr>
        <w:numPr>
          <w:ilvl w:val="0"/>
          <w:numId w:val="37"/>
        </w:numPr>
        <w:rPr>
          <w:b/>
          <w:iCs/>
          <w:lang w:eastAsia="en-GB"/>
        </w:rPr>
      </w:pPr>
      <w:r w:rsidRPr="00A00FA3">
        <w:rPr>
          <w:b/>
          <w:iCs/>
          <w:lang w:eastAsia="en-GB"/>
        </w:rPr>
        <w:t xml:space="preserve">Lester tool: </w:t>
      </w:r>
    </w:p>
    <w:p w:rsidR="0013071F" w:rsidRDefault="0023312F" w:rsidP="0013071F">
      <w:pPr>
        <w:rPr>
          <w:b/>
          <w:iCs/>
          <w:lang w:eastAsia="en-GB"/>
        </w:rPr>
      </w:pPr>
      <w:hyperlink r:id="rId31" w:history="1">
        <w:r w:rsidR="0013071F" w:rsidRPr="00A00FA3">
          <w:rPr>
            <w:rStyle w:val="Hyperlink"/>
            <w:b/>
            <w:iCs/>
            <w:lang w:eastAsia="en-GB"/>
          </w:rPr>
          <w:t>http://www.rcpsych.ac.uk/pdf/RCP_11049_Positive%20Cardiometabolic%20Health%20chart-%20website.pdf</w:t>
        </w:r>
      </w:hyperlink>
      <w:r w:rsidR="0013071F" w:rsidRPr="00A00FA3">
        <w:rPr>
          <w:b/>
          <w:iCs/>
          <w:lang w:eastAsia="en-GB"/>
        </w:rPr>
        <w:t xml:space="preserve">   </w:t>
      </w:r>
    </w:p>
    <w:p w:rsidR="0013071F" w:rsidRDefault="0013071F" w:rsidP="0013071F">
      <w:pPr>
        <w:pStyle w:val="ListParagraph"/>
        <w:rPr>
          <w:b/>
          <w:iCs/>
          <w:lang w:eastAsia="en-GB"/>
        </w:rPr>
      </w:pPr>
    </w:p>
    <w:p w:rsidR="0013071F" w:rsidRPr="002C228F" w:rsidRDefault="0013071F" w:rsidP="0013071F">
      <w:pPr>
        <w:numPr>
          <w:ilvl w:val="0"/>
          <w:numId w:val="37"/>
        </w:numPr>
        <w:rPr>
          <w:iCs/>
          <w:lang w:eastAsia="en-GB"/>
        </w:rPr>
      </w:pPr>
      <w:r w:rsidRPr="002C228F">
        <w:rPr>
          <w:b/>
          <w:iCs/>
          <w:lang w:eastAsia="en-GB"/>
        </w:rPr>
        <w:t>NICE resources to support implementation:</w:t>
      </w:r>
    </w:p>
    <w:p w:rsidR="0013071F" w:rsidRPr="002C228F" w:rsidRDefault="0013071F" w:rsidP="0013071F">
      <w:pPr>
        <w:numPr>
          <w:ilvl w:val="1"/>
          <w:numId w:val="37"/>
        </w:numPr>
        <w:rPr>
          <w:iCs/>
          <w:lang w:eastAsia="en-GB"/>
        </w:rPr>
      </w:pPr>
      <w:r w:rsidRPr="002C228F">
        <w:rPr>
          <w:iCs/>
          <w:lang w:eastAsia="en-GB"/>
        </w:rPr>
        <w:t xml:space="preserve">NICE guidelines make recommendations about the promotion of physical health in people with psychosis and schizophrenia, and a range of other guidelines are available to improve aspects of physical health including smoking cessation, obesity, glucose regulation, blood lipids, and lifestyle factors. </w:t>
      </w:r>
    </w:p>
    <w:p w:rsidR="0013071F" w:rsidRPr="002C228F" w:rsidRDefault="0013071F" w:rsidP="0013071F">
      <w:pPr>
        <w:numPr>
          <w:ilvl w:val="1"/>
          <w:numId w:val="37"/>
        </w:numPr>
        <w:rPr>
          <w:iCs/>
          <w:lang w:eastAsia="en-GB"/>
        </w:rPr>
      </w:pPr>
      <w:r w:rsidRPr="002C228F">
        <w:rPr>
          <w:iCs/>
          <w:lang w:eastAsia="en-GB"/>
        </w:rPr>
        <w:t xml:space="preserve">Implementation products (such as baseline assessment tools, NICE pathways, online learning modules, and local practice examples) can be found on the “tools and resources” tab of the guideline; for example </w:t>
      </w:r>
      <w:hyperlink r:id="rId32" w:history="1">
        <w:r w:rsidRPr="002C228F">
          <w:rPr>
            <w:rStyle w:val="Hyperlink"/>
            <w:iCs/>
            <w:lang w:eastAsia="en-GB"/>
          </w:rPr>
          <w:t>https://www.nice.org.uk/guidance/cg178/resources</w:t>
        </w:r>
      </w:hyperlink>
      <w:r w:rsidRPr="002C228F">
        <w:rPr>
          <w:iCs/>
          <w:lang w:eastAsia="en-GB"/>
        </w:rPr>
        <w:t xml:space="preserve">  which includes access to the Lester Positive Cardio metabolic Health Resource, endorsed by NICE.</w:t>
      </w:r>
    </w:p>
    <w:p w:rsidR="0013071F" w:rsidRDefault="0013071F" w:rsidP="0013071F">
      <w:pPr>
        <w:rPr>
          <w:lang w:eastAsia="en-GB"/>
        </w:rPr>
      </w:pPr>
      <w:r>
        <w:rPr>
          <w:lang w:eastAsia="en-GB"/>
        </w:rPr>
        <w:br w:type="page"/>
      </w:r>
    </w:p>
    <w:p w:rsidR="0013071F" w:rsidRDefault="0013071F" w:rsidP="0013071F">
      <w:pPr>
        <w:pStyle w:val="Heading1"/>
        <w:rPr>
          <w:lang w:eastAsia="en-GB"/>
        </w:rPr>
      </w:pPr>
      <w:bookmarkStart w:id="56" w:name="_Toc466290253"/>
      <w:r w:rsidRPr="00C02AC7">
        <w:rPr>
          <w:lang w:eastAsia="en-GB"/>
        </w:rPr>
        <w:lastRenderedPageBreak/>
        <w:t xml:space="preserve">Improving services for people with mental </w:t>
      </w:r>
      <w:r>
        <w:rPr>
          <w:lang w:eastAsia="en-GB"/>
        </w:rPr>
        <w:t>health needs who present to A&amp;E</w:t>
      </w:r>
      <w:bookmarkEnd w:id="56"/>
    </w:p>
    <w:p w:rsidR="0013071F" w:rsidRDefault="0013071F" w:rsidP="0013071F">
      <w:pPr>
        <w:rPr>
          <w:lang w:eastAsia="en-GB"/>
        </w:rPr>
      </w:pPr>
    </w:p>
    <w:tbl>
      <w:tblPr>
        <w:tblStyle w:val="TableGrid53"/>
        <w:tblW w:w="0" w:type="auto"/>
        <w:tblLook w:val="04A0" w:firstRow="1" w:lastRow="0" w:firstColumn="1" w:lastColumn="0" w:noHBand="0" w:noVBand="1"/>
        <w:tblCaption w:val="Indicator"/>
      </w:tblPr>
      <w:tblGrid>
        <w:gridCol w:w="2660"/>
        <w:gridCol w:w="5953"/>
      </w:tblGrid>
      <w:tr w:rsidR="0013071F" w:rsidRPr="00A91133" w:rsidTr="006A0823">
        <w:trPr>
          <w:tblHeader/>
        </w:trPr>
        <w:tc>
          <w:tcPr>
            <w:tcW w:w="8613" w:type="dxa"/>
            <w:gridSpan w:val="2"/>
            <w:shd w:val="clear" w:color="auto" w:fill="0070C0"/>
          </w:tcPr>
          <w:p w:rsidR="0013071F" w:rsidRPr="00F9693D" w:rsidRDefault="0013071F" w:rsidP="000D4728">
            <w:pPr>
              <w:jc w:val="center"/>
              <w:rPr>
                <w:color w:val="000000" w:themeColor="text1"/>
                <w:lang w:eastAsia="en-GB"/>
              </w:rPr>
            </w:pPr>
            <w:r w:rsidRPr="00A91133">
              <w:rPr>
                <w:rFonts w:cs="Arial"/>
                <w:b/>
                <w:color w:val="FFFFFF"/>
                <w:lang w:eastAsia="en-GB"/>
              </w:rPr>
              <w:t>Indicator</w:t>
            </w:r>
            <w:r>
              <w:rPr>
                <w:rFonts w:cs="Arial"/>
                <w:b/>
                <w:color w:val="FFFFFF"/>
                <w:lang w:eastAsia="en-GB"/>
              </w:rPr>
              <w:t xml:space="preserve"> 4</w:t>
            </w:r>
          </w:p>
        </w:tc>
      </w:tr>
      <w:tr w:rsidR="0013071F" w:rsidRPr="00A91133" w:rsidTr="006A0823">
        <w:tc>
          <w:tcPr>
            <w:tcW w:w="2660" w:type="dxa"/>
          </w:tcPr>
          <w:p w:rsidR="0013071F" w:rsidRPr="001D5B02" w:rsidRDefault="0013071F" w:rsidP="006A0823">
            <w:pPr>
              <w:rPr>
                <w:rFonts w:cs="Arial"/>
                <w:b/>
                <w:lang w:eastAsia="en-GB"/>
              </w:rPr>
            </w:pPr>
            <w:r w:rsidRPr="001D5B02">
              <w:rPr>
                <w:rFonts w:cs="Arial"/>
                <w:b/>
                <w:color w:val="000000"/>
                <w:lang w:eastAsia="en-GB"/>
              </w:rPr>
              <w:t>Indicator name</w:t>
            </w:r>
          </w:p>
        </w:tc>
        <w:tc>
          <w:tcPr>
            <w:tcW w:w="5953" w:type="dxa"/>
          </w:tcPr>
          <w:p w:rsidR="0013071F" w:rsidRPr="00A91133" w:rsidRDefault="0013071F" w:rsidP="006A0823">
            <w:pPr>
              <w:rPr>
                <w:rFonts w:cs="Arial"/>
                <w:szCs w:val="24"/>
                <w:lang w:eastAsia="en-GB"/>
              </w:rPr>
            </w:pPr>
            <w:r w:rsidRPr="00A91133">
              <w:rPr>
                <w:rFonts w:eastAsia="Calibri" w:cs="Arial"/>
                <w:szCs w:val="24"/>
                <w:lang w:eastAsia="en-GB"/>
              </w:rPr>
              <w:t xml:space="preserve">Improving services for people with mental health needs who present to A&amp;E. </w:t>
            </w:r>
          </w:p>
        </w:tc>
      </w:tr>
      <w:tr w:rsidR="0013071F" w:rsidRPr="00A91133" w:rsidTr="006A0823">
        <w:tc>
          <w:tcPr>
            <w:tcW w:w="2660" w:type="dxa"/>
          </w:tcPr>
          <w:p w:rsidR="0013071F" w:rsidRPr="001D5B02" w:rsidRDefault="0013071F" w:rsidP="006A0823">
            <w:pPr>
              <w:rPr>
                <w:rFonts w:cs="Arial"/>
                <w:b/>
                <w:lang w:eastAsia="en-GB"/>
              </w:rPr>
            </w:pPr>
            <w:r w:rsidRPr="001D5B02">
              <w:rPr>
                <w:rFonts w:cs="Arial"/>
                <w:b/>
                <w:color w:val="000000"/>
                <w:lang w:eastAsia="en-GB"/>
              </w:rPr>
              <w:t xml:space="preserve">Indicator weighting </w:t>
            </w:r>
            <w:r w:rsidRPr="001D5B02">
              <w:rPr>
                <w:rFonts w:cs="Arial"/>
                <w:b/>
                <w:color w:val="000000"/>
                <w:lang w:eastAsia="en-GB"/>
              </w:rPr>
              <w:br/>
              <w:t>(% of CQUIN scheme available)</w:t>
            </w:r>
          </w:p>
        </w:tc>
        <w:tc>
          <w:tcPr>
            <w:tcW w:w="5953" w:type="dxa"/>
          </w:tcPr>
          <w:p w:rsidR="0013071F" w:rsidRPr="00A91133" w:rsidRDefault="0013071F" w:rsidP="006A0823">
            <w:pPr>
              <w:rPr>
                <w:rFonts w:cs="Arial"/>
                <w:color w:val="FF0000"/>
                <w:szCs w:val="24"/>
                <w:lang w:eastAsia="en-GB"/>
              </w:rPr>
            </w:pPr>
            <w:r w:rsidRPr="00A91133">
              <w:rPr>
                <w:rFonts w:cs="Arial"/>
                <w:color w:val="000000"/>
                <w:szCs w:val="24"/>
                <w:lang w:eastAsia="en-GB"/>
              </w:rPr>
              <w:t>0.25%</w:t>
            </w:r>
          </w:p>
        </w:tc>
      </w:tr>
      <w:tr w:rsidR="0013071F" w:rsidRPr="00A91133" w:rsidTr="006A0823">
        <w:tc>
          <w:tcPr>
            <w:tcW w:w="2660" w:type="dxa"/>
          </w:tcPr>
          <w:p w:rsidR="0013071F" w:rsidRPr="001D5B02" w:rsidRDefault="0013071F" w:rsidP="006A0823">
            <w:pPr>
              <w:rPr>
                <w:rFonts w:cs="Arial"/>
                <w:b/>
                <w:lang w:eastAsia="en-GB"/>
              </w:rPr>
            </w:pPr>
            <w:r w:rsidRPr="001D5B02">
              <w:rPr>
                <w:rFonts w:cs="Arial"/>
                <w:b/>
                <w:color w:val="000000"/>
                <w:lang w:eastAsia="en-GB"/>
              </w:rPr>
              <w:t>Description of indicator</w:t>
            </w:r>
          </w:p>
        </w:tc>
        <w:tc>
          <w:tcPr>
            <w:tcW w:w="5953" w:type="dxa"/>
          </w:tcPr>
          <w:p w:rsidR="000D1DA3" w:rsidRDefault="000D1DA3" w:rsidP="000D1DA3">
            <w:pPr>
              <w:keepNext/>
              <w:contextualSpacing/>
              <w:rPr>
                <w:rFonts w:eastAsiaTheme="minorHAnsi" w:cs="Arial"/>
                <w:b/>
                <w:szCs w:val="24"/>
              </w:rPr>
            </w:pPr>
            <w:r>
              <w:rPr>
                <w:rFonts w:eastAsiaTheme="minorHAnsi" w:cs="Arial"/>
                <w:b/>
                <w:szCs w:val="24"/>
              </w:rPr>
              <w:t>For 2017/18:</w:t>
            </w:r>
          </w:p>
          <w:p w:rsidR="000D1DA3" w:rsidRPr="000D1DA3" w:rsidRDefault="000D1DA3" w:rsidP="000D1DA3">
            <w:pPr>
              <w:pStyle w:val="ListParagraph"/>
              <w:keepNext/>
              <w:numPr>
                <w:ilvl w:val="0"/>
                <w:numId w:val="117"/>
              </w:numPr>
              <w:rPr>
                <w:rFonts w:eastAsiaTheme="minorHAnsi" w:cs="Arial"/>
                <w:b/>
                <w:szCs w:val="24"/>
              </w:rPr>
            </w:pPr>
            <w:r w:rsidRPr="000D1DA3">
              <w:rPr>
                <w:rFonts w:eastAsiaTheme="minorHAnsi" w:cs="Arial"/>
                <w:szCs w:val="24"/>
              </w:rPr>
              <w:t>Reduce by 20% the number of attendances to A&amp;E for those within a selected cohort of frequent attenders who would benefit from mental health and psychosocial interventions, and establish improved services to ensure this reduction is sustainable</w:t>
            </w:r>
            <w:r w:rsidR="00D11CB8">
              <w:rPr>
                <w:rFonts w:eastAsiaTheme="minorHAnsi" w:cs="Arial"/>
                <w:szCs w:val="24"/>
              </w:rPr>
              <w:t>.</w:t>
            </w:r>
          </w:p>
          <w:p w:rsidR="000D1DA3" w:rsidRPr="000D1DA3" w:rsidRDefault="000D1DA3" w:rsidP="000D1DA3">
            <w:pPr>
              <w:keepNext/>
              <w:contextualSpacing/>
              <w:rPr>
                <w:rFonts w:eastAsiaTheme="minorHAnsi" w:cs="Arial"/>
                <w:b/>
                <w:szCs w:val="24"/>
              </w:rPr>
            </w:pPr>
          </w:p>
          <w:p w:rsidR="000D1DA3" w:rsidRPr="000D1DA3" w:rsidRDefault="000D1DA3" w:rsidP="000D1DA3">
            <w:pPr>
              <w:keepNext/>
              <w:contextualSpacing/>
              <w:rPr>
                <w:rFonts w:eastAsiaTheme="minorHAnsi" w:cs="Arial"/>
                <w:b/>
                <w:szCs w:val="24"/>
              </w:rPr>
            </w:pPr>
            <w:r w:rsidRPr="000D1DA3">
              <w:rPr>
                <w:rFonts w:eastAsiaTheme="minorHAnsi" w:cs="Arial"/>
                <w:b/>
                <w:szCs w:val="24"/>
              </w:rPr>
              <w:t>For 2018/19:</w:t>
            </w:r>
          </w:p>
          <w:p w:rsidR="000D1DA3" w:rsidRPr="000D1DA3" w:rsidRDefault="000D1DA3" w:rsidP="000D1DA3">
            <w:pPr>
              <w:pStyle w:val="ListParagraph"/>
              <w:keepNext/>
              <w:numPr>
                <w:ilvl w:val="0"/>
                <w:numId w:val="40"/>
              </w:numPr>
              <w:rPr>
                <w:rFonts w:cs="Arial"/>
                <w:szCs w:val="24"/>
              </w:rPr>
            </w:pPr>
            <w:r w:rsidRPr="000D1DA3">
              <w:rPr>
                <w:rFonts w:cs="Arial"/>
                <w:szCs w:val="24"/>
              </w:rPr>
              <w:t xml:space="preserve">Sustain the reduction in year 1 of attendances to A&amp;E for those within the selected cohort of frequent attenders </w:t>
            </w:r>
            <w:r w:rsidRPr="000D1DA3">
              <w:rPr>
                <w:rFonts w:eastAsiaTheme="minorHAnsi" w:cs="Arial"/>
                <w:szCs w:val="24"/>
              </w:rPr>
              <w:t>who would benefit from mental health and psychosocial interventions</w:t>
            </w:r>
            <w:r w:rsidR="00D11CB8">
              <w:rPr>
                <w:rFonts w:eastAsiaTheme="minorHAnsi" w:cs="Arial"/>
                <w:szCs w:val="24"/>
              </w:rPr>
              <w:t>.</w:t>
            </w:r>
            <w:r w:rsidRPr="000D1DA3">
              <w:rPr>
                <w:rFonts w:eastAsiaTheme="minorHAnsi" w:cs="Arial"/>
                <w:szCs w:val="24"/>
              </w:rPr>
              <w:t xml:space="preserve"> </w:t>
            </w:r>
          </w:p>
          <w:p w:rsidR="000D1DA3" w:rsidRPr="000D1DA3" w:rsidRDefault="000D1DA3" w:rsidP="000D1DA3">
            <w:pPr>
              <w:pStyle w:val="ListParagraph"/>
              <w:keepNext/>
              <w:rPr>
                <w:rFonts w:cs="Arial"/>
                <w:szCs w:val="24"/>
              </w:rPr>
            </w:pPr>
            <w:r w:rsidRPr="000D1DA3">
              <w:rPr>
                <w:rFonts w:eastAsiaTheme="minorHAnsi" w:cs="Arial"/>
                <w:szCs w:val="24"/>
              </w:rPr>
              <w:t xml:space="preserve"> </w:t>
            </w:r>
          </w:p>
          <w:p w:rsidR="000D1DA3" w:rsidRPr="000D1DA3" w:rsidRDefault="000D1DA3" w:rsidP="000D1DA3">
            <w:pPr>
              <w:pStyle w:val="ListParagraph"/>
              <w:keepNext/>
              <w:numPr>
                <w:ilvl w:val="0"/>
                <w:numId w:val="40"/>
              </w:numPr>
              <w:rPr>
                <w:rFonts w:cs="Arial"/>
                <w:b/>
                <w:szCs w:val="24"/>
              </w:rPr>
            </w:pPr>
            <w:r w:rsidRPr="000D1DA3">
              <w:rPr>
                <w:rFonts w:cs="Arial"/>
                <w:szCs w:val="24"/>
              </w:rPr>
              <w:t>Reduce total number of attendances to A&amp;E by 10% for all people with primary mental health needs</w:t>
            </w:r>
            <w:r w:rsidRPr="000D1DA3">
              <w:rPr>
                <w:rStyle w:val="FootnoteReference"/>
                <w:rFonts w:eastAsiaTheme="majorEastAsia" w:cs="Arial"/>
                <w:szCs w:val="24"/>
              </w:rPr>
              <w:footnoteReference w:id="7"/>
            </w:r>
            <w:r w:rsidRPr="000D1DA3">
              <w:rPr>
                <w:rFonts w:cs="Arial"/>
                <w:szCs w:val="24"/>
              </w:rPr>
              <w:t>.</w:t>
            </w:r>
          </w:p>
          <w:p w:rsidR="000D1DA3" w:rsidRPr="000D1DA3" w:rsidRDefault="000D1DA3" w:rsidP="000D1DA3">
            <w:pPr>
              <w:keepNext/>
              <w:contextualSpacing/>
              <w:rPr>
                <w:rFonts w:eastAsiaTheme="minorHAnsi" w:cs="Arial"/>
                <w:b/>
                <w:szCs w:val="24"/>
              </w:rPr>
            </w:pPr>
          </w:p>
          <w:p w:rsidR="000D1DA3" w:rsidRPr="000D1DA3" w:rsidRDefault="000D1DA3" w:rsidP="000D1DA3">
            <w:pPr>
              <w:keepNext/>
              <w:contextualSpacing/>
              <w:rPr>
                <w:rFonts w:eastAsiaTheme="minorHAnsi" w:cs="Arial"/>
                <w:b/>
                <w:szCs w:val="24"/>
              </w:rPr>
            </w:pPr>
          </w:p>
          <w:p w:rsidR="000D1DA3" w:rsidRPr="000D1DA3" w:rsidRDefault="000D1DA3" w:rsidP="000D1DA3">
            <w:pPr>
              <w:keepNext/>
              <w:contextualSpacing/>
              <w:rPr>
                <w:rFonts w:eastAsiaTheme="minorHAnsi" w:cs="Arial"/>
                <w:szCs w:val="24"/>
              </w:rPr>
            </w:pPr>
            <w:r w:rsidRPr="000D1DA3">
              <w:rPr>
                <w:rFonts w:eastAsiaTheme="minorHAnsi" w:cs="Arial"/>
                <w:b/>
                <w:szCs w:val="24"/>
              </w:rPr>
              <w:t xml:space="preserve">Mental health and acute hospital providers, </w:t>
            </w:r>
            <w:r w:rsidRPr="000D1DA3">
              <w:rPr>
                <w:rFonts w:eastAsiaTheme="minorHAnsi" w:cs="Arial"/>
                <w:szCs w:val="24"/>
              </w:rPr>
              <w:t xml:space="preserve">working together and, likely also with other partners (primary care, police, ambulance, substance misuse, social care, voluntary sector), to ensure that people presenting at A&amp;E with primary or secondary mental health and/or underlying psychosocial needs have these needs met more effectively through an improved, integrated service offer, with the result that attendances at A&amp;E are reduced. </w:t>
            </w:r>
          </w:p>
          <w:p w:rsidR="000D1DA3" w:rsidRPr="000D1DA3" w:rsidRDefault="000D1DA3" w:rsidP="000D1DA3">
            <w:pPr>
              <w:keepNext/>
              <w:contextualSpacing/>
              <w:rPr>
                <w:rFonts w:cs="Arial"/>
                <w:color w:val="000000"/>
                <w:szCs w:val="24"/>
              </w:rPr>
            </w:pPr>
          </w:p>
          <w:p w:rsidR="000D1DA3" w:rsidRPr="000D1DA3" w:rsidRDefault="000D1DA3" w:rsidP="000D1DA3">
            <w:pPr>
              <w:keepNext/>
              <w:contextualSpacing/>
              <w:rPr>
                <w:rFonts w:cs="Arial"/>
                <w:szCs w:val="24"/>
              </w:rPr>
            </w:pPr>
            <w:r w:rsidRPr="000D1DA3">
              <w:rPr>
                <w:rFonts w:cs="Arial"/>
                <w:szCs w:val="24"/>
              </w:rPr>
              <w:t xml:space="preserve">The CQUIN has been designed so as to encourage collaboration between providers across the care pathway and as such </w:t>
            </w:r>
            <w:r w:rsidRPr="000D1DA3">
              <w:rPr>
                <w:rFonts w:cs="Arial"/>
                <w:color w:val="000000"/>
                <w:szCs w:val="24"/>
              </w:rPr>
              <w:t xml:space="preserve">is to be applied to both acute providers and mental health providers. </w:t>
            </w:r>
            <w:r w:rsidRPr="000D1DA3">
              <w:rPr>
                <w:rFonts w:cs="Arial"/>
                <w:szCs w:val="24"/>
              </w:rPr>
              <w:t xml:space="preserve">While it takes account of different responsibilities for providers, performance by both acute and mental health providers will be measured and shared across the pathway, and will affect overall achievement against the CQUIN indicator. All mental health and acute providers subject to the scheme will therefore need to </w:t>
            </w:r>
            <w:r w:rsidRPr="000D1DA3">
              <w:rPr>
                <w:rFonts w:eastAsiaTheme="minorHAnsi" w:cs="Arial"/>
                <w:szCs w:val="24"/>
              </w:rPr>
              <w:lastRenderedPageBreak/>
              <w:t>work together to ensure the successful delivery of all milestones and to achieve levels of performance necessary to release full reward.</w:t>
            </w:r>
          </w:p>
          <w:p w:rsidR="000D1DA3" w:rsidRPr="000D1DA3" w:rsidRDefault="000D1DA3" w:rsidP="000D1DA3">
            <w:pPr>
              <w:keepNext/>
              <w:contextualSpacing/>
              <w:rPr>
                <w:rFonts w:cs="Arial"/>
                <w:szCs w:val="24"/>
              </w:rPr>
            </w:pPr>
          </w:p>
          <w:p w:rsidR="000D1DA3" w:rsidRPr="000D1DA3" w:rsidRDefault="000D1DA3" w:rsidP="000D1DA3">
            <w:pPr>
              <w:spacing w:after="200"/>
              <w:rPr>
                <w:rFonts w:eastAsiaTheme="minorHAnsi" w:cs="Arial"/>
                <w:szCs w:val="24"/>
              </w:rPr>
            </w:pPr>
            <w:r w:rsidRPr="000D1DA3">
              <w:rPr>
                <w:rFonts w:eastAsiaTheme="minorHAnsi" w:cs="Arial"/>
                <w:szCs w:val="24"/>
              </w:rPr>
              <w:t xml:space="preserve">Successful achievement of the CQUIN is therefore likely to necessitate partnership working and joint governance between CCGs, acute providers, mental health providers and other key local partners. Areas may wish to use existing forums such as A&amp;E Delivery Boards and Urgent and Emergency Care Networks to oversee this process. </w:t>
            </w:r>
          </w:p>
          <w:p w:rsidR="000D1DA3" w:rsidRPr="000D1DA3" w:rsidRDefault="000D1DA3" w:rsidP="000D1DA3">
            <w:pPr>
              <w:keepNext/>
              <w:contextualSpacing/>
              <w:rPr>
                <w:rFonts w:eastAsiaTheme="minorHAnsi" w:cs="Arial"/>
                <w:szCs w:val="24"/>
              </w:rPr>
            </w:pPr>
            <w:r w:rsidRPr="000D1DA3">
              <w:rPr>
                <w:rFonts w:cs="Arial"/>
                <w:szCs w:val="24"/>
              </w:rPr>
              <w:t xml:space="preserve">Where there are a number of providers fulfilling the acute or mental health provider role for a given locality, their contribution to overall performance for that locality should be weighted in line with their respective levels of commissioned activity for that locality. </w:t>
            </w:r>
            <w:r w:rsidRPr="000D1DA3">
              <w:rPr>
                <w:rFonts w:eastAsiaTheme="minorHAnsi" w:cs="Arial"/>
                <w:szCs w:val="24"/>
              </w:rPr>
              <w:t xml:space="preserve">CCGs will need to determine the allocation of the rewards locally, based on their local geographies, taking into account: </w:t>
            </w:r>
          </w:p>
          <w:p w:rsidR="000D1DA3" w:rsidRPr="000D1DA3" w:rsidRDefault="000D1DA3" w:rsidP="000D1DA3">
            <w:pPr>
              <w:pStyle w:val="ListParagraph"/>
              <w:numPr>
                <w:ilvl w:val="0"/>
                <w:numId w:val="98"/>
              </w:numPr>
              <w:spacing w:after="200"/>
              <w:rPr>
                <w:rFonts w:eastAsiaTheme="minorHAnsi" w:cs="Arial"/>
                <w:szCs w:val="24"/>
              </w:rPr>
            </w:pPr>
            <w:r w:rsidRPr="000D1DA3">
              <w:rPr>
                <w:rFonts w:eastAsiaTheme="minorHAnsi" w:cs="Arial"/>
                <w:szCs w:val="24"/>
              </w:rPr>
              <w:t xml:space="preserve">the differing provider geographies (e.g. mental health providers may serve populations across the footprints of varying numbers of A&amp;E departments); </w:t>
            </w:r>
          </w:p>
          <w:p w:rsidR="000D1DA3" w:rsidRPr="000D1DA3" w:rsidRDefault="000D1DA3" w:rsidP="000D1DA3">
            <w:pPr>
              <w:pStyle w:val="ListParagraph"/>
              <w:numPr>
                <w:ilvl w:val="0"/>
                <w:numId w:val="98"/>
              </w:numPr>
              <w:spacing w:after="200"/>
              <w:rPr>
                <w:rFonts w:eastAsiaTheme="minorHAnsi" w:cs="Arial"/>
                <w:szCs w:val="24"/>
              </w:rPr>
            </w:pPr>
            <w:r w:rsidRPr="000D1DA3">
              <w:rPr>
                <w:rFonts w:eastAsiaTheme="minorHAnsi" w:cs="Arial"/>
                <w:szCs w:val="24"/>
              </w:rPr>
              <w:t xml:space="preserve">different arrangements in different areas – for example, some liaison services are provided by mental health trusts and some are provided by acute trusts; and  </w:t>
            </w:r>
          </w:p>
          <w:p w:rsidR="000D1DA3" w:rsidRPr="000D1DA3" w:rsidRDefault="000D1DA3" w:rsidP="000D1DA3">
            <w:pPr>
              <w:pStyle w:val="ListParagraph"/>
              <w:numPr>
                <w:ilvl w:val="0"/>
                <w:numId w:val="98"/>
              </w:numPr>
              <w:spacing w:after="200"/>
              <w:rPr>
                <w:rFonts w:eastAsiaTheme="minorHAnsi" w:cs="Arial"/>
                <w:szCs w:val="24"/>
              </w:rPr>
            </w:pPr>
            <w:r w:rsidRPr="000D1DA3">
              <w:rPr>
                <w:rFonts w:eastAsiaTheme="minorHAnsi" w:cs="Arial"/>
                <w:szCs w:val="24"/>
              </w:rPr>
              <w:t xml:space="preserve">the milestones set out in the CQUIN – the achievement of which are contingent on actions from either mental health providers, acute providers, or both working together; CCGs will therefore need to consider and agree with providers the proportion of the indicators for each year that will be delivered by the acute provider(s), what proportion will be delivered by the MH provider(s), and what by both. </w:t>
            </w:r>
          </w:p>
          <w:p w:rsidR="000D1DA3" w:rsidRPr="000D1DA3" w:rsidRDefault="000D1DA3" w:rsidP="000D1DA3">
            <w:pPr>
              <w:keepNext/>
              <w:contextualSpacing/>
              <w:rPr>
                <w:rFonts w:cs="Arial"/>
                <w:szCs w:val="24"/>
              </w:rPr>
            </w:pPr>
            <w:r w:rsidRPr="000D1DA3">
              <w:rPr>
                <w:rFonts w:cs="Arial"/>
                <w:szCs w:val="24"/>
              </w:rPr>
              <w:t xml:space="preserve">Through this mechanism, the CQUIN is designed to incentivise both acute and mental health providers to contribute to </w:t>
            </w:r>
            <w:r w:rsidRPr="000D1DA3">
              <w:rPr>
                <w:rFonts w:eastAsiaTheme="minorHAnsi" w:cs="Arial"/>
                <w:szCs w:val="24"/>
              </w:rPr>
              <w:t>improved services for people with mental health and psychosocial needs who present to A&amp;E</w:t>
            </w:r>
            <w:r w:rsidRPr="000D1DA3">
              <w:rPr>
                <w:rFonts w:cs="Arial"/>
                <w:szCs w:val="24"/>
              </w:rPr>
              <w:t xml:space="preserve">. </w:t>
            </w:r>
          </w:p>
          <w:p w:rsidR="000D1DA3" w:rsidRPr="000D1DA3" w:rsidRDefault="000D1DA3" w:rsidP="000D1DA3">
            <w:pPr>
              <w:keepNext/>
              <w:contextualSpacing/>
              <w:rPr>
                <w:rFonts w:cs="Arial"/>
                <w:szCs w:val="24"/>
              </w:rPr>
            </w:pPr>
          </w:p>
          <w:p w:rsidR="000D1DA3" w:rsidRPr="000D1DA3" w:rsidRDefault="000D1DA3" w:rsidP="000D1DA3">
            <w:pPr>
              <w:keepNext/>
              <w:contextualSpacing/>
              <w:rPr>
                <w:rFonts w:eastAsiaTheme="minorHAnsi" w:cs="Arial"/>
                <w:szCs w:val="24"/>
              </w:rPr>
            </w:pPr>
            <w:r w:rsidRPr="000D1DA3">
              <w:rPr>
                <w:rFonts w:eastAsiaTheme="minorHAnsi" w:cs="Arial"/>
                <w:szCs w:val="24"/>
              </w:rPr>
              <w:t xml:space="preserve">Year 1 will focus on improving understanding of the complex needs of a small cohort of people who use A&amp;E most intensively. There will be a particular focus on identifying those people within this cohort who may </w:t>
            </w:r>
            <w:r w:rsidRPr="000D1DA3">
              <w:rPr>
                <w:rFonts w:eastAsiaTheme="minorHAnsi" w:cs="Arial"/>
                <w:szCs w:val="24"/>
              </w:rPr>
              <w:lastRenderedPageBreak/>
              <w:t>benefit from integrated mental and physical health assessment, care planning and interventions</w:t>
            </w:r>
            <w:r w:rsidRPr="000D1DA3">
              <w:rPr>
                <w:rStyle w:val="FootnoteReference"/>
                <w:rFonts w:eastAsiaTheme="minorHAnsi" w:cs="Arial"/>
                <w:szCs w:val="24"/>
              </w:rPr>
              <w:footnoteReference w:id="8"/>
            </w:r>
            <w:r w:rsidRPr="000D1DA3">
              <w:rPr>
                <w:rFonts w:eastAsiaTheme="minorHAnsi" w:cs="Arial"/>
                <w:szCs w:val="24"/>
              </w:rPr>
              <w:t xml:space="preserve">. There will also be an intensive focus on improving the quality of coding of primary and secondary mental health needs in A&amp;Es. </w:t>
            </w:r>
          </w:p>
          <w:p w:rsidR="000D1DA3" w:rsidRPr="000D1DA3" w:rsidRDefault="000D1DA3" w:rsidP="000D1DA3">
            <w:pPr>
              <w:keepNext/>
              <w:contextualSpacing/>
              <w:rPr>
                <w:rFonts w:eastAsiaTheme="minorHAnsi" w:cs="Arial"/>
                <w:szCs w:val="24"/>
              </w:rPr>
            </w:pPr>
          </w:p>
          <w:p w:rsidR="000D1DA3" w:rsidRPr="000D1DA3" w:rsidRDefault="000D1DA3" w:rsidP="000D1DA3">
            <w:pPr>
              <w:keepNext/>
              <w:contextualSpacing/>
              <w:rPr>
                <w:rFonts w:eastAsiaTheme="minorHAnsi" w:cs="Arial"/>
                <w:szCs w:val="24"/>
              </w:rPr>
            </w:pPr>
            <w:r w:rsidRPr="000D1DA3">
              <w:rPr>
                <w:rFonts w:eastAsiaTheme="minorHAnsi" w:cs="Arial"/>
                <w:szCs w:val="24"/>
              </w:rPr>
              <w:t>Year 2 will seek to maintain the progress of year 1 – or previous years where a reasonable baseline reduction has already been established – for the selected cohort of frequent attenders, but the focus will broaden to deliver a reduction in the number of attendances to A&amp;E for all people with primary mental health needs.</w:t>
            </w:r>
          </w:p>
          <w:p w:rsidR="000D1DA3" w:rsidRPr="000D1DA3" w:rsidRDefault="000D1DA3" w:rsidP="000D1DA3">
            <w:pPr>
              <w:keepNext/>
              <w:contextualSpacing/>
              <w:rPr>
                <w:rFonts w:eastAsiaTheme="minorHAnsi" w:cs="Arial"/>
                <w:szCs w:val="24"/>
              </w:rPr>
            </w:pPr>
          </w:p>
          <w:p w:rsidR="000D1DA3" w:rsidRPr="000D1DA3" w:rsidRDefault="000D1DA3" w:rsidP="000D1DA3">
            <w:pPr>
              <w:keepNext/>
              <w:contextualSpacing/>
              <w:rPr>
                <w:rFonts w:eastAsiaTheme="minorHAnsi" w:cs="Arial"/>
                <w:i/>
                <w:szCs w:val="24"/>
              </w:rPr>
            </w:pPr>
            <w:r w:rsidRPr="000D1DA3">
              <w:rPr>
                <w:rFonts w:eastAsiaTheme="minorHAnsi" w:cs="Arial"/>
                <w:i/>
                <w:szCs w:val="24"/>
              </w:rPr>
              <w:t>Year 1</w:t>
            </w:r>
          </w:p>
          <w:p w:rsidR="000D1DA3" w:rsidRPr="000D1DA3" w:rsidRDefault="000D1DA3" w:rsidP="000D1DA3">
            <w:pPr>
              <w:pStyle w:val="ListParagraph"/>
              <w:keepNext/>
              <w:numPr>
                <w:ilvl w:val="0"/>
                <w:numId w:val="39"/>
              </w:numPr>
              <w:rPr>
                <w:rFonts w:eastAsiaTheme="minorHAnsi" w:cs="Arial"/>
                <w:bCs w:val="0"/>
                <w:szCs w:val="24"/>
              </w:rPr>
            </w:pPr>
            <w:r w:rsidRPr="000D1DA3">
              <w:rPr>
                <w:rFonts w:eastAsiaTheme="minorHAnsi" w:cs="Arial"/>
                <w:szCs w:val="24"/>
              </w:rPr>
              <w:t>Identify the people who attended each A&amp;E most frequently during 2016/17 (this is likely to be people who would usually attend A&amp;E 10-15 times or more; the cohort will need to be adjusted for attrition</w:t>
            </w:r>
            <w:r w:rsidRPr="000D1DA3">
              <w:rPr>
                <w:rStyle w:val="FootnoteReference"/>
                <w:rFonts w:eastAsiaTheme="minorHAnsi" w:cs="Arial"/>
                <w:szCs w:val="24"/>
              </w:rPr>
              <w:footnoteReference w:id="9"/>
            </w:r>
            <w:r w:rsidRPr="000D1DA3">
              <w:rPr>
                <w:rFonts w:eastAsiaTheme="minorHAnsi" w:cs="Arial"/>
                <w:szCs w:val="24"/>
              </w:rPr>
              <w:t xml:space="preserve">). </w:t>
            </w:r>
          </w:p>
          <w:p w:rsidR="000D1DA3" w:rsidRPr="000D1DA3" w:rsidRDefault="000D1DA3" w:rsidP="000D1DA3">
            <w:pPr>
              <w:pStyle w:val="ListParagraph"/>
              <w:keepNext/>
              <w:numPr>
                <w:ilvl w:val="0"/>
                <w:numId w:val="39"/>
              </w:numPr>
              <w:rPr>
                <w:rFonts w:eastAsiaTheme="minorHAnsi" w:cs="Arial"/>
                <w:bCs w:val="0"/>
                <w:szCs w:val="24"/>
              </w:rPr>
            </w:pPr>
            <w:r w:rsidRPr="000D1DA3">
              <w:rPr>
                <w:rFonts w:eastAsiaTheme="minorHAnsi" w:cs="Arial"/>
                <w:szCs w:val="24"/>
              </w:rPr>
              <w:t>Review this group and identify the sub-cohort of people for whom mental health and psychosocial interventions led by specialist mental health staff would have the greatest impact. The number of people in the cohort will need to be agreed locally between providers and commissioners. It is expected that cohorts will include at least 10-15 people per hospital site. However, where possible, larger cohorts than this are encouraged as the greater the number of people in the cohort, the greater the potential benefits. For large hospitals serving greater populations, commissioners should seek to include larger cohorts in the scheme.  Individual hospitals will have their own systems and methods of identification and this cohort’s number of attendances for 2016/17 and number of patients will be recorded to set the baseline;</w:t>
            </w:r>
          </w:p>
          <w:p w:rsidR="000D1DA3" w:rsidRPr="000D1DA3" w:rsidRDefault="000D1DA3" w:rsidP="000D1DA3">
            <w:pPr>
              <w:pStyle w:val="ListParagraph"/>
              <w:keepNext/>
              <w:numPr>
                <w:ilvl w:val="0"/>
                <w:numId w:val="39"/>
              </w:numPr>
              <w:rPr>
                <w:rFonts w:eastAsiaTheme="minorHAnsi" w:cs="Arial"/>
                <w:szCs w:val="24"/>
              </w:rPr>
            </w:pPr>
            <w:r w:rsidRPr="000D1DA3">
              <w:rPr>
                <w:rFonts w:eastAsiaTheme="minorHAnsi" w:cs="Arial"/>
                <w:szCs w:val="24"/>
              </w:rPr>
              <w:t>Review and develop a co-produced care plan</w:t>
            </w:r>
            <w:r w:rsidRPr="000D1DA3">
              <w:rPr>
                <w:rStyle w:val="FootnoteReference"/>
                <w:rFonts w:eastAsiaTheme="minorHAnsi" w:cs="Arial"/>
                <w:szCs w:val="24"/>
              </w:rPr>
              <w:footnoteReference w:id="10"/>
            </w:r>
            <w:r w:rsidRPr="000D1DA3">
              <w:rPr>
                <w:rFonts w:eastAsiaTheme="minorHAnsi" w:cs="Arial"/>
                <w:szCs w:val="24"/>
              </w:rPr>
              <w:t xml:space="preserve"> for each person in this cohort, which includes a </w:t>
            </w:r>
            <w:r w:rsidRPr="000D1DA3">
              <w:rPr>
                <w:rFonts w:eastAsiaTheme="minorHAnsi" w:cs="Arial"/>
                <w:szCs w:val="24"/>
              </w:rPr>
              <w:lastRenderedPageBreak/>
              <w:t>focus on preventing avoidable A&amp;E attendances. While a collaborative approach is critical to the successful implementation of this CQUIN scheme, the appointment of a named dedicated clinical lead or leads is likely to be beneficial.  Care plans should be made available to A&amp;</w:t>
            </w:r>
            <w:r w:rsidRPr="00D7355F">
              <w:rPr>
                <w:rFonts w:eastAsiaTheme="minorHAnsi" w:cs="Arial"/>
                <w:szCs w:val="24"/>
              </w:rPr>
              <w:t xml:space="preserve">E departments so that when a named person in the selected cohort does attend A&amp;E, they receive more consistent care that better meets their needs.  </w:t>
            </w:r>
            <w:r>
              <w:rPr>
                <w:rFonts w:eastAsiaTheme="minorHAnsi" w:cs="Arial"/>
                <w:szCs w:val="24"/>
              </w:rPr>
              <w:t>Care p</w:t>
            </w:r>
            <w:r w:rsidRPr="00D7355F">
              <w:rPr>
                <w:rFonts w:eastAsiaTheme="minorHAnsi" w:cs="Arial"/>
                <w:szCs w:val="24"/>
              </w:rPr>
              <w:t>lans should be developed with the individual in question and involve and/or be shared with other relevant partner organisations where appropriate, such as primary care, including as part of the discharge planning process. Consideration should be given to the use of integrated and interoperable electronic care records or the enhanced Summary Care Record as enabling platforms</w:t>
            </w:r>
            <w:r w:rsidRPr="000D1DA3">
              <w:rPr>
                <w:rFonts w:eastAsiaTheme="minorHAnsi" w:cs="Arial"/>
                <w:szCs w:val="24"/>
              </w:rPr>
              <w:t>.</w:t>
            </w:r>
          </w:p>
          <w:p w:rsidR="000D1DA3" w:rsidRPr="000D1DA3" w:rsidRDefault="000D1DA3" w:rsidP="000D1DA3">
            <w:pPr>
              <w:pStyle w:val="ListParagraph"/>
              <w:keepNext/>
              <w:numPr>
                <w:ilvl w:val="0"/>
                <w:numId w:val="39"/>
              </w:numPr>
              <w:rPr>
                <w:rFonts w:eastAsiaTheme="minorHAnsi" w:cs="Arial"/>
                <w:szCs w:val="24"/>
              </w:rPr>
            </w:pPr>
            <w:r w:rsidRPr="00D7355F">
              <w:rPr>
                <w:rFonts w:eastAsiaTheme="minorHAnsi" w:cs="Arial"/>
                <w:szCs w:val="24"/>
              </w:rPr>
              <w:t>Strengthen existing / develop new services to support this cohort of people better and offer safe and more therapeutic alternatives to A&amp;E where appropriate</w:t>
            </w:r>
            <w:r w:rsidR="00364AF3">
              <w:rPr>
                <w:rFonts w:eastAsiaTheme="minorHAnsi" w:cs="Arial"/>
                <w:szCs w:val="24"/>
              </w:rPr>
              <w:t>.</w:t>
            </w:r>
          </w:p>
          <w:p w:rsidR="000D1DA3" w:rsidRPr="00D7355F" w:rsidRDefault="000D1DA3" w:rsidP="000D1DA3">
            <w:pPr>
              <w:pStyle w:val="ListParagraph"/>
              <w:keepNext/>
              <w:numPr>
                <w:ilvl w:val="0"/>
                <w:numId w:val="39"/>
              </w:numPr>
              <w:rPr>
                <w:rFonts w:eastAsiaTheme="minorHAnsi" w:cs="Arial"/>
                <w:bCs w:val="0"/>
                <w:szCs w:val="24"/>
              </w:rPr>
            </w:pPr>
            <w:r w:rsidRPr="00D7355F">
              <w:rPr>
                <w:rFonts w:eastAsiaTheme="minorHAnsi" w:cs="Arial"/>
                <w:szCs w:val="24"/>
              </w:rPr>
              <w:t>Over one year, reduce by 20% the number of attendances to A&amp;E for those within the selected cohort of frequent attenders, and establish improved services to ensure this reduction is sustainable</w:t>
            </w:r>
            <w:r>
              <w:rPr>
                <w:rFonts w:eastAsiaTheme="minorHAnsi" w:cs="Arial"/>
                <w:szCs w:val="24"/>
              </w:rPr>
              <w:t>;</w:t>
            </w:r>
            <w:r w:rsidRPr="00D7355F">
              <w:rPr>
                <w:rFonts w:eastAsiaTheme="minorHAnsi" w:cs="Arial"/>
                <w:szCs w:val="24"/>
              </w:rPr>
              <w:t xml:space="preserve"> </w:t>
            </w:r>
          </w:p>
          <w:p w:rsidR="000D1DA3" w:rsidRPr="00D7355F" w:rsidRDefault="000D1DA3" w:rsidP="000D1DA3">
            <w:pPr>
              <w:pStyle w:val="ListParagraph"/>
              <w:keepNext/>
              <w:numPr>
                <w:ilvl w:val="0"/>
                <w:numId w:val="39"/>
              </w:numPr>
              <w:rPr>
                <w:rFonts w:eastAsiaTheme="minorHAnsi" w:cs="Arial"/>
                <w:bCs w:val="0"/>
                <w:color w:val="FF0000"/>
                <w:szCs w:val="24"/>
              </w:rPr>
            </w:pPr>
            <w:r w:rsidRPr="00D7355F">
              <w:rPr>
                <w:rFonts w:eastAsiaTheme="minorHAnsi" w:cs="Arial"/>
                <w:szCs w:val="24"/>
              </w:rPr>
              <w:t>Improve the quality of A&amp;E diagnostic coding for mental health needs (primary and secondary), ensuring that coding for the final quarter of the year is complete and accurate</w:t>
            </w:r>
            <w:r>
              <w:rPr>
                <w:rFonts w:eastAsiaTheme="minorHAnsi" w:cs="Arial"/>
                <w:szCs w:val="24"/>
              </w:rPr>
              <w:t>; ensure</w:t>
            </w:r>
            <w:r w:rsidRPr="00D7355F">
              <w:rPr>
                <w:rFonts w:eastAsiaTheme="minorHAnsi" w:cs="Arial"/>
                <w:szCs w:val="24"/>
              </w:rPr>
              <w:t xml:space="preserve"> systems are in place to </w:t>
            </w:r>
            <w:r>
              <w:rPr>
                <w:rFonts w:eastAsiaTheme="minorHAnsi" w:cs="Arial"/>
                <w:szCs w:val="24"/>
              </w:rPr>
              <w:t>assure</w:t>
            </w:r>
            <w:r w:rsidRPr="00D7355F">
              <w:rPr>
                <w:rFonts w:eastAsiaTheme="minorHAnsi" w:cs="Arial"/>
                <w:szCs w:val="24"/>
              </w:rPr>
              <w:t xml:space="preserve"> quality of mental health diagnostic coding in the A&amp;E HES dataset going forward, including conducting an internal audit of all mental health diagnostic coding to provide assurance of data quality.  </w:t>
            </w:r>
          </w:p>
          <w:p w:rsidR="000D1DA3" w:rsidRPr="00D7355F" w:rsidRDefault="000D1DA3" w:rsidP="000D1DA3">
            <w:pPr>
              <w:keepNext/>
              <w:rPr>
                <w:rFonts w:cs="Arial"/>
                <w:bCs w:val="0"/>
                <w:i/>
                <w:szCs w:val="24"/>
              </w:rPr>
            </w:pPr>
          </w:p>
          <w:p w:rsidR="000D1DA3" w:rsidRPr="00D7355F" w:rsidRDefault="000D1DA3" w:rsidP="000D1DA3">
            <w:pPr>
              <w:keepNext/>
              <w:rPr>
                <w:rFonts w:cs="Arial"/>
                <w:bCs w:val="0"/>
                <w:i/>
                <w:szCs w:val="24"/>
              </w:rPr>
            </w:pPr>
            <w:r w:rsidRPr="00D7355F">
              <w:rPr>
                <w:rFonts w:cs="Arial"/>
                <w:i/>
                <w:szCs w:val="24"/>
              </w:rPr>
              <w:t>Year 2</w:t>
            </w:r>
          </w:p>
          <w:p w:rsidR="000D1DA3" w:rsidRPr="00D7355F" w:rsidRDefault="000D1DA3" w:rsidP="000D1DA3">
            <w:pPr>
              <w:pStyle w:val="ListParagraph"/>
              <w:keepNext/>
              <w:numPr>
                <w:ilvl w:val="0"/>
                <w:numId w:val="121"/>
              </w:numPr>
              <w:rPr>
                <w:rFonts w:cs="Arial"/>
                <w:szCs w:val="24"/>
              </w:rPr>
            </w:pPr>
            <w:r w:rsidRPr="00D7355F">
              <w:rPr>
                <w:rFonts w:cs="Arial"/>
                <w:szCs w:val="24"/>
              </w:rPr>
              <w:t xml:space="preserve">Sustain the reduction in year 1 of attendances to A&amp;E for those within the selected cohort of  frequent attenders </w:t>
            </w:r>
            <w:r w:rsidRPr="00D7355F">
              <w:rPr>
                <w:rFonts w:eastAsiaTheme="minorHAnsi" w:cs="Arial"/>
                <w:szCs w:val="24"/>
              </w:rPr>
              <w:t>who would benefit from mental health and psychosocial interventions</w:t>
            </w:r>
            <w:r>
              <w:rPr>
                <w:rFonts w:eastAsiaTheme="minorHAnsi" w:cs="Arial"/>
                <w:szCs w:val="24"/>
              </w:rPr>
              <w:t>;</w:t>
            </w:r>
            <w:r w:rsidRPr="00D7355F">
              <w:rPr>
                <w:rFonts w:eastAsiaTheme="minorHAnsi" w:cs="Arial"/>
                <w:szCs w:val="24"/>
              </w:rPr>
              <w:t xml:space="preserve"> </w:t>
            </w:r>
          </w:p>
          <w:p w:rsidR="000D1DA3" w:rsidRPr="00D7355F" w:rsidRDefault="000D1DA3" w:rsidP="000D1DA3">
            <w:pPr>
              <w:pStyle w:val="ListParagraph"/>
              <w:keepNext/>
              <w:numPr>
                <w:ilvl w:val="0"/>
                <w:numId w:val="121"/>
              </w:numPr>
              <w:rPr>
                <w:rFonts w:cs="Arial"/>
                <w:b/>
                <w:szCs w:val="24"/>
              </w:rPr>
            </w:pPr>
            <w:r w:rsidRPr="00D7355F">
              <w:rPr>
                <w:rFonts w:cs="Arial"/>
                <w:szCs w:val="24"/>
              </w:rPr>
              <w:t>Reduce total number of attendances to A&amp;E by1</w:t>
            </w:r>
            <w:r>
              <w:rPr>
                <w:rFonts w:cs="Arial"/>
                <w:szCs w:val="24"/>
              </w:rPr>
              <w:t>0</w:t>
            </w:r>
            <w:r w:rsidRPr="00D7355F">
              <w:rPr>
                <w:rFonts w:cs="Arial"/>
                <w:szCs w:val="24"/>
              </w:rPr>
              <w:t>% for all people with primary mental health needs.</w:t>
            </w:r>
            <w:r w:rsidRPr="00F13206">
              <w:rPr>
                <w:rStyle w:val="FootnoteReference"/>
                <w:rFonts w:eastAsiaTheme="majorEastAsia" w:cs="Arial"/>
                <w:szCs w:val="24"/>
              </w:rPr>
              <w:footnoteReference w:id="11"/>
            </w:r>
            <w:r w:rsidRPr="00F13206">
              <w:rPr>
                <w:rFonts w:cs="Arial"/>
                <w:szCs w:val="24"/>
              </w:rPr>
              <w:t xml:space="preserve"> </w:t>
            </w:r>
            <w:r w:rsidRPr="00D7355F">
              <w:rPr>
                <w:rFonts w:cs="Arial"/>
                <w:szCs w:val="24"/>
              </w:rPr>
              <w:t xml:space="preserve"> </w:t>
            </w:r>
          </w:p>
          <w:p w:rsidR="000D1DA3" w:rsidRPr="00D7355F" w:rsidRDefault="000D1DA3" w:rsidP="000D1DA3">
            <w:pPr>
              <w:pStyle w:val="ListParagraph"/>
              <w:keepNext/>
              <w:numPr>
                <w:ilvl w:val="0"/>
                <w:numId w:val="121"/>
              </w:numPr>
              <w:rPr>
                <w:rFonts w:cs="Arial"/>
                <w:b/>
                <w:szCs w:val="24"/>
              </w:rPr>
            </w:pPr>
            <w:r w:rsidRPr="00D7355F">
              <w:rPr>
                <w:rFonts w:cs="Arial"/>
                <w:szCs w:val="24"/>
              </w:rPr>
              <w:lastRenderedPageBreak/>
              <w:t>Strengthen existing / develop new services to support people with mental health needs better and offer safe and more therapeutic alternatives to A&amp;E where appropriate</w:t>
            </w:r>
            <w:r w:rsidRPr="000D1DA3">
              <w:rPr>
                <w:rFonts w:cs="Arial"/>
                <w:szCs w:val="24"/>
              </w:rPr>
              <w:t>.</w:t>
            </w:r>
          </w:p>
          <w:p w:rsidR="000D1DA3" w:rsidRPr="00D7355F" w:rsidRDefault="000D1DA3" w:rsidP="000D1DA3">
            <w:pPr>
              <w:pStyle w:val="ListParagraph"/>
              <w:numPr>
                <w:ilvl w:val="0"/>
                <w:numId w:val="121"/>
              </w:numPr>
              <w:rPr>
                <w:rFonts w:cs="Arial"/>
                <w:szCs w:val="24"/>
              </w:rPr>
            </w:pPr>
            <w:r w:rsidRPr="00D7355F">
              <w:rPr>
                <w:rFonts w:cs="Arial"/>
                <w:szCs w:val="24"/>
              </w:rPr>
              <w:t xml:space="preserve">Repeat internal audit of mental health diagnostic coding in A&amp;E to provide assurance of the quality of coding.  </w:t>
            </w:r>
          </w:p>
          <w:p w:rsidR="000D1DA3" w:rsidRPr="00D7355F" w:rsidRDefault="000D1DA3" w:rsidP="000D1DA3">
            <w:pPr>
              <w:pStyle w:val="ListParagraph"/>
              <w:keepNext/>
              <w:rPr>
                <w:rFonts w:cs="Arial"/>
                <w:b/>
                <w:szCs w:val="24"/>
              </w:rPr>
            </w:pPr>
          </w:p>
          <w:p w:rsidR="000D1DA3" w:rsidRPr="00D7355F" w:rsidRDefault="000D1DA3" w:rsidP="000D1DA3">
            <w:pPr>
              <w:rPr>
                <w:rFonts w:eastAsiaTheme="minorHAnsi" w:cs="Arial"/>
                <w:szCs w:val="24"/>
              </w:rPr>
            </w:pPr>
            <w:r w:rsidRPr="00D7355F">
              <w:rPr>
                <w:rFonts w:eastAsiaTheme="minorHAnsi" w:cs="Arial"/>
                <w:szCs w:val="24"/>
              </w:rPr>
              <w:t xml:space="preserve">The benefits expected from this CQUIN would be: </w:t>
            </w:r>
          </w:p>
          <w:p w:rsidR="000D1DA3" w:rsidRPr="00D7355F" w:rsidRDefault="000D1DA3" w:rsidP="000D1DA3">
            <w:pPr>
              <w:numPr>
                <w:ilvl w:val="0"/>
                <w:numId w:val="38"/>
              </w:numPr>
              <w:contextualSpacing/>
              <w:rPr>
                <w:rFonts w:eastAsiaTheme="minorHAnsi" w:cs="Arial"/>
                <w:szCs w:val="24"/>
              </w:rPr>
            </w:pPr>
            <w:r w:rsidRPr="00D7355F">
              <w:rPr>
                <w:rFonts w:eastAsiaTheme="minorHAnsi" w:cs="Arial"/>
                <w:szCs w:val="24"/>
              </w:rPr>
              <w:t xml:space="preserve">Identification of the most intensive users of local emergency physical and mental health services and improved understanding of their health and care needs and joint review / creation of personalised care plans for this cohort; </w:t>
            </w:r>
          </w:p>
          <w:p w:rsidR="000D1DA3" w:rsidRPr="00D7355F" w:rsidRDefault="000D1DA3" w:rsidP="000D1DA3">
            <w:pPr>
              <w:numPr>
                <w:ilvl w:val="0"/>
                <w:numId w:val="38"/>
              </w:numPr>
              <w:spacing w:after="200"/>
              <w:contextualSpacing/>
              <w:rPr>
                <w:rFonts w:eastAsiaTheme="minorHAnsi" w:cs="Arial"/>
                <w:szCs w:val="24"/>
              </w:rPr>
            </w:pPr>
            <w:r w:rsidRPr="00D7355F">
              <w:rPr>
                <w:rFonts w:eastAsiaTheme="minorHAnsi" w:cs="Arial"/>
                <w:szCs w:val="24"/>
              </w:rPr>
              <w:t>Reduced healthcare usage, reducing avoidable pressures on emergency departments and GP services;</w:t>
            </w:r>
          </w:p>
          <w:p w:rsidR="000D1DA3" w:rsidRPr="00D7355F" w:rsidRDefault="000D1DA3" w:rsidP="000D1DA3">
            <w:pPr>
              <w:numPr>
                <w:ilvl w:val="0"/>
                <w:numId w:val="38"/>
              </w:numPr>
              <w:spacing w:after="200"/>
              <w:contextualSpacing/>
              <w:rPr>
                <w:rFonts w:eastAsiaTheme="minorHAnsi" w:cs="Arial"/>
                <w:szCs w:val="24"/>
              </w:rPr>
            </w:pPr>
            <w:r w:rsidRPr="00D7355F">
              <w:rPr>
                <w:rFonts w:eastAsiaTheme="minorHAnsi" w:cs="Arial"/>
                <w:szCs w:val="24"/>
              </w:rPr>
              <w:t>Improved health and social outcomes for this cohort;</w:t>
            </w:r>
          </w:p>
          <w:p w:rsidR="000D1DA3" w:rsidRPr="00D7355F" w:rsidRDefault="000D1DA3" w:rsidP="000D1DA3">
            <w:pPr>
              <w:numPr>
                <w:ilvl w:val="0"/>
                <w:numId w:val="38"/>
              </w:numPr>
              <w:contextualSpacing/>
              <w:rPr>
                <w:rFonts w:eastAsiaTheme="minorHAnsi" w:cs="Arial"/>
                <w:szCs w:val="24"/>
              </w:rPr>
            </w:pPr>
            <w:r w:rsidRPr="00D7355F">
              <w:rPr>
                <w:rFonts w:eastAsiaTheme="minorHAnsi" w:cs="Arial"/>
                <w:szCs w:val="24"/>
              </w:rPr>
              <w:t xml:space="preserve">Improved experience of health and care services for this cohort, including reduced stigma through increased staff education </w:t>
            </w:r>
            <w:r>
              <w:rPr>
                <w:rFonts w:eastAsiaTheme="minorHAnsi" w:cs="Arial"/>
                <w:szCs w:val="24"/>
              </w:rPr>
              <w:t>and</w:t>
            </w:r>
            <w:r w:rsidRPr="00D7355F">
              <w:rPr>
                <w:rFonts w:eastAsiaTheme="minorHAnsi" w:cs="Arial"/>
                <w:szCs w:val="24"/>
              </w:rPr>
              <w:t xml:space="preserve"> awareness;</w:t>
            </w:r>
          </w:p>
          <w:p w:rsidR="000D1DA3" w:rsidRPr="00D7355F" w:rsidRDefault="000D1DA3" w:rsidP="000D1DA3">
            <w:pPr>
              <w:numPr>
                <w:ilvl w:val="0"/>
                <w:numId w:val="38"/>
              </w:numPr>
              <w:spacing w:after="200"/>
              <w:contextualSpacing/>
              <w:rPr>
                <w:rFonts w:eastAsiaTheme="minorHAnsi" w:cs="Arial"/>
                <w:szCs w:val="24"/>
              </w:rPr>
            </w:pPr>
            <w:r w:rsidRPr="00D7355F">
              <w:rPr>
                <w:rFonts w:eastAsiaTheme="minorHAnsi" w:cs="Arial"/>
                <w:szCs w:val="24"/>
              </w:rPr>
              <w:t xml:space="preserve">Improved data quality and recording of mental health need in emergency departments; </w:t>
            </w:r>
          </w:p>
          <w:p w:rsidR="000D1DA3" w:rsidRPr="00D7355F" w:rsidRDefault="000D1DA3" w:rsidP="000D1DA3">
            <w:pPr>
              <w:numPr>
                <w:ilvl w:val="0"/>
                <w:numId w:val="38"/>
              </w:numPr>
              <w:contextualSpacing/>
              <w:rPr>
                <w:rFonts w:eastAsiaTheme="minorHAnsi" w:cs="Arial"/>
                <w:szCs w:val="24"/>
              </w:rPr>
            </w:pPr>
            <w:r w:rsidRPr="00D7355F">
              <w:rPr>
                <w:rFonts w:eastAsiaTheme="minorHAnsi" w:cs="Arial"/>
                <w:szCs w:val="24"/>
              </w:rPr>
              <w:t>Improve</w:t>
            </w:r>
            <w:r>
              <w:rPr>
                <w:rFonts w:eastAsiaTheme="minorHAnsi" w:cs="Arial"/>
                <w:szCs w:val="24"/>
              </w:rPr>
              <w:t>d</w:t>
            </w:r>
            <w:r w:rsidRPr="00D7355F">
              <w:rPr>
                <w:rFonts w:eastAsiaTheme="minorHAnsi" w:cs="Arial"/>
                <w:szCs w:val="24"/>
              </w:rPr>
              <w:t xml:space="preserve"> integrated care pathways across providers, including timely communication and collaboration between acute trusts, mental health providers, ambulance services, primary care, social care, public health (drug/alcohol services) and the voluntary sector</w:t>
            </w:r>
            <w:r w:rsidRPr="000D1DA3">
              <w:rPr>
                <w:rFonts w:eastAsiaTheme="minorHAnsi" w:cs="Arial"/>
                <w:szCs w:val="24"/>
              </w:rPr>
              <w:t>; and</w:t>
            </w:r>
          </w:p>
          <w:p w:rsidR="0013071F" w:rsidRPr="00C30980" w:rsidRDefault="000D1DA3" w:rsidP="000D1DA3">
            <w:pPr>
              <w:numPr>
                <w:ilvl w:val="0"/>
                <w:numId w:val="38"/>
              </w:numPr>
              <w:contextualSpacing/>
              <w:rPr>
                <w:rFonts w:eastAsiaTheme="minorHAnsi" w:cs="Arial"/>
                <w:szCs w:val="24"/>
              </w:rPr>
            </w:pPr>
            <w:r w:rsidRPr="00D7355F">
              <w:rPr>
                <w:rFonts w:eastAsiaTheme="minorHAnsi" w:cs="Arial"/>
                <w:szCs w:val="24"/>
              </w:rPr>
              <w:t>Joint governance and working between various providers will provide a better picture of local needs and demand, which can inform commissioning.</w:t>
            </w:r>
          </w:p>
        </w:tc>
      </w:tr>
      <w:tr w:rsidR="0013071F" w:rsidRPr="00A91133" w:rsidTr="006A0823">
        <w:tc>
          <w:tcPr>
            <w:tcW w:w="2660" w:type="dxa"/>
          </w:tcPr>
          <w:p w:rsidR="0013071F" w:rsidRPr="001D5B02" w:rsidRDefault="0013071F" w:rsidP="006A0823">
            <w:pPr>
              <w:rPr>
                <w:rFonts w:cs="Arial"/>
                <w:b/>
                <w:color w:val="000000"/>
                <w:lang w:eastAsia="en-GB"/>
              </w:rPr>
            </w:pPr>
            <w:r>
              <w:rPr>
                <w:rFonts w:cs="Arial"/>
                <w:color w:val="000000"/>
              </w:rPr>
              <w:lastRenderedPageBreak/>
              <w:t>Numerator / Denominator</w:t>
            </w:r>
          </w:p>
        </w:tc>
        <w:tc>
          <w:tcPr>
            <w:tcW w:w="5953" w:type="dxa"/>
          </w:tcPr>
          <w:p w:rsidR="0013071F" w:rsidRPr="00CC5155" w:rsidRDefault="0013071F" w:rsidP="006A0823">
            <w:pPr>
              <w:keepNext/>
              <w:rPr>
                <w:rFonts w:eastAsiaTheme="minorHAnsi" w:cs="Arial"/>
                <w:b/>
                <w:szCs w:val="24"/>
                <w:lang w:eastAsia="en-GB"/>
              </w:rPr>
            </w:pPr>
            <w:r w:rsidRPr="00CC5155">
              <w:rPr>
                <w:rFonts w:eastAsiaTheme="minorHAnsi" w:cs="Arial"/>
                <w:b/>
                <w:szCs w:val="24"/>
                <w:lang w:eastAsia="en-GB"/>
              </w:rPr>
              <w:t>For Year 1 (2017/18):</w:t>
            </w:r>
          </w:p>
          <w:p w:rsidR="0013071F" w:rsidRPr="00CC5155" w:rsidRDefault="0013071F" w:rsidP="006A0823">
            <w:pPr>
              <w:pStyle w:val="ListParagraph"/>
              <w:keepNext/>
              <w:rPr>
                <w:rFonts w:eastAsiaTheme="minorHAnsi" w:cs="Arial"/>
                <w:szCs w:val="24"/>
              </w:rPr>
            </w:pPr>
          </w:p>
          <w:p w:rsidR="0013071F" w:rsidRPr="00CC5155" w:rsidRDefault="0013071F" w:rsidP="00DF18AB">
            <w:pPr>
              <w:pStyle w:val="ListParagraph"/>
              <w:keepNext/>
              <w:numPr>
                <w:ilvl w:val="0"/>
                <w:numId w:val="118"/>
              </w:numPr>
              <w:rPr>
                <w:rFonts w:eastAsiaTheme="minorHAnsi" w:cs="Arial"/>
                <w:szCs w:val="24"/>
                <w:lang w:eastAsia="en-GB"/>
              </w:rPr>
            </w:pPr>
            <w:r w:rsidRPr="00CC5155">
              <w:rPr>
                <w:rFonts w:eastAsiaTheme="minorHAnsi" w:cs="Arial"/>
                <w:szCs w:val="24"/>
                <w:lang w:eastAsia="en-GB"/>
              </w:rPr>
              <w:t>Reduce by 20% the number of attendances to A&amp;E for those within the selected cohort of frequent attenders who would benefit from mental health and psychosocial interventions, and establish improved services to ensure this reduction is sustainable</w:t>
            </w:r>
            <w:r w:rsidRPr="00CC5155">
              <w:rPr>
                <w:rFonts w:eastAsiaTheme="minorHAnsi" w:cs="Arial"/>
                <w:szCs w:val="24"/>
              </w:rPr>
              <w:t>:</w:t>
            </w:r>
          </w:p>
          <w:p w:rsidR="0013071F" w:rsidRDefault="0013071F" w:rsidP="006A0823">
            <w:pPr>
              <w:ind w:left="720"/>
              <w:contextualSpacing/>
              <w:rPr>
                <w:rFonts w:ascii="Cambria Math" w:hAnsi="Cambria Math" w:cs="Arial"/>
                <w:i/>
                <w:sz w:val="18"/>
                <w:szCs w:val="18"/>
              </w:rPr>
            </w:pPr>
          </w:p>
          <w:p w:rsidR="0013071F" w:rsidRPr="007059FC" w:rsidRDefault="0013071F" w:rsidP="006A0823">
            <w:pPr>
              <w:ind w:left="720"/>
              <w:contextualSpacing/>
              <w:rPr>
                <w:rFonts w:ascii="Cambria Math" w:hAnsi="Cambria Math" w:cs="Arial"/>
                <w:i/>
                <w:sz w:val="18"/>
                <w:szCs w:val="18"/>
              </w:rPr>
            </w:pPr>
          </w:p>
          <w:p w:rsidR="0013071F" w:rsidRPr="00956F3B" w:rsidRDefault="0013071F" w:rsidP="006A0823">
            <w:pPr>
              <w:rPr>
                <w:rFonts w:ascii="Cambria Math" w:hAnsi="Cambria Math" w:cs="Arial"/>
                <w:i/>
                <w:sz w:val="18"/>
                <w:szCs w:val="18"/>
              </w:rPr>
            </w:pPr>
            <m:oMathPara>
              <m:oMathParaPr>
                <m:jc m:val="right"/>
              </m:oMathParaPr>
              <m:oMath>
                <m:r>
                  <w:rPr>
                    <w:rFonts w:ascii="Cambria Math" w:hAnsi="Cambria Math" w:cs="Arial"/>
                    <w:sz w:val="20"/>
                    <w:szCs w:val="20"/>
                  </w:rPr>
                  <w:lastRenderedPageBreak/>
                  <m:t xml:space="preserve">= </m:t>
                </m:r>
                <m:d>
                  <m:dPr>
                    <m:begChr m:val="["/>
                    <m:endChr m:val="]"/>
                    <m:ctrlPr>
                      <w:rPr>
                        <w:rFonts w:ascii="Cambria Math" w:hAnsi="Cambria Math" w:cs="Arial"/>
                        <w:i/>
                        <w:sz w:val="20"/>
                        <w:szCs w:val="20"/>
                      </w:rPr>
                    </m:ctrlPr>
                  </m:dPr>
                  <m:e>
                    <m:f>
                      <m:fPr>
                        <m:ctrlPr>
                          <w:rPr>
                            <w:rFonts w:ascii="Cambria Math" w:hAnsi="Cambria Math" w:cs="Arial"/>
                            <w:sz w:val="20"/>
                            <w:szCs w:val="20"/>
                          </w:rPr>
                        </m:ctrlPr>
                      </m:fPr>
                      <m:num>
                        <m:eqArr>
                          <m:eqArrPr>
                            <m:ctrlPr>
                              <w:rPr>
                                <w:rFonts w:ascii="Cambria Math" w:hAnsi="Cambria Math" w:cs="Arial"/>
                                <w:sz w:val="20"/>
                                <w:szCs w:val="20"/>
                              </w:rPr>
                            </m:ctrlPr>
                          </m:eqArrPr>
                          <m:e>
                            <m:r>
                              <m:rPr>
                                <m:sty m:val="p"/>
                              </m:rPr>
                              <w:rPr>
                                <w:rFonts w:ascii="Cambria Math" w:hAnsi="Cambria Math" w:cs="Arial"/>
                                <w:sz w:val="20"/>
                                <w:szCs w:val="20"/>
                              </w:rPr>
                              <m:t xml:space="preserve"> </m:t>
                            </m:r>
                          </m:e>
                          <m:e>
                            <m:r>
                              <m:rPr>
                                <m:sty m:val="p"/>
                              </m:rPr>
                              <w:rPr>
                                <w:rFonts w:ascii="Cambria Math" w:hAnsi="Cambria Math" w:cs="Arial"/>
                                <w:sz w:val="20"/>
                                <w:szCs w:val="20"/>
                              </w:rPr>
                              <m:t xml:space="preserve">Number of Accident and &amp;Emergency  </m:t>
                            </m:r>
                            <m:ctrlPr>
                              <w:rPr>
                                <w:rFonts w:ascii="Cambria Math" w:eastAsia="Cambria Math" w:hAnsi="Cambria Math" w:cs="Cambria Math"/>
                                <w:sz w:val="20"/>
                                <w:szCs w:val="20"/>
                              </w:rPr>
                            </m:ctrlPr>
                          </m:e>
                          <m:e>
                            <m:r>
                              <m:rPr>
                                <m:sty m:val="p"/>
                              </m:rPr>
                              <w:rPr>
                                <w:rFonts w:ascii="Cambria Math" w:hAnsi="Cambria Math" w:cs="Arial"/>
                                <w:sz w:val="20"/>
                                <w:szCs w:val="20"/>
                              </w:rPr>
                              <m:t xml:space="preserve">presentations during 2017- 18 from those </m:t>
                            </m:r>
                            <m:ctrlPr>
                              <w:rPr>
                                <w:rFonts w:ascii="Cambria Math" w:eastAsia="Cambria Math" w:hAnsi="Cambria Math" w:cs="Arial"/>
                                <w:sz w:val="20"/>
                                <w:szCs w:val="20"/>
                              </w:rPr>
                            </m:ctrlPr>
                          </m:e>
                          <m:e>
                            <m:r>
                              <m:rPr>
                                <m:sty m:val="p"/>
                              </m:rPr>
                              <w:rPr>
                                <w:rFonts w:ascii="Cambria Math" w:hAnsi="Cambria Math" w:cs="Arial"/>
                                <w:sz w:val="20"/>
                                <w:szCs w:val="20"/>
                              </w:rPr>
                              <m:t xml:space="preserve">within the selected cohort of frequent </m:t>
                            </m:r>
                            <m:ctrlPr>
                              <w:rPr>
                                <w:rFonts w:ascii="Cambria Math" w:eastAsia="Cambria Math" w:hAnsi="Cambria Math" w:cs="Arial"/>
                                <w:sz w:val="20"/>
                                <w:szCs w:val="20"/>
                              </w:rPr>
                            </m:ctrlPr>
                          </m:e>
                          <m:e>
                            <m:r>
                              <m:rPr>
                                <m:sty m:val="p"/>
                              </m:rPr>
                              <w:rPr>
                                <w:rFonts w:ascii="Cambria Math" w:hAnsi="Cambria Math" w:cs="Arial"/>
                                <w:sz w:val="20"/>
                                <w:szCs w:val="20"/>
                              </w:rPr>
                              <m:t xml:space="preserve"> attenders in 2016-17 who would</m:t>
                            </m:r>
                            <m:ctrlPr>
                              <w:rPr>
                                <w:rFonts w:ascii="Cambria Math" w:eastAsia="Cambria Math" w:hAnsi="Cambria Math" w:cs="Cambria Math"/>
                                <w:sz w:val="20"/>
                                <w:szCs w:val="20"/>
                              </w:rPr>
                            </m:ctrlPr>
                          </m:e>
                          <m:e>
                            <m:r>
                              <m:rPr>
                                <m:sty m:val="p"/>
                              </m:rPr>
                              <w:rPr>
                                <w:rFonts w:ascii="Cambria Math" w:eastAsia="Cambria Math" w:hAnsi="Cambria Math" w:cs="Arial"/>
                                <w:sz w:val="20"/>
                                <w:szCs w:val="20"/>
                              </w:rPr>
                              <m:t xml:space="preserve"> benefit from mental health and</m:t>
                            </m:r>
                            <m:ctrlPr>
                              <w:rPr>
                                <w:rFonts w:ascii="Cambria Math" w:eastAsia="Cambria Math" w:hAnsi="Cambria Math" w:cs="Cambria Math"/>
                                <w:bCs w:val="0"/>
                                <w:sz w:val="20"/>
                                <w:szCs w:val="20"/>
                              </w:rPr>
                            </m:ctrlPr>
                          </m:e>
                          <m:e>
                            <m:r>
                              <m:rPr>
                                <m:sty m:val="p"/>
                              </m:rPr>
                              <w:rPr>
                                <w:rFonts w:ascii="Cambria Math" w:eastAsia="Cambria Math" w:hAnsi="Cambria Math" w:cs="Cambria Math"/>
                                <w:sz w:val="20"/>
                                <w:szCs w:val="20"/>
                              </w:rPr>
                              <m:t xml:space="preserve"> psychosocial interventions</m:t>
                            </m:r>
                            <m:r>
                              <m:rPr>
                                <m:sty m:val="p"/>
                              </m:rPr>
                              <w:rPr>
                                <w:rFonts w:ascii="Cambria Math" w:eastAsia="Cambria Math" w:hAnsi="Cambria Math" w:cs="Arial"/>
                                <w:sz w:val="20"/>
                                <w:szCs w:val="20"/>
                              </w:rPr>
                              <m:t xml:space="preserve"> </m:t>
                            </m:r>
                          </m:e>
                        </m:eqArr>
                      </m:num>
                      <m:den>
                        <m:eqArr>
                          <m:eqArrPr>
                            <m:ctrlPr>
                              <w:rPr>
                                <w:rFonts w:ascii="Cambria Math" w:hAnsi="Cambria Math" w:cs="Arial"/>
                                <w:sz w:val="20"/>
                                <w:szCs w:val="20"/>
                              </w:rPr>
                            </m:ctrlPr>
                          </m:eqArrPr>
                          <m:e>
                            <m:r>
                              <m:rPr>
                                <m:sty m:val="p"/>
                              </m:rPr>
                              <w:rPr>
                                <w:rFonts w:ascii="Cambria Math" w:hAnsi="Cambria Math" w:cs="Arial"/>
                                <w:sz w:val="20"/>
                                <w:szCs w:val="20"/>
                              </w:rPr>
                              <m:t xml:space="preserve">Number of Accident and Emergency </m:t>
                            </m:r>
                          </m:e>
                          <m:e>
                            <m:r>
                              <m:rPr>
                                <m:sty m:val="p"/>
                              </m:rPr>
                              <w:rPr>
                                <w:rFonts w:ascii="Cambria Math" w:hAnsi="Cambria Math" w:cs="Arial"/>
                                <w:sz w:val="20"/>
                                <w:szCs w:val="20"/>
                              </w:rPr>
                              <m:t xml:space="preserve">presentations during 2016-17 from those  </m:t>
                            </m:r>
                            <m:ctrlPr>
                              <w:rPr>
                                <w:rFonts w:ascii="Cambria Math" w:eastAsia="Cambria Math" w:hAnsi="Cambria Math" w:cs="Arial"/>
                                <w:sz w:val="20"/>
                                <w:szCs w:val="20"/>
                              </w:rPr>
                            </m:ctrlPr>
                          </m:e>
                          <m:e>
                            <m:r>
                              <m:rPr>
                                <m:sty m:val="p"/>
                              </m:rPr>
                              <w:rPr>
                                <w:rFonts w:ascii="Cambria Math" w:hAnsi="Cambria Math" w:cs="Arial"/>
                                <w:sz w:val="20"/>
                                <w:szCs w:val="20"/>
                              </w:rPr>
                              <m:t xml:space="preserve">within the selected </m:t>
                            </m:r>
                            <m:r>
                              <m:rPr>
                                <m:sty m:val="p"/>
                              </m:rPr>
                              <w:rPr>
                                <w:rFonts w:ascii="Cambria Math" w:eastAsia="Cambria Math" w:hAnsi="Cambria Math" w:cs="Arial"/>
                                <w:sz w:val="20"/>
                                <w:szCs w:val="20"/>
                              </w:rPr>
                              <m:t>cohort of frequent attenders</m:t>
                            </m:r>
                            <m:ctrlPr>
                              <w:rPr>
                                <w:rFonts w:ascii="Cambria Math" w:eastAsia="Cambria Math" w:hAnsi="Cambria Math" w:cs="Cambria Math"/>
                                <w:sz w:val="20"/>
                                <w:szCs w:val="20"/>
                              </w:rPr>
                            </m:ctrlPr>
                          </m:e>
                          <m:e>
                            <m:r>
                              <m:rPr>
                                <m:sty m:val="p"/>
                              </m:rPr>
                              <w:rPr>
                                <w:rFonts w:ascii="Cambria Math" w:eastAsia="Cambria Math" w:hAnsi="Cambria Math" w:cs="Cambria Math"/>
                                <w:sz w:val="20"/>
                                <w:szCs w:val="20"/>
                              </w:rPr>
                              <m:t xml:space="preserve">in 2016-17 who would benefit from mental </m:t>
                            </m:r>
                            <m:ctrlPr>
                              <w:rPr>
                                <w:rFonts w:ascii="Cambria Math" w:eastAsia="Cambria Math" w:hAnsi="Cambria Math" w:cs="Cambria Math"/>
                                <w:sz w:val="20"/>
                                <w:szCs w:val="20"/>
                              </w:rPr>
                            </m:ctrlPr>
                          </m:e>
                          <m:e>
                            <m:r>
                              <m:rPr>
                                <m:sty m:val="p"/>
                              </m:rPr>
                              <w:rPr>
                                <w:rFonts w:ascii="Cambria Math" w:eastAsia="Cambria Math" w:hAnsi="Cambria Math" w:cs="Cambria Math"/>
                                <w:sz w:val="20"/>
                                <w:szCs w:val="20"/>
                              </w:rPr>
                              <m:t>health and psychosocial intereventions</m:t>
                            </m:r>
                            <m:ctrlPr>
                              <w:rPr>
                                <w:rFonts w:ascii="Cambria Math" w:eastAsia="Cambria Math" w:hAnsi="Cambria Math" w:cs="Cambria Math"/>
                                <w:bCs w:val="0"/>
                                <w:sz w:val="20"/>
                                <w:szCs w:val="20"/>
                              </w:rPr>
                            </m:ctrlPr>
                          </m:e>
                          <m:e>
                            <m:r>
                              <m:rPr>
                                <m:sty m:val="p"/>
                              </m:rPr>
                              <w:rPr>
                                <w:rFonts w:ascii="Cambria Math" w:eastAsia="Cambria Math" w:hAnsi="Cambria Math" w:cs="Arial"/>
                                <w:sz w:val="20"/>
                                <w:szCs w:val="20"/>
                              </w:rPr>
                              <m:t xml:space="preserve"> </m:t>
                            </m:r>
                          </m:e>
                        </m:eqArr>
                      </m:den>
                    </m:f>
                  </m:e>
                </m:d>
                <m:r>
                  <w:rPr>
                    <w:rFonts w:ascii="Cambria Math" w:hAnsi="Cambria Math" w:cs="Arial"/>
                    <w:sz w:val="20"/>
                    <w:szCs w:val="20"/>
                  </w:rPr>
                  <m:t xml:space="preserve"> ×100%</m:t>
                </m:r>
              </m:oMath>
            </m:oMathPara>
          </w:p>
          <w:p w:rsidR="0013071F" w:rsidRPr="007059FC" w:rsidRDefault="0013071F" w:rsidP="006A0823">
            <w:pPr>
              <w:rPr>
                <w:rFonts w:ascii="Cambria Math" w:hAnsi="Cambria Math" w:cs="Arial"/>
                <w:i/>
                <w:sz w:val="18"/>
                <w:szCs w:val="18"/>
              </w:rPr>
            </w:pPr>
          </w:p>
          <w:p w:rsidR="0013071F" w:rsidRDefault="0013071F" w:rsidP="006A0823">
            <w:pPr>
              <w:keepNext/>
              <w:rPr>
                <w:rFonts w:eastAsiaTheme="minorHAnsi" w:cs="Arial"/>
                <w:szCs w:val="24"/>
              </w:rPr>
            </w:pPr>
            <w:proofErr w:type="spellStart"/>
            <w:r w:rsidRPr="00CC5155">
              <w:rPr>
                <w:rFonts w:eastAsiaTheme="minorHAnsi" w:cs="Arial"/>
                <w:szCs w:val="24"/>
                <w:lang w:eastAsia="en-GB"/>
              </w:rPr>
              <w:t>e.g</w:t>
            </w:r>
            <w:proofErr w:type="spellEnd"/>
            <w:r w:rsidRPr="00CC5155">
              <w:rPr>
                <w:rFonts w:eastAsiaTheme="minorHAnsi" w:cs="Arial"/>
                <w:szCs w:val="24"/>
                <w:lang w:eastAsia="en-GB"/>
              </w:rPr>
              <w:t>:</w:t>
            </w:r>
          </w:p>
          <w:p w:rsidR="0013071F" w:rsidRPr="00CC5155" w:rsidRDefault="0013071F" w:rsidP="006A0823">
            <w:pPr>
              <w:keepNext/>
              <w:rPr>
                <w:rFonts w:eastAsiaTheme="minorHAnsi" w:cs="Arial"/>
                <w:szCs w:val="24"/>
                <w:lang w:eastAsia="en-GB"/>
              </w:rPr>
            </w:pPr>
          </w:p>
          <w:p w:rsidR="0013071F" w:rsidRPr="00D11CB8" w:rsidRDefault="0013071F" w:rsidP="006A0823">
            <w:pPr>
              <w:rPr>
                <w:rFonts w:ascii="Cambria Math" w:hAnsi="Cambria Math" w:cs="Arial"/>
                <w:sz w:val="18"/>
                <w:szCs w:val="18"/>
              </w:rPr>
            </w:pPr>
            <m:oMathPara>
              <m:oMath>
                <m:r>
                  <w:rPr>
                    <w:rFonts w:ascii="Cambria Math" w:hAnsi="Cambria Math" w:cs="Arial"/>
                    <w:sz w:val="18"/>
                    <w:szCs w:val="18"/>
                  </w:rPr>
                  <m:t xml:space="preserve"> </m:t>
                </m:r>
                <m:d>
                  <m:dPr>
                    <m:begChr m:val="["/>
                    <m:endChr m:val="]"/>
                    <m:ctrlPr>
                      <w:rPr>
                        <w:rFonts w:ascii="Cambria Math" w:hAnsi="Cambria Math" w:cs="Arial"/>
                        <w:sz w:val="18"/>
                        <w:szCs w:val="18"/>
                      </w:rPr>
                    </m:ctrlPr>
                  </m:dPr>
                  <m:e>
                    <m:f>
                      <m:fPr>
                        <m:ctrlPr>
                          <w:rPr>
                            <w:rFonts w:ascii="Cambria Math" w:hAnsi="Cambria Math" w:cs="Arial"/>
                            <w:sz w:val="18"/>
                            <w:szCs w:val="18"/>
                          </w:rPr>
                        </m:ctrlPr>
                      </m:fPr>
                      <m:num>
                        <m:r>
                          <m:rPr>
                            <m:sty m:val="p"/>
                          </m:rPr>
                          <w:rPr>
                            <w:rFonts w:ascii="Cambria Math" w:hAnsi="Cambria Math" w:cs="Arial"/>
                            <w:sz w:val="18"/>
                            <w:szCs w:val="18"/>
                          </w:rPr>
                          <m:t>150 presentations in 2017-18</m:t>
                        </m:r>
                      </m:num>
                      <m:den>
                        <m:r>
                          <m:rPr>
                            <m:sty m:val="p"/>
                          </m:rPr>
                          <w:rPr>
                            <w:rFonts w:ascii="Cambria Math" w:hAnsi="Cambria Math" w:cs="Arial"/>
                            <w:sz w:val="18"/>
                            <w:szCs w:val="18"/>
                          </w:rPr>
                          <m:t>200 presentations in 2016-17</m:t>
                        </m:r>
                      </m:den>
                    </m:f>
                  </m:e>
                </m:d>
                <m:r>
                  <m:rPr>
                    <m:sty m:val="p"/>
                  </m:rPr>
                  <w:rPr>
                    <w:rFonts w:ascii="Cambria Math" w:hAnsi="Cambria Math" w:cs="Arial"/>
                    <w:sz w:val="18"/>
                    <w:szCs w:val="18"/>
                  </w:rPr>
                  <m:t xml:space="preserve"> ×100%=75% (i.e. 25% reduction)</m:t>
                </m:r>
              </m:oMath>
            </m:oMathPara>
          </w:p>
          <w:p w:rsidR="0013071F" w:rsidRDefault="0013071F" w:rsidP="006A0823">
            <w:pPr>
              <w:rPr>
                <w:rFonts w:ascii="Cambria Math" w:hAnsi="Cambria Math" w:cs="Arial"/>
                <w:i/>
                <w:sz w:val="18"/>
                <w:szCs w:val="18"/>
              </w:rPr>
            </w:pPr>
          </w:p>
          <w:p w:rsidR="0013071F" w:rsidRPr="007059FC" w:rsidRDefault="0013071F" w:rsidP="006A0823">
            <w:pPr>
              <w:rPr>
                <w:rFonts w:ascii="Cambria Math" w:hAnsi="Cambria Math" w:cs="Arial"/>
                <w:i/>
                <w:sz w:val="18"/>
                <w:szCs w:val="18"/>
              </w:rPr>
            </w:pPr>
          </w:p>
          <w:p w:rsidR="0013071F" w:rsidRPr="00CC5155" w:rsidRDefault="0013071F" w:rsidP="006A0823">
            <w:pPr>
              <w:keepNext/>
              <w:rPr>
                <w:rFonts w:eastAsiaTheme="minorHAnsi" w:cs="Arial"/>
                <w:b/>
                <w:szCs w:val="24"/>
              </w:rPr>
            </w:pPr>
            <w:r w:rsidRPr="00CC5155">
              <w:rPr>
                <w:rFonts w:eastAsiaTheme="minorHAnsi" w:cs="Arial"/>
                <w:b/>
                <w:szCs w:val="24"/>
              </w:rPr>
              <w:t xml:space="preserve">For Year 2 (2018/19): </w:t>
            </w:r>
          </w:p>
          <w:p w:rsidR="0013071F" w:rsidRPr="007059FC" w:rsidRDefault="0013071F" w:rsidP="006A0823">
            <w:pPr>
              <w:rPr>
                <w:rFonts w:ascii="Cambria Math" w:hAnsi="Cambria Math" w:cs="Arial"/>
                <w:i/>
                <w:sz w:val="18"/>
                <w:szCs w:val="18"/>
              </w:rPr>
            </w:pPr>
          </w:p>
          <w:p w:rsidR="0013071F" w:rsidRPr="007059FC" w:rsidRDefault="0013071F" w:rsidP="00DF18AB">
            <w:pPr>
              <w:pStyle w:val="ListParagraph"/>
              <w:keepNext/>
              <w:numPr>
                <w:ilvl w:val="0"/>
                <w:numId w:val="119"/>
              </w:numPr>
              <w:rPr>
                <w:rFonts w:eastAsiaTheme="minorHAnsi" w:cs="Arial"/>
                <w:szCs w:val="24"/>
              </w:rPr>
            </w:pPr>
            <w:r w:rsidRPr="007059FC">
              <w:rPr>
                <w:rFonts w:eastAsiaTheme="minorHAnsi" w:cs="Arial"/>
                <w:szCs w:val="24"/>
              </w:rPr>
              <w:t xml:space="preserve">Sustain the reduction in year 1 of attendances to A&amp;E for those within the selected cohort of frequent attenders who would benefit from mental health and psychosocial interventions </w:t>
            </w:r>
            <w:r w:rsidRPr="008B7F12">
              <w:rPr>
                <w:rFonts w:eastAsiaTheme="minorHAnsi" w:cs="Arial"/>
                <w:szCs w:val="24"/>
              </w:rPr>
              <w:t>- the cohort will need to be adjusted for attrition</w:t>
            </w:r>
            <w:r w:rsidRPr="008B7F12">
              <w:rPr>
                <w:rStyle w:val="FootnoteReference"/>
                <w:rFonts w:eastAsiaTheme="minorHAnsi" w:cs="Arial"/>
                <w:szCs w:val="24"/>
              </w:rPr>
              <w:footnoteReference w:id="12"/>
            </w:r>
            <w:r w:rsidRPr="007059FC">
              <w:rPr>
                <w:rFonts w:eastAsiaTheme="minorHAnsi" w:cs="Arial"/>
                <w:szCs w:val="24"/>
              </w:rPr>
              <w:t xml:space="preserve">; </w:t>
            </w:r>
          </w:p>
          <w:p w:rsidR="0013071F" w:rsidRDefault="0013071F" w:rsidP="006A0823">
            <w:pPr>
              <w:pStyle w:val="ListParagraph"/>
              <w:keepNext/>
              <w:rPr>
                <w:rFonts w:ascii="Cambria Math" w:hAnsi="Cambria Math" w:cs="Arial"/>
                <w:i/>
                <w:sz w:val="18"/>
                <w:szCs w:val="18"/>
              </w:rPr>
            </w:pPr>
          </w:p>
          <w:p w:rsidR="0013071F" w:rsidRPr="007059FC" w:rsidRDefault="0013071F" w:rsidP="006A0823">
            <w:pPr>
              <w:pStyle w:val="ListParagraph"/>
              <w:keepNext/>
              <w:rPr>
                <w:rFonts w:ascii="Cambria Math" w:hAnsi="Cambria Math" w:cs="Arial"/>
                <w:i/>
                <w:sz w:val="18"/>
                <w:szCs w:val="18"/>
              </w:rPr>
            </w:pPr>
          </w:p>
          <w:p w:rsidR="0013071F" w:rsidRPr="00956F3B" w:rsidRDefault="0013071F" w:rsidP="006A0823">
            <w:pPr>
              <w:pStyle w:val="ListParagraph"/>
              <w:keepNext/>
              <w:ind w:left="126" w:hanging="126"/>
              <w:rPr>
                <w:rFonts w:ascii="Cambria Math" w:hAnsi="Cambria Math" w:cs="Arial"/>
                <w:i/>
                <w:sz w:val="18"/>
                <w:szCs w:val="18"/>
              </w:rPr>
            </w:pPr>
            <m:oMathPara>
              <m:oMathParaPr>
                <m:jc m:val="right"/>
              </m:oMathParaPr>
              <m:oMath>
                <m:r>
                  <w:rPr>
                    <w:rFonts w:ascii="Cambria Math" w:hAnsi="Cambria Math" w:cs="Arial"/>
                    <w:sz w:val="20"/>
                    <w:szCs w:val="20"/>
                  </w:rPr>
                  <m:t xml:space="preserve">= </m:t>
                </m:r>
                <m:d>
                  <m:dPr>
                    <m:begChr m:val="["/>
                    <m:endChr m:val="]"/>
                    <m:ctrlPr>
                      <w:rPr>
                        <w:rFonts w:ascii="Cambria Math" w:hAnsi="Cambria Math" w:cs="Arial"/>
                        <w:i/>
                        <w:sz w:val="20"/>
                        <w:szCs w:val="20"/>
                      </w:rPr>
                    </m:ctrlPr>
                  </m:dPr>
                  <m:e>
                    <m:f>
                      <m:fPr>
                        <m:ctrlPr>
                          <w:rPr>
                            <w:rFonts w:ascii="Cambria Math" w:hAnsi="Cambria Math" w:cs="Arial"/>
                            <w:sz w:val="20"/>
                            <w:szCs w:val="20"/>
                          </w:rPr>
                        </m:ctrlPr>
                      </m:fPr>
                      <m:num>
                        <m:eqArr>
                          <m:eqArrPr>
                            <m:ctrlPr>
                              <w:rPr>
                                <w:rFonts w:ascii="Cambria Math" w:hAnsi="Cambria Math" w:cs="Arial"/>
                                <w:sz w:val="20"/>
                                <w:szCs w:val="20"/>
                              </w:rPr>
                            </m:ctrlPr>
                          </m:eqArrPr>
                          <m:e>
                            <m:r>
                              <m:rPr>
                                <m:sty m:val="p"/>
                              </m:rPr>
                              <w:rPr>
                                <w:rFonts w:ascii="Cambria Math" w:hAnsi="Cambria Math" w:cs="Arial"/>
                                <w:sz w:val="20"/>
                                <w:szCs w:val="20"/>
                              </w:rPr>
                              <m:t xml:space="preserve"> </m:t>
                            </m:r>
                          </m:e>
                          <m:e>
                            <m:r>
                              <m:rPr>
                                <m:sty m:val="p"/>
                              </m:rPr>
                              <w:rPr>
                                <w:rFonts w:ascii="Cambria Math" w:hAnsi="Cambria Math" w:cs="Arial"/>
                                <w:sz w:val="20"/>
                                <w:szCs w:val="20"/>
                              </w:rPr>
                              <m:t xml:space="preserve">Number of Accident and &amp;Emergency  </m:t>
                            </m:r>
                            <m:ctrlPr>
                              <w:rPr>
                                <w:rFonts w:ascii="Cambria Math" w:eastAsia="Cambria Math" w:hAnsi="Cambria Math" w:cs="Cambria Math"/>
                                <w:sz w:val="20"/>
                                <w:szCs w:val="20"/>
                              </w:rPr>
                            </m:ctrlPr>
                          </m:e>
                          <m:e>
                            <m:r>
                              <m:rPr>
                                <m:sty m:val="p"/>
                              </m:rPr>
                              <w:rPr>
                                <w:rFonts w:ascii="Cambria Math" w:hAnsi="Cambria Math" w:cs="Arial"/>
                                <w:sz w:val="20"/>
                                <w:szCs w:val="20"/>
                              </w:rPr>
                              <m:t>presentations during 2018- 19 from those</m:t>
                            </m:r>
                            <m:ctrlPr>
                              <w:rPr>
                                <w:rFonts w:ascii="Cambria Math" w:eastAsia="Cambria Math" w:hAnsi="Cambria Math" w:cs="Arial"/>
                                <w:sz w:val="20"/>
                                <w:szCs w:val="20"/>
                              </w:rPr>
                            </m:ctrlPr>
                          </m:e>
                          <m:e>
                            <m:r>
                              <m:rPr>
                                <m:sty m:val="p"/>
                              </m:rPr>
                              <w:rPr>
                                <w:rFonts w:ascii="Cambria Math" w:hAnsi="Cambria Math" w:cs="Arial"/>
                                <w:sz w:val="20"/>
                                <w:szCs w:val="20"/>
                              </w:rPr>
                              <m:t xml:space="preserve"> within the cohort of frequent </m:t>
                            </m:r>
                            <m:ctrlPr>
                              <w:rPr>
                                <w:rFonts w:ascii="Cambria Math" w:eastAsia="Cambria Math" w:hAnsi="Cambria Math" w:cs="Arial"/>
                                <w:sz w:val="20"/>
                                <w:szCs w:val="20"/>
                              </w:rPr>
                            </m:ctrlPr>
                          </m:e>
                          <m:e>
                            <m:r>
                              <m:rPr>
                                <m:sty m:val="p"/>
                              </m:rPr>
                              <w:rPr>
                                <w:rFonts w:ascii="Cambria Math" w:eastAsia="Cambria Math" w:hAnsi="Cambria Math" w:cs="Arial"/>
                                <w:sz w:val="20"/>
                                <w:szCs w:val="20"/>
                              </w:rPr>
                              <m:t xml:space="preserve"> </m:t>
                            </m:r>
                            <m:r>
                              <m:rPr>
                                <m:sty m:val="p"/>
                              </m:rPr>
                              <w:rPr>
                                <w:rFonts w:ascii="Cambria Math" w:hAnsi="Cambria Math" w:cs="Arial"/>
                                <w:sz w:val="20"/>
                                <w:szCs w:val="20"/>
                              </w:rPr>
                              <m:t xml:space="preserve">  attenders</m:t>
                            </m:r>
                            <m:r>
                              <m:rPr>
                                <m:sty m:val="p"/>
                              </m:rPr>
                              <w:rPr>
                                <w:rFonts w:ascii="Cambria Math" w:eastAsia="Cambria Math" w:hAnsi="Cambria Math" w:cs="Arial"/>
                                <w:sz w:val="20"/>
                                <w:szCs w:val="20"/>
                              </w:rPr>
                              <m:t xml:space="preserve"> </m:t>
                            </m:r>
                            <m:ctrlPr>
                              <w:rPr>
                                <w:rFonts w:ascii="Cambria Math" w:eastAsia="Cambria Math" w:hAnsi="Cambria Math" w:cs="Cambria Math"/>
                                <w:sz w:val="20"/>
                                <w:szCs w:val="20"/>
                              </w:rPr>
                            </m:ctrlPr>
                          </m:e>
                          <m:e>
                            <m:r>
                              <m:rPr>
                                <m:sty m:val="p"/>
                              </m:rPr>
                              <w:rPr>
                                <w:rFonts w:ascii="Cambria Math" w:hAnsi="Cambria Math" w:cs="Arial"/>
                                <w:sz w:val="20"/>
                                <w:szCs w:val="20"/>
                              </w:rPr>
                              <m:t xml:space="preserve"> in </m:t>
                            </m:r>
                            <m:r>
                              <m:rPr>
                                <m:sty m:val="p"/>
                              </m:rPr>
                              <w:rPr>
                                <w:rFonts w:ascii="Cambria Math" w:eastAsia="Cambria Math" w:hAnsi="Cambria Math" w:cs="Arial"/>
                                <w:sz w:val="20"/>
                                <w:szCs w:val="20"/>
                              </w:rPr>
                              <m:t xml:space="preserve">2016-17 who would benefit from mental </m:t>
                            </m:r>
                            <m:ctrlPr>
                              <w:rPr>
                                <w:rFonts w:ascii="Cambria Math" w:eastAsia="Cambria Math" w:hAnsi="Cambria Math" w:cs="Cambria Math"/>
                                <w:bCs w:val="0"/>
                                <w:sz w:val="20"/>
                                <w:szCs w:val="20"/>
                              </w:rPr>
                            </m:ctrlPr>
                          </m:e>
                          <m:e>
                            <m:r>
                              <m:rPr>
                                <m:sty m:val="p"/>
                              </m:rPr>
                              <w:rPr>
                                <w:rFonts w:ascii="Cambria Math" w:eastAsia="Cambria Math" w:hAnsi="Cambria Math" w:cs="Arial"/>
                                <w:sz w:val="20"/>
                                <w:szCs w:val="20"/>
                              </w:rPr>
                              <m:t xml:space="preserve">health </m:t>
                            </m:r>
                            <m:r>
                              <m:rPr>
                                <m:sty m:val="p"/>
                              </m:rPr>
                              <w:rPr>
                                <w:rFonts w:ascii="Cambria Math" w:eastAsia="Cambria Math" w:hAnsi="Cambria Math" w:cs="Cambria Math"/>
                                <w:sz w:val="20"/>
                                <w:szCs w:val="20"/>
                              </w:rPr>
                              <m:t>and psychosocial interventions</m:t>
                            </m:r>
                          </m:e>
                        </m:eqArr>
                      </m:num>
                      <m:den>
                        <m:eqArr>
                          <m:eqArrPr>
                            <m:ctrlPr>
                              <w:rPr>
                                <w:rFonts w:ascii="Cambria Math" w:hAnsi="Cambria Math" w:cs="Arial"/>
                                <w:sz w:val="20"/>
                                <w:szCs w:val="20"/>
                              </w:rPr>
                            </m:ctrlPr>
                          </m:eqArrPr>
                          <m:e>
                            <m:r>
                              <m:rPr>
                                <m:sty m:val="p"/>
                              </m:rPr>
                              <w:rPr>
                                <w:rFonts w:ascii="Cambria Math" w:hAnsi="Cambria Math" w:cs="Arial"/>
                                <w:sz w:val="20"/>
                                <w:szCs w:val="20"/>
                              </w:rPr>
                              <m:t>Number of Accident and Emergency</m:t>
                            </m:r>
                          </m:e>
                          <m:e>
                            <m:r>
                              <m:rPr>
                                <m:sty m:val="p"/>
                              </m:rPr>
                              <w:rPr>
                                <w:rFonts w:ascii="Cambria Math" w:hAnsi="Cambria Math" w:cs="Arial"/>
                                <w:sz w:val="20"/>
                                <w:szCs w:val="20"/>
                              </w:rPr>
                              <m:t xml:space="preserve"> presentations during 2017-18 from those </m:t>
                            </m:r>
                            <m:ctrlPr>
                              <w:rPr>
                                <w:rFonts w:ascii="Cambria Math" w:eastAsia="Cambria Math" w:hAnsi="Cambria Math" w:cs="Arial"/>
                                <w:sz w:val="20"/>
                                <w:szCs w:val="20"/>
                              </w:rPr>
                            </m:ctrlPr>
                          </m:e>
                          <m:e>
                            <m:r>
                              <m:rPr>
                                <m:sty m:val="p"/>
                              </m:rPr>
                              <w:rPr>
                                <w:rFonts w:ascii="Cambria Math" w:hAnsi="Cambria Math" w:cs="Arial"/>
                                <w:sz w:val="20"/>
                                <w:szCs w:val="20"/>
                              </w:rPr>
                              <m:t xml:space="preserve"> within the selected </m:t>
                            </m:r>
                            <m:r>
                              <m:rPr>
                                <m:sty m:val="p"/>
                              </m:rPr>
                              <w:rPr>
                                <w:rFonts w:ascii="Cambria Math" w:eastAsia="Cambria Math" w:hAnsi="Cambria Math" w:cs="Arial"/>
                                <w:sz w:val="20"/>
                                <w:szCs w:val="20"/>
                              </w:rPr>
                              <m:t xml:space="preserve">cohort of frequent  </m:t>
                            </m:r>
                            <m:ctrlPr>
                              <w:rPr>
                                <w:rFonts w:ascii="Cambria Math" w:eastAsia="Cambria Math" w:hAnsi="Cambria Math" w:cs="Cambria Math"/>
                                <w:sz w:val="20"/>
                                <w:szCs w:val="20"/>
                              </w:rPr>
                            </m:ctrlPr>
                          </m:e>
                          <m:e>
                            <m:r>
                              <m:rPr>
                                <m:sty m:val="p"/>
                              </m:rPr>
                              <w:rPr>
                                <w:rFonts w:ascii="Cambria Math" w:eastAsia="Cambria Math" w:hAnsi="Cambria Math" w:cs="Arial"/>
                                <w:sz w:val="20"/>
                                <w:szCs w:val="20"/>
                              </w:rPr>
                              <m:t xml:space="preserve">attenders   </m:t>
                            </m:r>
                            <m:ctrlPr>
                              <w:rPr>
                                <w:rFonts w:ascii="Cambria Math" w:eastAsia="Cambria Math" w:hAnsi="Cambria Math" w:cs="Cambria Math"/>
                                <w:sz w:val="20"/>
                                <w:szCs w:val="20"/>
                              </w:rPr>
                            </m:ctrlPr>
                          </m:e>
                          <m:e>
                            <m:r>
                              <m:rPr>
                                <m:sty m:val="p"/>
                              </m:rPr>
                              <w:rPr>
                                <w:rFonts w:ascii="Cambria Math" w:eastAsia="Cambria Math" w:hAnsi="Cambria Math" w:cs="Arial"/>
                                <w:sz w:val="20"/>
                                <w:szCs w:val="20"/>
                              </w:rPr>
                              <m:t>in 2016-17 who would benefit from mental</m:t>
                            </m:r>
                            <m:ctrlPr>
                              <w:rPr>
                                <w:rFonts w:ascii="Cambria Math" w:eastAsia="Cambria Math" w:hAnsi="Cambria Math" w:cs="Cambria Math"/>
                                <w:bCs w:val="0"/>
                                <w:sz w:val="20"/>
                                <w:szCs w:val="20"/>
                              </w:rPr>
                            </m:ctrlPr>
                          </m:e>
                          <m:e>
                            <m:r>
                              <m:rPr>
                                <m:sty m:val="p"/>
                              </m:rPr>
                              <w:rPr>
                                <w:rFonts w:ascii="Cambria Math" w:eastAsia="Cambria Math" w:hAnsi="Cambria Math" w:cs="Arial"/>
                                <w:sz w:val="20"/>
                                <w:szCs w:val="20"/>
                              </w:rPr>
                              <m:t>health and psychosocial intereventions</m:t>
                            </m:r>
                            <m:ctrlPr>
                              <w:rPr>
                                <w:rFonts w:ascii="Cambria Math" w:eastAsia="Cambria Math" w:hAnsi="Cambria Math" w:cs="Cambria Math"/>
                                <w:bCs w:val="0"/>
                                <w:sz w:val="20"/>
                                <w:szCs w:val="20"/>
                              </w:rPr>
                            </m:ctrlPr>
                          </m:e>
                          <m:e>
                            <m:r>
                              <m:rPr>
                                <m:sty m:val="p"/>
                              </m:rPr>
                              <w:rPr>
                                <w:rFonts w:ascii="Cambria Math" w:eastAsia="Cambria Math" w:hAnsi="Cambria Math" w:cs="Arial"/>
                                <w:sz w:val="20"/>
                                <w:szCs w:val="20"/>
                              </w:rPr>
                              <m:t>(</m:t>
                            </m:r>
                            <m:r>
                              <m:rPr>
                                <m:sty m:val="b"/>
                              </m:rPr>
                              <w:rPr>
                                <w:rFonts w:ascii="Cambria Math" w:eastAsia="Cambria Math" w:hAnsi="Cambria Math" w:cs="Arial"/>
                                <w:sz w:val="20"/>
                                <w:szCs w:val="20"/>
                              </w:rPr>
                              <m:t>cohort to be adjusted for attrition</m:t>
                            </m:r>
                            <m:r>
                              <m:rPr>
                                <m:sty m:val="p"/>
                              </m:rPr>
                              <w:rPr>
                                <w:rFonts w:ascii="Cambria Math" w:eastAsia="Cambria Math" w:hAnsi="Cambria Math" w:cs="Arial"/>
                                <w:sz w:val="20"/>
                                <w:szCs w:val="20"/>
                              </w:rPr>
                              <m:t xml:space="preserve">) </m:t>
                            </m:r>
                          </m:e>
                        </m:eqArr>
                      </m:den>
                    </m:f>
                  </m:e>
                </m:d>
                <m:r>
                  <w:rPr>
                    <w:rFonts w:ascii="Cambria Math" w:hAnsi="Cambria Math" w:cs="Arial"/>
                    <w:sz w:val="20"/>
                    <w:szCs w:val="20"/>
                  </w:rPr>
                  <m:t xml:space="preserve">= </m:t>
                </m:r>
                <m:r>
                  <m:rPr>
                    <m:sty m:val="p"/>
                  </m:rPr>
                  <w:rPr>
                    <w:rFonts w:ascii="Cambria Math" w:eastAsiaTheme="minorHAnsi" w:hAnsi="Cambria Math" w:cs="Arial"/>
                    <w:sz w:val="22"/>
                    <w:szCs w:val="22"/>
                  </w:rPr>
                  <m:t>≤1</m:t>
                </m:r>
              </m:oMath>
            </m:oMathPara>
          </w:p>
          <w:p w:rsidR="0013071F" w:rsidRDefault="0013071F" w:rsidP="006A0823">
            <w:pPr>
              <w:pStyle w:val="ListParagraph"/>
              <w:keepNext/>
              <w:rPr>
                <w:rFonts w:ascii="Cambria Math" w:hAnsi="Cambria Math" w:cs="Arial"/>
                <w:i/>
                <w:sz w:val="18"/>
                <w:szCs w:val="18"/>
              </w:rPr>
            </w:pPr>
          </w:p>
          <w:p w:rsidR="0013071F" w:rsidRPr="007059FC" w:rsidRDefault="0013071F" w:rsidP="006A0823">
            <w:pPr>
              <w:pStyle w:val="ListParagraph"/>
              <w:keepNext/>
              <w:rPr>
                <w:rFonts w:ascii="Cambria Math" w:hAnsi="Cambria Math" w:cs="Arial"/>
                <w:i/>
                <w:sz w:val="18"/>
                <w:szCs w:val="18"/>
              </w:rPr>
            </w:pPr>
          </w:p>
          <w:p w:rsidR="0013071F" w:rsidRPr="00CC5155" w:rsidRDefault="0013071F" w:rsidP="00DF18AB">
            <w:pPr>
              <w:pStyle w:val="ListParagraph"/>
              <w:keepNext/>
              <w:numPr>
                <w:ilvl w:val="0"/>
                <w:numId w:val="119"/>
              </w:numPr>
              <w:rPr>
                <w:rFonts w:eastAsiaTheme="minorHAnsi" w:cs="Arial"/>
                <w:szCs w:val="24"/>
              </w:rPr>
            </w:pPr>
            <w:r w:rsidRPr="00CC5155">
              <w:rPr>
                <w:rFonts w:eastAsiaTheme="minorHAnsi" w:cs="Arial"/>
                <w:szCs w:val="24"/>
              </w:rPr>
              <w:t>Reduce total number of atten</w:t>
            </w:r>
            <w:r w:rsidR="00FB7825">
              <w:rPr>
                <w:rFonts w:eastAsiaTheme="minorHAnsi" w:cs="Arial"/>
                <w:szCs w:val="24"/>
              </w:rPr>
              <w:t>dances to A&amp;E by 10</w:t>
            </w:r>
            <w:r w:rsidRPr="00CC5155">
              <w:rPr>
                <w:rFonts w:eastAsiaTheme="minorHAnsi" w:cs="Arial"/>
                <w:szCs w:val="24"/>
              </w:rPr>
              <w:t>% for all people with primary mental health needs</w:t>
            </w:r>
            <w:r w:rsidRPr="00CC5155">
              <w:rPr>
                <w:rFonts w:eastAsiaTheme="minorHAnsi" w:cs="Arial"/>
                <w:szCs w:val="24"/>
                <w:vertAlign w:val="superscript"/>
              </w:rPr>
              <w:footnoteReference w:id="13"/>
            </w:r>
            <w:r w:rsidRPr="00CC5155">
              <w:rPr>
                <w:rFonts w:eastAsiaTheme="minorHAnsi" w:cs="Arial"/>
                <w:szCs w:val="24"/>
              </w:rPr>
              <w:t>;</w:t>
            </w:r>
          </w:p>
          <w:p w:rsidR="0013071F" w:rsidRPr="007059FC" w:rsidRDefault="0013071F" w:rsidP="006A0823">
            <w:pPr>
              <w:ind w:left="720"/>
              <w:contextualSpacing/>
              <w:rPr>
                <w:rFonts w:ascii="Cambria Math" w:hAnsi="Cambria Math" w:cs="Arial"/>
                <w:i/>
                <w:sz w:val="18"/>
                <w:szCs w:val="18"/>
              </w:rPr>
            </w:pPr>
          </w:p>
          <w:p w:rsidR="0013071F" w:rsidRPr="00956F3B" w:rsidRDefault="0013071F" w:rsidP="006A0823">
            <w:pPr>
              <w:rPr>
                <w:rFonts w:ascii="Cambria Math" w:hAnsi="Cambria Math" w:cs="Arial"/>
                <w:i/>
                <w:sz w:val="18"/>
                <w:szCs w:val="18"/>
              </w:rPr>
            </w:pPr>
            <m:oMathPara>
              <m:oMathParaPr>
                <m:jc m:val="right"/>
              </m:oMathParaPr>
              <m:oMath>
                <m:r>
                  <w:rPr>
                    <w:rFonts w:ascii="Cambria Math" w:hAnsi="Cambria Math" w:cs="Arial"/>
                    <w:sz w:val="20"/>
                    <w:szCs w:val="20"/>
                  </w:rPr>
                  <w:lastRenderedPageBreak/>
                  <m:t xml:space="preserve">= </m:t>
                </m:r>
                <m:d>
                  <m:dPr>
                    <m:begChr m:val="["/>
                    <m:endChr m:val="]"/>
                    <m:ctrlPr>
                      <w:rPr>
                        <w:rFonts w:ascii="Cambria Math" w:hAnsi="Cambria Math" w:cs="Arial"/>
                        <w:sz w:val="20"/>
                        <w:szCs w:val="20"/>
                      </w:rPr>
                    </m:ctrlPr>
                  </m:dPr>
                  <m:e>
                    <m:f>
                      <m:fPr>
                        <m:ctrlPr>
                          <w:rPr>
                            <w:rFonts w:ascii="Cambria Math" w:hAnsi="Cambria Math" w:cs="Arial"/>
                            <w:sz w:val="20"/>
                            <w:szCs w:val="20"/>
                          </w:rPr>
                        </m:ctrlPr>
                      </m:fPr>
                      <m:num>
                        <m:eqArr>
                          <m:eqArrPr>
                            <m:ctrlPr>
                              <w:rPr>
                                <w:rFonts w:ascii="Cambria Math" w:hAnsi="Cambria Math" w:cs="Arial"/>
                                <w:sz w:val="20"/>
                                <w:szCs w:val="20"/>
                              </w:rPr>
                            </m:ctrlPr>
                          </m:eqArrPr>
                          <m:e>
                            <m:r>
                              <m:rPr>
                                <m:sty m:val="p"/>
                              </m:rPr>
                              <w:rPr>
                                <w:rFonts w:ascii="Cambria Math" w:hAnsi="Cambria Math" w:cs="Arial"/>
                                <w:sz w:val="20"/>
                                <w:szCs w:val="20"/>
                              </w:rPr>
                              <m:t xml:space="preserve">Total Number </m:t>
                            </m:r>
                            <m:r>
                              <m:rPr>
                                <m:sty m:val="p"/>
                              </m:rPr>
                              <w:rPr>
                                <w:rFonts w:ascii="Cambria Math" w:eastAsiaTheme="minorHAnsi" w:hAnsi="Cambria Math" w:cs="Arial"/>
                                <w:sz w:val="20"/>
                                <w:szCs w:val="20"/>
                              </w:rPr>
                              <m:t xml:space="preserve">ofAccident and Emergency </m:t>
                            </m:r>
                            <m:r>
                              <m:rPr>
                                <m:sty m:val="p"/>
                              </m:rPr>
                              <w:rPr>
                                <w:rFonts w:ascii="Cambria Math" w:hAnsi="Cambria Math" w:cs="Arial"/>
                                <w:sz w:val="20"/>
                                <w:szCs w:val="20"/>
                              </w:rPr>
                              <m:t xml:space="preserve"> </m:t>
                            </m:r>
                          </m:e>
                          <m:e>
                            <m:r>
                              <m:rPr>
                                <m:sty m:val="p"/>
                              </m:rPr>
                              <w:rPr>
                                <w:rFonts w:ascii="Cambria Math" w:eastAsiaTheme="minorHAnsi" w:hAnsi="Cambria Math" w:cs="Arial"/>
                                <w:sz w:val="20"/>
                                <w:szCs w:val="20"/>
                              </w:rPr>
                              <m:t xml:space="preserve">presentations of people with primary mental   </m:t>
                            </m:r>
                            <m:r>
                              <m:rPr>
                                <m:sty m:val="p"/>
                              </m:rPr>
                              <w:rPr>
                                <w:rFonts w:ascii="Cambria Math" w:hAnsi="Cambria Math" w:cs="Arial"/>
                                <w:sz w:val="20"/>
                                <w:szCs w:val="20"/>
                              </w:rPr>
                              <m:t xml:space="preserve"> </m:t>
                            </m:r>
                            <m:ctrlPr>
                              <w:rPr>
                                <w:rFonts w:ascii="Cambria Math" w:eastAsia="Cambria Math" w:hAnsi="Cambria Math" w:cs="Cambria Math"/>
                                <w:sz w:val="20"/>
                                <w:szCs w:val="20"/>
                              </w:rPr>
                            </m:ctrlPr>
                          </m:e>
                          <m:e>
                            <m:r>
                              <m:rPr>
                                <m:sty m:val="p"/>
                              </m:rPr>
                              <w:rPr>
                                <w:rFonts w:ascii="Cambria Math" w:eastAsiaTheme="minorHAnsi" w:hAnsi="Cambria Math" w:cs="Arial"/>
                                <w:sz w:val="20"/>
                                <w:szCs w:val="20"/>
                              </w:rPr>
                              <m:t>health diagnosis during Q4 2018-19</m:t>
                            </m:r>
                          </m:e>
                        </m:eqArr>
                      </m:num>
                      <m:den>
                        <m:eqArr>
                          <m:eqArrPr>
                            <m:ctrlPr>
                              <w:rPr>
                                <w:rFonts w:ascii="Cambria Math" w:hAnsi="Cambria Math" w:cs="Arial"/>
                                <w:sz w:val="20"/>
                                <w:szCs w:val="20"/>
                              </w:rPr>
                            </m:ctrlPr>
                          </m:eqArrPr>
                          <m:e>
                            <m:r>
                              <m:rPr>
                                <m:sty m:val="p"/>
                              </m:rPr>
                              <w:rPr>
                                <w:rFonts w:ascii="Cambria Math" w:hAnsi="Cambria Math" w:cs="Arial"/>
                                <w:sz w:val="20"/>
                                <w:szCs w:val="20"/>
                              </w:rPr>
                              <m:t xml:space="preserve">Total Number </m:t>
                            </m:r>
                            <m:r>
                              <m:rPr>
                                <m:sty m:val="p"/>
                              </m:rPr>
                              <w:rPr>
                                <w:rFonts w:ascii="Cambria Math" w:eastAsiaTheme="minorHAnsi" w:hAnsi="Cambria Math" w:cs="Arial"/>
                                <w:sz w:val="20"/>
                                <w:szCs w:val="20"/>
                              </w:rPr>
                              <m:t xml:space="preserve">ofAccident and Emergency </m:t>
                            </m:r>
                            <m:r>
                              <m:rPr>
                                <m:sty m:val="p"/>
                              </m:rPr>
                              <w:rPr>
                                <w:rFonts w:ascii="Cambria Math" w:hAnsi="Cambria Math" w:cs="Arial"/>
                                <w:sz w:val="20"/>
                                <w:szCs w:val="20"/>
                              </w:rPr>
                              <m:t xml:space="preserve"> </m:t>
                            </m:r>
                          </m:e>
                          <m:e>
                            <m:r>
                              <m:rPr>
                                <m:sty m:val="p"/>
                              </m:rPr>
                              <w:rPr>
                                <w:rFonts w:ascii="Cambria Math" w:eastAsiaTheme="minorHAnsi" w:hAnsi="Cambria Math" w:cs="Arial"/>
                                <w:sz w:val="20"/>
                                <w:szCs w:val="20"/>
                              </w:rPr>
                              <m:t xml:space="preserve">presentations of people with primary mental  </m:t>
                            </m:r>
                            <m:r>
                              <m:rPr>
                                <m:sty m:val="p"/>
                              </m:rPr>
                              <w:rPr>
                                <w:rFonts w:ascii="Cambria Math" w:hAnsi="Cambria Math" w:cs="Arial"/>
                                <w:sz w:val="20"/>
                                <w:szCs w:val="20"/>
                              </w:rPr>
                              <m:t xml:space="preserve"> </m:t>
                            </m:r>
                            <m:ctrlPr>
                              <w:rPr>
                                <w:rFonts w:ascii="Cambria Math" w:eastAsia="Cambria Math" w:hAnsi="Cambria Math" w:cs="Cambria Math"/>
                                <w:sz w:val="20"/>
                                <w:szCs w:val="20"/>
                              </w:rPr>
                            </m:ctrlPr>
                          </m:e>
                          <m:e>
                            <m:r>
                              <m:rPr>
                                <m:sty m:val="p"/>
                              </m:rPr>
                              <w:rPr>
                                <w:rFonts w:ascii="Cambria Math" w:eastAsiaTheme="minorHAnsi" w:hAnsi="Cambria Math" w:cs="Arial"/>
                                <w:sz w:val="20"/>
                                <w:szCs w:val="20"/>
                              </w:rPr>
                              <m:t xml:space="preserve"> health diagnosis during Q4 2017-18</m:t>
                            </m:r>
                          </m:e>
                        </m:eqArr>
                      </m:den>
                    </m:f>
                  </m:e>
                </m:d>
                <m:r>
                  <m:rPr>
                    <m:sty m:val="p"/>
                  </m:rPr>
                  <w:rPr>
                    <w:rFonts w:ascii="Cambria Math" w:hAnsi="Cambria Math" w:cs="Arial"/>
                    <w:sz w:val="20"/>
                    <w:szCs w:val="20"/>
                  </w:rPr>
                  <m:t xml:space="preserve"> </m:t>
                </m:r>
                <m:r>
                  <m:rPr>
                    <m:sty m:val="p"/>
                  </m:rPr>
                  <w:rPr>
                    <w:rFonts w:ascii="Cambria Math" w:hAnsi="Cambria Math" w:cs="Arial" w:hint="eastAsia"/>
                    <w:sz w:val="20"/>
                    <w:szCs w:val="20"/>
                  </w:rPr>
                  <m:t>×</m:t>
                </m:r>
                <m:r>
                  <m:rPr>
                    <m:sty m:val="p"/>
                  </m:rPr>
                  <w:rPr>
                    <w:rFonts w:ascii="Cambria Math" w:hAnsi="Cambria Math" w:cs="Arial"/>
                    <w:sz w:val="20"/>
                    <w:szCs w:val="20"/>
                  </w:rPr>
                  <m:t>100%</m:t>
                </m:r>
              </m:oMath>
            </m:oMathPara>
          </w:p>
          <w:p w:rsidR="0013071F" w:rsidRPr="00CC5155" w:rsidRDefault="0013071F" w:rsidP="006A0823">
            <w:pPr>
              <w:keepNext/>
              <w:rPr>
                <w:rFonts w:eastAsiaTheme="minorHAnsi" w:cs="Arial"/>
                <w:szCs w:val="24"/>
              </w:rPr>
            </w:pPr>
          </w:p>
          <w:p w:rsidR="0013071F" w:rsidRDefault="0013071F" w:rsidP="006A0823">
            <w:pPr>
              <w:keepNext/>
              <w:rPr>
                <w:rFonts w:eastAsiaTheme="minorHAnsi" w:cs="Arial"/>
                <w:szCs w:val="24"/>
              </w:rPr>
            </w:pPr>
            <w:proofErr w:type="spellStart"/>
            <w:r w:rsidRPr="00CC5155">
              <w:rPr>
                <w:rFonts w:eastAsiaTheme="minorHAnsi" w:cs="Arial"/>
                <w:szCs w:val="24"/>
                <w:lang w:eastAsia="en-GB"/>
              </w:rPr>
              <w:t>e.g</w:t>
            </w:r>
            <w:proofErr w:type="spellEnd"/>
            <w:r w:rsidRPr="00CC5155">
              <w:rPr>
                <w:rFonts w:eastAsiaTheme="minorHAnsi" w:cs="Arial"/>
                <w:szCs w:val="24"/>
                <w:lang w:eastAsia="en-GB"/>
              </w:rPr>
              <w:t>:</w:t>
            </w:r>
          </w:p>
          <w:p w:rsidR="0013071F" w:rsidRPr="00CC5155" w:rsidRDefault="0013071F" w:rsidP="006A0823">
            <w:pPr>
              <w:keepNext/>
              <w:rPr>
                <w:rFonts w:eastAsiaTheme="minorHAnsi" w:cs="Arial"/>
                <w:szCs w:val="24"/>
              </w:rPr>
            </w:pPr>
          </w:p>
          <w:p w:rsidR="0013071F" w:rsidRPr="00D11CB8" w:rsidRDefault="0023312F" w:rsidP="006A0823">
            <w:pPr>
              <w:spacing w:after="200"/>
              <w:rPr>
                <w:rFonts w:eastAsiaTheme="minorHAnsi" w:cs="Arial"/>
                <w:szCs w:val="24"/>
              </w:rPr>
            </w:pPr>
            <m:oMathPara>
              <m:oMath>
                <m:d>
                  <m:dPr>
                    <m:begChr m:val="["/>
                    <m:endChr m:val="]"/>
                    <m:ctrlPr>
                      <w:rPr>
                        <w:rFonts w:ascii="Cambria Math" w:hAnsi="Cambria Math" w:cs="Arial"/>
                        <w:sz w:val="18"/>
                        <w:szCs w:val="18"/>
                      </w:rPr>
                    </m:ctrlPr>
                  </m:dPr>
                  <m:e>
                    <m:f>
                      <m:fPr>
                        <m:ctrlPr>
                          <w:rPr>
                            <w:rFonts w:ascii="Cambria Math" w:hAnsi="Cambria Math" w:cs="Arial"/>
                            <w:sz w:val="18"/>
                            <w:szCs w:val="18"/>
                          </w:rPr>
                        </m:ctrlPr>
                      </m:fPr>
                      <m:num>
                        <m:r>
                          <m:rPr>
                            <m:sty m:val="p"/>
                          </m:rPr>
                          <w:rPr>
                            <w:rFonts w:ascii="Cambria Math" w:hAnsi="Cambria Math" w:cs="Arial"/>
                            <w:sz w:val="18"/>
                            <w:szCs w:val="18"/>
                          </w:rPr>
                          <m:t>1275 presentations in Q4 18-19</m:t>
                        </m:r>
                      </m:num>
                      <m:den>
                        <m:r>
                          <m:rPr>
                            <m:sty m:val="p"/>
                          </m:rPr>
                          <w:rPr>
                            <w:rFonts w:ascii="Cambria Math" w:hAnsi="Cambria Math" w:cs="Arial"/>
                            <w:sz w:val="18"/>
                            <w:szCs w:val="18"/>
                          </w:rPr>
                          <m:t>1500 presentations in Q4 17-18</m:t>
                        </m:r>
                      </m:den>
                    </m:f>
                  </m:e>
                </m:d>
                <m:r>
                  <m:rPr>
                    <m:sty m:val="p"/>
                  </m:rPr>
                  <w:rPr>
                    <w:rFonts w:ascii="Cambria Math" w:hAnsi="Cambria Math" w:cs="Arial"/>
                    <w:sz w:val="18"/>
                    <w:szCs w:val="18"/>
                  </w:rPr>
                  <m:t xml:space="preserve"> ×100%=85% (15% reduction)</m:t>
                </m:r>
              </m:oMath>
            </m:oMathPara>
          </w:p>
        </w:tc>
      </w:tr>
      <w:tr w:rsidR="0013071F" w:rsidRPr="00A91133" w:rsidTr="006A0823">
        <w:tc>
          <w:tcPr>
            <w:tcW w:w="2660" w:type="dxa"/>
          </w:tcPr>
          <w:p w:rsidR="0013071F" w:rsidRPr="001D5B02" w:rsidRDefault="0013071F" w:rsidP="006A0823">
            <w:pPr>
              <w:rPr>
                <w:rFonts w:cs="Arial"/>
                <w:b/>
                <w:lang w:eastAsia="en-GB"/>
              </w:rPr>
            </w:pPr>
            <w:r w:rsidRPr="001D5B02">
              <w:rPr>
                <w:rFonts w:cs="Arial"/>
                <w:b/>
                <w:color w:val="000000"/>
                <w:lang w:eastAsia="en-GB"/>
              </w:rPr>
              <w:lastRenderedPageBreak/>
              <w:t>Rationale for inclusion</w:t>
            </w:r>
          </w:p>
        </w:tc>
        <w:tc>
          <w:tcPr>
            <w:tcW w:w="5953" w:type="dxa"/>
          </w:tcPr>
          <w:p w:rsidR="000D1DA3" w:rsidRPr="000D1DA3" w:rsidRDefault="000D1DA3" w:rsidP="000D1DA3">
            <w:pPr>
              <w:spacing w:after="200"/>
              <w:rPr>
                <w:rFonts w:eastAsiaTheme="minorHAnsi" w:cs="Arial"/>
                <w:szCs w:val="24"/>
              </w:rPr>
            </w:pPr>
            <w:r w:rsidRPr="000D1DA3">
              <w:rPr>
                <w:rFonts w:eastAsiaTheme="minorHAnsi" w:cs="Arial"/>
                <w:szCs w:val="24"/>
              </w:rPr>
              <w:t xml:space="preserve">People with mental ill health are 3 times more likely to present to A&amp;E than the general population. More than 1 million presentations are currently recorded as being directly related to mental ill health.  People with known mental ill health are 5 times more likely to be admitted to acute hospitals and 80% of these emergency admissions are recorded as being primarily for physical health </w:t>
            </w:r>
            <w:proofErr w:type="gramStart"/>
            <w:r w:rsidRPr="000D1DA3">
              <w:rPr>
                <w:rFonts w:eastAsiaTheme="minorHAnsi" w:cs="Arial"/>
                <w:szCs w:val="24"/>
              </w:rPr>
              <w:t>reasons .</w:t>
            </w:r>
            <w:proofErr w:type="gramEnd"/>
            <w:r w:rsidRPr="000D1DA3">
              <w:rPr>
                <w:rFonts w:eastAsiaTheme="minorHAnsi" w:cs="Arial"/>
                <w:szCs w:val="24"/>
              </w:rPr>
              <w:t xml:space="preserve"> This highlights the need for acute hospitals to be equipped to detect and treat urgent mental health needs that are cited as the primary reason for presentation as well as improving identification of underlying mental health conditions where the primary presenting reason may be a physical health one. </w:t>
            </w:r>
          </w:p>
          <w:p w:rsidR="000D1DA3" w:rsidRPr="000D1DA3" w:rsidRDefault="000D1DA3" w:rsidP="000D1DA3">
            <w:pPr>
              <w:spacing w:after="200"/>
              <w:rPr>
                <w:rFonts w:eastAsiaTheme="minorHAnsi" w:cs="Arial"/>
                <w:szCs w:val="24"/>
              </w:rPr>
            </w:pPr>
            <w:r w:rsidRPr="000D1DA3">
              <w:rPr>
                <w:rFonts w:eastAsiaTheme="minorHAnsi" w:cs="Arial"/>
                <w:szCs w:val="24"/>
              </w:rPr>
              <w:t xml:space="preserve">The </w:t>
            </w:r>
            <w:proofErr w:type="spellStart"/>
            <w:r w:rsidRPr="000D1DA3">
              <w:rPr>
                <w:rFonts w:eastAsiaTheme="minorHAnsi" w:cs="Arial"/>
                <w:szCs w:val="24"/>
              </w:rPr>
              <w:t>QualityWatch</w:t>
            </w:r>
            <w:proofErr w:type="spellEnd"/>
            <w:r w:rsidRPr="000D1DA3">
              <w:rPr>
                <w:rFonts w:eastAsiaTheme="minorHAnsi" w:cs="Arial"/>
                <w:szCs w:val="24"/>
              </w:rPr>
              <w:t xml:space="preserve"> study also found that people with mental ill health had 3.6 times more potentially preventable emergency admissions than those without mental ill health in 2013/14, and that “the high levels of emergency care use by people with mental ill health indicate that they are not having their care well managed and suggest that there are opportunities for planned care (inside and outside of the hospital) to do more. These people are well known to the healthcare system and are having many health encounters”. </w:t>
            </w:r>
          </w:p>
          <w:p w:rsidR="000D1DA3" w:rsidRDefault="000D1DA3" w:rsidP="000D1DA3">
            <w:pPr>
              <w:spacing w:after="200"/>
              <w:rPr>
                <w:rFonts w:eastAsiaTheme="minorHAnsi" w:cs="Arial"/>
                <w:szCs w:val="24"/>
              </w:rPr>
            </w:pPr>
            <w:r w:rsidRPr="000D1DA3">
              <w:rPr>
                <w:rFonts w:eastAsiaTheme="minorHAnsi" w:cs="Arial"/>
                <w:szCs w:val="24"/>
              </w:rPr>
              <w:t xml:space="preserve">Source: </w:t>
            </w:r>
            <w:hyperlink r:id="rId33" w:history="1">
              <w:r w:rsidR="00FB7825" w:rsidRPr="00450B50">
                <w:rPr>
                  <w:rStyle w:val="Hyperlink"/>
                  <w:rFonts w:eastAsiaTheme="minorHAnsi" w:cs="Arial"/>
                  <w:szCs w:val="24"/>
                </w:rPr>
                <w:t>http://www.qualitywatch.org.uk/focus-on/physical-and-mental-health</w:t>
              </w:r>
            </w:hyperlink>
          </w:p>
          <w:p w:rsidR="000D1DA3" w:rsidRPr="000D1DA3" w:rsidRDefault="000D1DA3" w:rsidP="000D1DA3">
            <w:pPr>
              <w:spacing w:after="200"/>
              <w:rPr>
                <w:rFonts w:eastAsiaTheme="minorHAnsi" w:cs="Arial"/>
                <w:szCs w:val="24"/>
              </w:rPr>
            </w:pPr>
            <w:r w:rsidRPr="000D1DA3">
              <w:rPr>
                <w:rFonts w:eastAsiaTheme="minorHAnsi" w:cs="Arial"/>
                <w:szCs w:val="24"/>
              </w:rPr>
              <w:t xml:space="preserve">Furthermore, a recent systematic review and meta-analysis of studies in the NHS and comparable health systems suggests that approximately one-third to two-thirds of people who attend A&amp;E due to mental ill health have been known to mental health services. </w:t>
            </w:r>
          </w:p>
          <w:p w:rsidR="000D1DA3" w:rsidRPr="000D1DA3" w:rsidRDefault="000D1DA3" w:rsidP="000D1DA3">
            <w:pPr>
              <w:spacing w:after="200"/>
              <w:rPr>
                <w:rFonts w:eastAsiaTheme="minorHAnsi" w:cs="Arial"/>
                <w:szCs w:val="24"/>
              </w:rPr>
            </w:pPr>
            <w:r w:rsidRPr="000D1DA3">
              <w:rPr>
                <w:rFonts w:eastAsiaTheme="minorHAnsi" w:cs="Arial"/>
                <w:szCs w:val="24"/>
              </w:rPr>
              <w:t xml:space="preserve">A large majority of the people with most complex needs who attend A&amp;E the most frequently are likely to have significant health needs including physical and mental co-morbidities, and may benefit from assessment and review of care plans with specialist </w:t>
            </w:r>
            <w:r w:rsidRPr="000D1DA3">
              <w:rPr>
                <w:rFonts w:eastAsiaTheme="minorHAnsi" w:cs="Arial"/>
                <w:szCs w:val="24"/>
              </w:rPr>
              <w:lastRenderedPageBreak/>
              <w:t xml:space="preserve">mental health staff, and further interventions from mental health, primary, community, social care, alcohol and substance misuse, and voluntary sector services. </w:t>
            </w:r>
          </w:p>
          <w:p w:rsidR="000D1DA3" w:rsidRPr="000D1DA3" w:rsidRDefault="000D1DA3" w:rsidP="000D1DA3">
            <w:pPr>
              <w:spacing w:after="200"/>
              <w:rPr>
                <w:rFonts w:eastAsiaTheme="minorHAnsi" w:cs="Arial"/>
                <w:szCs w:val="24"/>
              </w:rPr>
            </w:pPr>
            <w:r w:rsidRPr="000D1DA3">
              <w:rPr>
                <w:rFonts w:eastAsiaTheme="minorHAnsi" w:cs="Arial"/>
                <w:szCs w:val="24"/>
              </w:rPr>
              <w:t xml:space="preserve">Successful achievement of the CQUIN is therefore likely to necessitate partnership working and joint governance between CCGs, acute providers, mental health providers and other key local partners. Areas may wish to use existing forums such as A&amp;E Delivery Boards and Urgent and Emergency Care Networks to oversee this process. </w:t>
            </w:r>
          </w:p>
          <w:p w:rsidR="000D1DA3" w:rsidRPr="000D1DA3" w:rsidRDefault="000D1DA3" w:rsidP="000D1DA3">
            <w:pPr>
              <w:spacing w:after="200"/>
              <w:rPr>
                <w:rFonts w:eastAsiaTheme="minorHAnsi" w:cs="Arial"/>
                <w:szCs w:val="24"/>
              </w:rPr>
            </w:pPr>
            <w:r w:rsidRPr="000D1DA3">
              <w:rPr>
                <w:rFonts w:eastAsiaTheme="minorHAnsi" w:cs="Arial"/>
                <w:szCs w:val="24"/>
              </w:rPr>
              <w:t xml:space="preserve">The CQUIN reward is to be shared between acute and mental health providers.  CCGs will need to determine the allocation of the rewards locally, based on their local geographies, taking into account: </w:t>
            </w:r>
          </w:p>
          <w:p w:rsidR="000D1DA3" w:rsidRPr="00FB7825" w:rsidRDefault="000D1DA3" w:rsidP="00FB7825">
            <w:pPr>
              <w:pStyle w:val="ListParagraph"/>
              <w:numPr>
                <w:ilvl w:val="0"/>
                <w:numId w:val="134"/>
              </w:numPr>
              <w:spacing w:after="200"/>
              <w:rPr>
                <w:rFonts w:eastAsiaTheme="minorHAnsi" w:cs="Arial"/>
                <w:szCs w:val="24"/>
              </w:rPr>
            </w:pPr>
            <w:r w:rsidRPr="00FB7825">
              <w:rPr>
                <w:rFonts w:eastAsiaTheme="minorHAnsi" w:cs="Arial"/>
                <w:szCs w:val="24"/>
              </w:rPr>
              <w:t xml:space="preserve">the differing provider geographies (e.g. mental health providers may serve populations across the footprints of varying numbers of A&amp;E departments); </w:t>
            </w:r>
          </w:p>
          <w:p w:rsidR="000D1DA3" w:rsidRPr="00FB7825" w:rsidRDefault="000D1DA3" w:rsidP="00FB7825">
            <w:pPr>
              <w:pStyle w:val="ListParagraph"/>
              <w:numPr>
                <w:ilvl w:val="0"/>
                <w:numId w:val="134"/>
              </w:numPr>
              <w:spacing w:after="200"/>
              <w:rPr>
                <w:rFonts w:eastAsiaTheme="minorHAnsi" w:cs="Arial"/>
                <w:szCs w:val="24"/>
              </w:rPr>
            </w:pPr>
            <w:r w:rsidRPr="00FB7825">
              <w:rPr>
                <w:rFonts w:eastAsiaTheme="minorHAnsi" w:cs="Arial"/>
                <w:szCs w:val="24"/>
              </w:rPr>
              <w:t xml:space="preserve">different arrangements in different areas – for example, some liaison services are provided by mental health trusts and some are provided by acute trusts;  </w:t>
            </w:r>
          </w:p>
          <w:p w:rsidR="000D1DA3" w:rsidRPr="00FB7825" w:rsidRDefault="000D1DA3" w:rsidP="00FB7825">
            <w:pPr>
              <w:pStyle w:val="ListParagraph"/>
              <w:numPr>
                <w:ilvl w:val="0"/>
                <w:numId w:val="134"/>
              </w:numPr>
              <w:spacing w:after="200"/>
              <w:rPr>
                <w:rFonts w:eastAsiaTheme="minorHAnsi" w:cs="Arial"/>
                <w:szCs w:val="24"/>
              </w:rPr>
            </w:pPr>
            <w:r w:rsidRPr="00FB7825">
              <w:rPr>
                <w:rFonts w:eastAsiaTheme="minorHAnsi" w:cs="Arial"/>
                <w:szCs w:val="24"/>
              </w:rPr>
              <w:t xml:space="preserve">the milestones set out in the CQUIN – the achievement of which are contingent on actions from either mental health providers, acute providers, or both working together; CCGs will therefore need to consider and agree with providers the proportion of the indicators for each year that will be delivered by the acute provider(s), what proportion will be delivered by the MH provider(s), and what by both. </w:t>
            </w:r>
          </w:p>
          <w:p w:rsidR="000D1DA3" w:rsidRPr="000D1DA3" w:rsidRDefault="000D1DA3" w:rsidP="000D1DA3">
            <w:pPr>
              <w:spacing w:after="200"/>
              <w:rPr>
                <w:rFonts w:eastAsiaTheme="minorHAnsi" w:cs="Arial"/>
                <w:szCs w:val="24"/>
              </w:rPr>
            </w:pPr>
            <w:r w:rsidRPr="000D1DA3">
              <w:rPr>
                <w:rFonts w:eastAsiaTheme="minorHAnsi" w:cs="Arial"/>
                <w:szCs w:val="24"/>
              </w:rPr>
              <w:t xml:space="preserve">The CQUIN is for all ages – and it is for local areas to determine and segment the needs of the selected patient cohorts. </w:t>
            </w:r>
          </w:p>
          <w:p w:rsidR="000D1DA3" w:rsidRPr="000D1DA3" w:rsidRDefault="000D1DA3" w:rsidP="000D1DA3">
            <w:pPr>
              <w:spacing w:after="200"/>
              <w:rPr>
                <w:rFonts w:eastAsiaTheme="minorHAnsi" w:cs="Arial"/>
                <w:szCs w:val="24"/>
              </w:rPr>
            </w:pPr>
            <w:r w:rsidRPr="000D1DA3">
              <w:rPr>
                <w:rFonts w:eastAsiaTheme="minorHAnsi" w:cs="Arial"/>
                <w:szCs w:val="24"/>
              </w:rPr>
              <w:t xml:space="preserve">The cohorts of people who could benefit from case management, advance care planning and community interventions to help reduce A&amp;E attendances, might typically include: </w:t>
            </w:r>
          </w:p>
          <w:p w:rsidR="000D1DA3" w:rsidRPr="00FB7825" w:rsidRDefault="000D1DA3" w:rsidP="00E70E9A">
            <w:pPr>
              <w:pStyle w:val="ListParagraph"/>
              <w:numPr>
                <w:ilvl w:val="0"/>
                <w:numId w:val="135"/>
              </w:numPr>
              <w:spacing w:after="200"/>
              <w:rPr>
                <w:rFonts w:eastAsiaTheme="minorHAnsi" w:cs="Arial"/>
                <w:szCs w:val="24"/>
              </w:rPr>
            </w:pPr>
            <w:r w:rsidRPr="00FB7825">
              <w:rPr>
                <w:rFonts w:eastAsiaTheme="minorHAnsi" w:cs="Arial"/>
                <w:szCs w:val="24"/>
              </w:rPr>
              <w:t xml:space="preserve">People with primary substance misuse problems but with co-morbid mental health and social needs;     </w:t>
            </w:r>
          </w:p>
          <w:p w:rsidR="00E70E9A" w:rsidRDefault="000D1DA3" w:rsidP="00E70E9A">
            <w:pPr>
              <w:pStyle w:val="ListParagraph"/>
              <w:numPr>
                <w:ilvl w:val="0"/>
                <w:numId w:val="135"/>
              </w:numPr>
              <w:spacing w:after="200"/>
              <w:rPr>
                <w:rFonts w:eastAsiaTheme="minorHAnsi" w:cs="Arial"/>
                <w:szCs w:val="24"/>
              </w:rPr>
            </w:pPr>
            <w:r w:rsidRPr="00FB7825">
              <w:rPr>
                <w:rFonts w:eastAsiaTheme="minorHAnsi" w:cs="Arial"/>
                <w:szCs w:val="24"/>
              </w:rPr>
              <w:t xml:space="preserve">People with long-term conditions (e.g. COPD, diabetes, heart failure, chronic pain syndrome) </w:t>
            </w:r>
            <w:r w:rsidRPr="00FB7825">
              <w:rPr>
                <w:rFonts w:eastAsiaTheme="minorHAnsi" w:cs="Arial"/>
                <w:szCs w:val="24"/>
              </w:rPr>
              <w:lastRenderedPageBreak/>
              <w:t xml:space="preserve">which have a mental health component that has previously been undetected; </w:t>
            </w:r>
          </w:p>
          <w:p w:rsidR="00E70E9A" w:rsidRDefault="000D1DA3" w:rsidP="00E70E9A">
            <w:pPr>
              <w:pStyle w:val="ListParagraph"/>
              <w:numPr>
                <w:ilvl w:val="0"/>
                <w:numId w:val="135"/>
              </w:numPr>
              <w:spacing w:after="200"/>
              <w:rPr>
                <w:rFonts w:eastAsiaTheme="minorHAnsi" w:cs="Arial"/>
                <w:szCs w:val="24"/>
              </w:rPr>
            </w:pPr>
            <w:r w:rsidRPr="00E70E9A">
              <w:rPr>
                <w:rFonts w:eastAsiaTheme="minorHAnsi" w:cs="Arial"/>
                <w:szCs w:val="24"/>
              </w:rPr>
              <w:t>Older people with a combination of multiple and deteriorating physical health problems, frailty, cognitive dysfunction and increasing social need;</w:t>
            </w:r>
          </w:p>
          <w:p w:rsidR="00E70E9A" w:rsidRDefault="000D1DA3" w:rsidP="00E70E9A">
            <w:pPr>
              <w:pStyle w:val="ListParagraph"/>
              <w:numPr>
                <w:ilvl w:val="0"/>
                <w:numId w:val="135"/>
              </w:numPr>
              <w:spacing w:after="200"/>
              <w:rPr>
                <w:rFonts w:eastAsiaTheme="minorHAnsi" w:cs="Arial"/>
                <w:szCs w:val="24"/>
              </w:rPr>
            </w:pPr>
            <w:r w:rsidRPr="00E70E9A">
              <w:rPr>
                <w:rFonts w:eastAsiaTheme="minorHAnsi" w:cs="Arial"/>
                <w:szCs w:val="24"/>
              </w:rPr>
              <w:t>People with primarily complex mental health needs including self-harming behaviour, personality disorders, substance misuse;</w:t>
            </w:r>
          </w:p>
          <w:p w:rsidR="00E70E9A" w:rsidRDefault="000D1DA3" w:rsidP="00E70E9A">
            <w:pPr>
              <w:pStyle w:val="ListParagraph"/>
              <w:numPr>
                <w:ilvl w:val="0"/>
                <w:numId w:val="135"/>
              </w:numPr>
              <w:spacing w:after="200"/>
              <w:rPr>
                <w:rFonts w:eastAsiaTheme="minorHAnsi" w:cs="Arial"/>
                <w:szCs w:val="24"/>
              </w:rPr>
            </w:pPr>
            <w:r w:rsidRPr="00E70E9A">
              <w:rPr>
                <w:rFonts w:eastAsiaTheme="minorHAnsi" w:cs="Arial"/>
                <w:szCs w:val="24"/>
              </w:rPr>
              <w:t>People with medically unexplained symptoms and resultant intensive health-seeking behaviours; and</w:t>
            </w:r>
          </w:p>
          <w:p w:rsidR="000D1DA3" w:rsidRPr="00E70E9A" w:rsidRDefault="000D1DA3" w:rsidP="00E70E9A">
            <w:pPr>
              <w:pStyle w:val="ListParagraph"/>
              <w:numPr>
                <w:ilvl w:val="0"/>
                <w:numId w:val="135"/>
              </w:numPr>
              <w:spacing w:after="200"/>
              <w:rPr>
                <w:rFonts w:eastAsiaTheme="minorHAnsi" w:cs="Arial"/>
                <w:szCs w:val="24"/>
              </w:rPr>
            </w:pPr>
            <w:r w:rsidRPr="00E70E9A">
              <w:rPr>
                <w:rFonts w:eastAsiaTheme="minorHAnsi" w:cs="Arial"/>
                <w:szCs w:val="24"/>
              </w:rPr>
              <w:t xml:space="preserve">People with complex social needs, including e.g. housing, domestic violence, loneliness/social isolation, financial difficulties. </w:t>
            </w:r>
            <w:r w:rsidRPr="00E70E9A">
              <w:rPr>
                <w:rFonts w:eastAsia="Calibri" w:cs="Arial"/>
                <w:bCs w:val="0"/>
                <w:szCs w:val="24"/>
              </w:rPr>
              <w:t xml:space="preserve"> </w:t>
            </w:r>
          </w:p>
          <w:p w:rsidR="000D1DA3" w:rsidRPr="00D7355F" w:rsidRDefault="000D1DA3" w:rsidP="00E70E9A">
            <w:pPr>
              <w:contextualSpacing/>
              <w:rPr>
                <w:rFonts w:eastAsiaTheme="minorHAnsi" w:cs="Arial"/>
                <w:szCs w:val="24"/>
              </w:rPr>
            </w:pPr>
            <w:r w:rsidRPr="00D7355F">
              <w:rPr>
                <w:rFonts w:eastAsiaTheme="minorHAnsi" w:cs="Arial"/>
                <w:szCs w:val="24"/>
              </w:rPr>
              <w:t>Nationally, coding of primary and secondary mental health needs in A&amp;E is known to require considerable improvement. Anecdotally, we hear that people with mental ill health make considerable use of A&amp;E, often staying there for long periods due to lack of alternatives (with frequent breach</w:t>
            </w:r>
            <w:r>
              <w:rPr>
                <w:rFonts w:eastAsiaTheme="minorHAnsi" w:cs="Arial"/>
                <w:szCs w:val="24"/>
              </w:rPr>
              <w:t>es</w:t>
            </w:r>
            <w:r w:rsidRPr="00D7355F">
              <w:rPr>
                <w:rFonts w:eastAsiaTheme="minorHAnsi" w:cs="Arial"/>
                <w:szCs w:val="24"/>
              </w:rPr>
              <w:t xml:space="preserve"> of the 4hr A&amp;E target) even though it is often not the best setting for </w:t>
            </w:r>
            <w:r>
              <w:rPr>
                <w:rFonts w:eastAsiaTheme="minorHAnsi" w:cs="Arial"/>
                <w:szCs w:val="24"/>
              </w:rPr>
              <w:t>them</w:t>
            </w:r>
            <w:r w:rsidRPr="00D7355F">
              <w:rPr>
                <w:rFonts w:eastAsiaTheme="minorHAnsi" w:cs="Arial"/>
                <w:szCs w:val="24"/>
              </w:rPr>
              <w:t xml:space="preserve">. Studies, such as those cited above also point to a considerable amount of undetected underlying mental health need </w:t>
            </w:r>
            <w:r>
              <w:rPr>
                <w:rFonts w:eastAsiaTheme="minorHAnsi" w:cs="Arial"/>
                <w:szCs w:val="24"/>
              </w:rPr>
              <w:t>among</w:t>
            </w:r>
            <w:r w:rsidRPr="00D7355F">
              <w:rPr>
                <w:rFonts w:eastAsiaTheme="minorHAnsi" w:cs="Arial"/>
                <w:szCs w:val="24"/>
              </w:rPr>
              <w:t xml:space="preserve"> people presenting primarily for physical health reasons. However, poor coding means that it is not possible to quantify the scale </w:t>
            </w:r>
            <w:r>
              <w:rPr>
                <w:rFonts w:eastAsiaTheme="minorHAnsi" w:cs="Arial"/>
                <w:szCs w:val="24"/>
              </w:rPr>
              <w:t xml:space="preserve">or extent </w:t>
            </w:r>
            <w:r w:rsidRPr="00D7355F">
              <w:rPr>
                <w:rFonts w:eastAsiaTheme="minorHAnsi" w:cs="Arial"/>
                <w:szCs w:val="24"/>
              </w:rPr>
              <w:t>of this. It is in the clear interest of acute and mental health provider</w:t>
            </w:r>
            <w:r>
              <w:rPr>
                <w:rFonts w:eastAsiaTheme="minorHAnsi" w:cs="Arial"/>
                <w:szCs w:val="24"/>
              </w:rPr>
              <w:t>s</w:t>
            </w:r>
            <w:r w:rsidRPr="00D7355F">
              <w:rPr>
                <w:rFonts w:eastAsiaTheme="minorHAnsi" w:cs="Arial"/>
                <w:szCs w:val="24"/>
              </w:rPr>
              <w:t xml:space="preserve"> to improve the quality of data</w:t>
            </w:r>
            <w:r>
              <w:rPr>
                <w:rFonts w:eastAsiaTheme="minorHAnsi" w:cs="Arial"/>
                <w:szCs w:val="24"/>
              </w:rPr>
              <w:t xml:space="preserve"> -</w:t>
            </w:r>
            <w:r w:rsidRPr="00D7355F">
              <w:rPr>
                <w:rFonts w:eastAsiaTheme="minorHAnsi" w:cs="Arial"/>
                <w:szCs w:val="24"/>
              </w:rPr>
              <w:t xml:space="preserve"> not only to improve patient outcomes, but also to be able to demonstrate the true prevalence of mental ill health in A&amp;E, and make the case for improved services.</w:t>
            </w:r>
          </w:p>
          <w:p w:rsidR="000D1DA3" w:rsidRPr="00D7355F" w:rsidRDefault="000D1DA3" w:rsidP="00E70E9A">
            <w:pPr>
              <w:contextualSpacing/>
              <w:rPr>
                <w:rFonts w:eastAsiaTheme="minorHAnsi" w:cs="Arial"/>
                <w:szCs w:val="24"/>
              </w:rPr>
            </w:pPr>
          </w:p>
          <w:p w:rsidR="0013071F" w:rsidRPr="000E2829" w:rsidRDefault="000D1DA3" w:rsidP="00E70E9A">
            <w:pPr>
              <w:spacing w:after="200"/>
              <w:rPr>
                <w:rFonts w:cs="Arial"/>
              </w:rPr>
            </w:pPr>
            <w:r w:rsidRPr="00D7355F">
              <w:rPr>
                <w:rFonts w:cs="Arial"/>
              </w:rPr>
              <w:t xml:space="preserve">Central to the CQUIN is the recognition that information sharing </w:t>
            </w:r>
            <w:r>
              <w:rPr>
                <w:rFonts w:cs="Arial"/>
              </w:rPr>
              <w:t xml:space="preserve">practices </w:t>
            </w:r>
            <w:r w:rsidRPr="00D7355F">
              <w:rPr>
                <w:rFonts w:cs="Arial"/>
              </w:rPr>
              <w:t xml:space="preserve">within the NHS itself and beyond </w:t>
            </w:r>
            <w:r>
              <w:rPr>
                <w:rFonts w:cs="Arial"/>
              </w:rPr>
              <w:t>need to improve</w:t>
            </w:r>
            <w:r w:rsidRPr="00D7355F">
              <w:rPr>
                <w:rFonts w:cs="Arial"/>
              </w:rPr>
              <w:t xml:space="preserve">, </w:t>
            </w:r>
            <w:r>
              <w:rPr>
                <w:rFonts w:cs="Arial"/>
              </w:rPr>
              <w:t xml:space="preserve">particularly for </w:t>
            </w:r>
            <w:r w:rsidRPr="00D7355F">
              <w:rPr>
                <w:rFonts w:cs="Arial"/>
              </w:rPr>
              <w:t>patients</w:t>
            </w:r>
            <w:r>
              <w:rPr>
                <w:rFonts w:cs="Arial"/>
              </w:rPr>
              <w:t xml:space="preserve"> with mental health needs, in order to improve their experiences of care </w:t>
            </w:r>
            <w:r w:rsidRPr="00D7355F">
              <w:rPr>
                <w:rFonts w:cs="Arial"/>
              </w:rPr>
              <w:t xml:space="preserve">and </w:t>
            </w:r>
            <w:r>
              <w:rPr>
                <w:rFonts w:cs="Arial"/>
              </w:rPr>
              <w:t>outcomes</w:t>
            </w:r>
            <w:r w:rsidRPr="00D7355F">
              <w:rPr>
                <w:rFonts w:cs="Arial"/>
              </w:rPr>
              <w:t xml:space="preserve">. The issue of missed opportunities to share information </w:t>
            </w:r>
            <w:r>
              <w:rPr>
                <w:rFonts w:cs="Arial"/>
              </w:rPr>
              <w:t>in the interest of</w:t>
            </w:r>
            <w:r w:rsidRPr="00D7355F">
              <w:rPr>
                <w:rFonts w:cs="Arial"/>
              </w:rPr>
              <w:t xml:space="preserve"> patient safety has also been raised by coroners</w:t>
            </w:r>
            <w:r>
              <w:rPr>
                <w:rFonts w:cs="Arial"/>
              </w:rPr>
              <w:t xml:space="preserve"> on many</w:t>
            </w:r>
            <w:r w:rsidRPr="00D7355F">
              <w:rPr>
                <w:rFonts w:cs="Arial"/>
              </w:rPr>
              <w:t xml:space="preserve"> </w:t>
            </w:r>
            <w:r>
              <w:rPr>
                <w:rFonts w:cs="Arial"/>
              </w:rPr>
              <w:t xml:space="preserve">different occasions following suicides </w:t>
            </w:r>
            <w:r w:rsidRPr="00D7355F">
              <w:rPr>
                <w:rFonts w:cs="Arial"/>
              </w:rPr>
              <w:t xml:space="preserve">and </w:t>
            </w:r>
            <w:r>
              <w:rPr>
                <w:rFonts w:cs="Arial"/>
              </w:rPr>
              <w:t>other serious incidents, with</w:t>
            </w:r>
            <w:r w:rsidRPr="00D7355F">
              <w:rPr>
                <w:rFonts w:cs="Arial"/>
              </w:rPr>
              <w:t xml:space="preserve"> misplaced concerns about patient confidentiality</w:t>
            </w:r>
            <w:r>
              <w:rPr>
                <w:rFonts w:cs="Arial"/>
              </w:rPr>
              <w:t xml:space="preserve"> often cited as a contributory factor</w:t>
            </w:r>
            <w:r w:rsidRPr="00D7355F">
              <w:rPr>
                <w:rFonts w:cs="Arial"/>
              </w:rPr>
              <w:t xml:space="preserve">. The information sharing practices encouraged by the CQUIN support the </w:t>
            </w:r>
            <w:proofErr w:type="spellStart"/>
            <w:r w:rsidRPr="00D7355F">
              <w:rPr>
                <w:rFonts w:cs="Arial"/>
              </w:rPr>
              <w:t>Caldicott</w:t>
            </w:r>
            <w:proofErr w:type="spellEnd"/>
            <w:r w:rsidRPr="00D7355F">
              <w:rPr>
                <w:rFonts w:cs="Arial"/>
              </w:rPr>
              <w:t xml:space="preserve"> Review’s assertion that the duty to share information can be as important as the duty to protect patient </w:t>
            </w:r>
            <w:r w:rsidRPr="00F13206">
              <w:rPr>
                <w:rFonts w:cs="Arial"/>
              </w:rPr>
              <w:t>confidentiality</w:t>
            </w:r>
            <w:r w:rsidRPr="00D7355F">
              <w:rPr>
                <w:rFonts w:cs="Arial"/>
              </w:rPr>
              <w:t xml:space="preserve">, and that health and social care professionals should have the confidence to share </w:t>
            </w:r>
            <w:r w:rsidRPr="00D7355F">
              <w:rPr>
                <w:rFonts w:cs="Arial"/>
              </w:rPr>
              <w:lastRenderedPageBreak/>
              <w:t>information in the best interests of their patients.</w:t>
            </w:r>
            <w:r w:rsidRPr="00F13206">
              <w:rPr>
                <w:rFonts w:cs="Arial"/>
                <w:vertAlign w:val="superscript"/>
              </w:rPr>
              <w:footnoteReference w:id="14"/>
            </w:r>
            <w:r w:rsidRPr="00F13206">
              <w:rPr>
                <w:rFonts w:cs="Arial"/>
              </w:rPr>
              <w:t xml:space="preserve"> </w:t>
            </w:r>
            <w:r>
              <w:rPr>
                <w:rStyle w:val="FootnoteReference"/>
                <w:rFonts w:eastAsiaTheme="majorEastAsia"/>
              </w:rPr>
              <w:footnoteReference w:id="15"/>
            </w:r>
            <w:r>
              <w:t xml:space="preserve"> </w:t>
            </w:r>
            <w:r w:rsidRPr="00F13206">
              <w:rPr>
                <w:rFonts w:cs="Arial"/>
              </w:rPr>
              <w:t>Information sharing agreements where they are not already in plac</w:t>
            </w:r>
            <w:r w:rsidRPr="00D7355F">
              <w:rPr>
                <w:rFonts w:cs="Arial"/>
              </w:rPr>
              <w:t>e should be expedited.</w:t>
            </w:r>
            <w:r>
              <w:rPr>
                <w:rStyle w:val="FootnoteReference"/>
                <w:rFonts w:eastAsiaTheme="majorEastAsia"/>
              </w:rPr>
              <w:footnoteReference w:id="16"/>
            </w:r>
          </w:p>
        </w:tc>
      </w:tr>
      <w:tr w:rsidR="0013071F" w:rsidRPr="00A91133" w:rsidTr="006A0823">
        <w:tc>
          <w:tcPr>
            <w:tcW w:w="2660" w:type="dxa"/>
          </w:tcPr>
          <w:p w:rsidR="0013071F" w:rsidRPr="001D5B02" w:rsidRDefault="0013071F" w:rsidP="006A0823">
            <w:pPr>
              <w:rPr>
                <w:rFonts w:cs="Arial"/>
                <w:b/>
                <w:lang w:eastAsia="en-GB"/>
              </w:rPr>
            </w:pPr>
            <w:r w:rsidRPr="001D5B02">
              <w:rPr>
                <w:rFonts w:cs="Arial"/>
                <w:b/>
                <w:color w:val="000000"/>
                <w:lang w:eastAsia="en-GB"/>
              </w:rPr>
              <w:lastRenderedPageBreak/>
              <w:t>Data source</w:t>
            </w:r>
          </w:p>
        </w:tc>
        <w:tc>
          <w:tcPr>
            <w:tcW w:w="5953" w:type="dxa"/>
          </w:tcPr>
          <w:p w:rsidR="0013071F" w:rsidRPr="00A91133" w:rsidRDefault="0013071F" w:rsidP="006A0823">
            <w:pPr>
              <w:rPr>
                <w:rFonts w:cs="Arial"/>
                <w:szCs w:val="24"/>
                <w:lang w:eastAsia="en-GB"/>
              </w:rPr>
            </w:pPr>
            <w:r w:rsidRPr="00D7355F">
              <w:rPr>
                <w:rFonts w:eastAsiaTheme="minorHAnsi" w:cs="Arial"/>
                <w:szCs w:val="24"/>
              </w:rPr>
              <w:t>A&amp;E HES, Unify2 collection</w:t>
            </w:r>
          </w:p>
        </w:tc>
      </w:tr>
      <w:tr w:rsidR="0013071F" w:rsidRPr="00A91133" w:rsidTr="006A0823">
        <w:tc>
          <w:tcPr>
            <w:tcW w:w="2660" w:type="dxa"/>
          </w:tcPr>
          <w:p w:rsidR="0013071F" w:rsidRPr="001D5B02" w:rsidRDefault="0013071F" w:rsidP="006A0823">
            <w:pPr>
              <w:rPr>
                <w:rFonts w:cs="Arial"/>
                <w:b/>
                <w:lang w:eastAsia="en-GB"/>
              </w:rPr>
            </w:pPr>
            <w:r w:rsidRPr="001D5B02">
              <w:rPr>
                <w:rFonts w:cs="Arial"/>
                <w:b/>
                <w:color w:val="000000"/>
                <w:lang w:eastAsia="en-GB"/>
              </w:rPr>
              <w:t>Frequency of data collection</w:t>
            </w:r>
          </w:p>
        </w:tc>
        <w:tc>
          <w:tcPr>
            <w:tcW w:w="5953" w:type="dxa"/>
          </w:tcPr>
          <w:p w:rsidR="0013071F" w:rsidRPr="00D7355F" w:rsidRDefault="0013071F" w:rsidP="006A0823">
            <w:pPr>
              <w:spacing w:after="160"/>
              <w:rPr>
                <w:rFonts w:eastAsiaTheme="minorHAnsi" w:cs="Arial"/>
                <w:szCs w:val="24"/>
              </w:rPr>
            </w:pPr>
            <w:r w:rsidRPr="00D7355F">
              <w:rPr>
                <w:rFonts w:eastAsiaTheme="minorHAnsi" w:cs="Arial"/>
                <w:szCs w:val="24"/>
              </w:rPr>
              <w:t xml:space="preserve">Quarterly submissions to commissioners relating to milestones set out below. </w:t>
            </w:r>
          </w:p>
          <w:p w:rsidR="0013071F" w:rsidRPr="00A91133" w:rsidRDefault="0013071F" w:rsidP="006A0823">
            <w:pPr>
              <w:rPr>
                <w:rFonts w:eastAsia="Calibri" w:cs="Arial"/>
                <w:szCs w:val="24"/>
                <w:lang w:eastAsia="en-GB"/>
              </w:rPr>
            </w:pPr>
            <w:r w:rsidRPr="00D7355F">
              <w:rPr>
                <w:rFonts w:eastAsiaTheme="minorHAnsi" w:cs="Arial"/>
                <w:szCs w:val="24"/>
              </w:rPr>
              <w:t>Single annual submission to NHS England</w:t>
            </w:r>
          </w:p>
        </w:tc>
      </w:tr>
      <w:tr w:rsidR="0013071F" w:rsidRPr="00A91133" w:rsidTr="006A0823">
        <w:tc>
          <w:tcPr>
            <w:tcW w:w="2660" w:type="dxa"/>
          </w:tcPr>
          <w:p w:rsidR="0013071F" w:rsidRPr="001D5B02" w:rsidRDefault="0013071F" w:rsidP="006A0823">
            <w:pPr>
              <w:rPr>
                <w:rFonts w:cs="Arial"/>
                <w:b/>
                <w:lang w:eastAsia="en-GB"/>
              </w:rPr>
            </w:pPr>
            <w:r w:rsidRPr="001D5B02">
              <w:rPr>
                <w:rFonts w:cs="Arial"/>
                <w:b/>
                <w:color w:val="000000"/>
                <w:lang w:eastAsia="en-GB"/>
              </w:rPr>
              <w:t>Organisation responsible for data collection</w:t>
            </w:r>
          </w:p>
        </w:tc>
        <w:tc>
          <w:tcPr>
            <w:tcW w:w="5953" w:type="dxa"/>
          </w:tcPr>
          <w:p w:rsidR="000D1DA3" w:rsidRPr="000D1DA3" w:rsidRDefault="000D1DA3" w:rsidP="000D1DA3">
            <w:pPr>
              <w:pStyle w:val="ListParagraph"/>
              <w:numPr>
                <w:ilvl w:val="0"/>
                <w:numId w:val="99"/>
              </w:numPr>
              <w:rPr>
                <w:rFonts w:eastAsiaTheme="minorHAnsi" w:cs="Arial"/>
                <w:szCs w:val="24"/>
              </w:rPr>
            </w:pPr>
            <w:r w:rsidRPr="000D1DA3">
              <w:rPr>
                <w:rFonts w:eastAsiaTheme="minorHAnsi" w:cs="Arial"/>
                <w:szCs w:val="24"/>
              </w:rPr>
              <w:t>Acute providers to collect data on cohorts (number of patients, number of attendances).</w:t>
            </w:r>
          </w:p>
          <w:p w:rsidR="000D1DA3" w:rsidRPr="000D1DA3" w:rsidRDefault="000D1DA3" w:rsidP="000D1DA3">
            <w:pPr>
              <w:pStyle w:val="ListParagraph"/>
              <w:numPr>
                <w:ilvl w:val="0"/>
                <w:numId w:val="99"/>
              </w:numPr>
              <w:rPr>
                <w:rFonts w:eastAsiaTheme="minorHAnsi" w:cs="Arial"/>
                <w:szCs w:val="24"/>
              </w:rPr>
            </w:pPr>
            <w:r w:rsidRPr="000D1DA3">
              <w:rPr>
                <w:rFonts w:eastAsiaTheme="minorHAnsi" w:cs="Arial"/>
                <w:szCs w:val="24"/>
              </w:rPr>
              <w:t xml:space="preserve">Quarterly reports to CCGs. </w:t>
            </w:r>
          </w:p>
          <w:p w:rsidR="0013071F" w:rsidRPr="000E2829" w:rsidRDefault="000D1DA3" w:rsidP="000D1DA3">
            <w:pPr>
              <w:pStyle w:val="ListParagraph"/>
              <w:numPr>
                <w:ilvl w:val="0"/>
                <w:numId w:val="99"/>
              </w:numPr>
              <w:rPr>
                <w:rFonts w:cs="Arial"/>
                <w:szCs w:val="24"/>
                <w:lang w:eastAsia="en-GB"/>
              </w:rPr>
            </w:pPr>
            <w:r w:rsidRPr="000D1DA3">
              <w:rPr>
                <w:rFonts w:eastAsiaTheme="minorHAnsi" w:cs="Arial"/>
                <w:szCs w:val="24"/>
              </w:rPr>
              <w:t>Annual national submission to NHS England.</w:t>
            </w:r>
          </w:p>
        </w:tc>
      </w:tr>
      <w:tr w:rsidR="0013071F" w:rsidRPr="00A91133" w:rsidTr="006A0823">
        <w:tc>
          <w:tcPr>
            <w:tcW w:w="2660" w:type="dxa"/>
          </w:tcPr>
          <w:p w:rsidR="0013071F" w:rsidRPr="001D5B02" w:rsidRDefault="0013071F" w:rsidP="006A0823">
            <w:pPr>
              <w:rPr>
                <w:rFonts w:cs="Arial"/>
                <w:b/>
                <w:szCs w:val="24"/>
                <w:lang w:eastAsia="en-GB"/>
              </w:rPr>
            </w:pPr>
            <w:r w:rsidRPr="001D5B02">
              <w:rPr>
                <w:rFonts w:cs="Arial"/>
                <w:b/>
                <w:color w:val="000000"/>
                <w:szCs w:val="24"/>
                <w:lang w:eastAsia="en-GB"/>
              </w:rPr>
              <w:t>Frequency of reporting to commissioner</w:t>
            </w:r>
          </w:p>
        </w:tc>
        <w:tc>
          <w:tcPr>
            <w:tcW w:w="5953" w:type="dxa"/>
          </w:tcPr>
          <w:p w:rsidR="0013071F" w:rsidRPr="00A91133" w:rsidRDefault="0013071F" w:rsidP="006A0823">
            <w:pPr>
              <w:rPr>
                <w:rFonts w:eastAsia="Calibri" w:cs="Arial"/>
                <w:szCs w:val="24"/>
                <w:lang w:eastAsia="en-GB"/>
              </w:rPr>
            </w:pPr>
            <w:r w:rsidRPr="00D7355F">
              <w:rPr>
                <w:rFonts w:eastAsiaTheme="minorHAnsi" w:cs="Arial"/>
                <w:szCs w:val="24"/>
              </w:rPr>
              <w:t>Quarterly</w:t>
            </w:r>
            <w:r>
              <w:rPr>
                <w:rFonts w:eastAsiaTheme="minorHAnsi" w:cs="Arial"/>
                <w:szCs w:val="24"/>
              </w:rPr>
              <w:t>.</w:t>
            </w:r>
            <w:r w:rsidRPr="00D7355F">
              <w:rPr>
                <w:rFonts w:eastAsiaTheme="minorHAnsi" w:cs="Arial"/>
                <w:szCs w:val="24"/>
              </w:rPr>
              <w:t xml:space="preserve"> </w:t>
            </w:r>
          </w:p>
        </w:tc>
      </w:tr>
      <w:tr w:rsidR="0013071F" w:rsidRPr="00A91133" w:rsidTr="006A0823">
        <w:tc>
          <w:tcPr>
            <w:tcW w:w="2660" w:type="dxa"/>
          </w:tcPr>
          <w:p w:rsidR="0013071F" w:rsidRPr="001D5B02" w:rsidRDefault="0013071F" w:rsidP="006A0823">
            <w:pPr>
              <w:rPr>
                <w:rFonts w:cs="Arial"/>
                <w:b/>
                <w:szCs w:val="24"/>
                <w:lang w:eastAsia="en-GB"/>
              </w:rPr>
            </w:pPr>
            <w:r w:rsidRPr="001D5B02">
              <w:rPr>
                <w:rFonts w:cs="Arial"/>
                <w:b/>
                <w:color w:val="000000"/>
                <w:szCs w:val="24"/>
                <w:lang w:eastAsia="en-GB"/>
              </w:rPr>
              <w:t>Baseline period/date</w:t>
            </w:r>
          </w:p>
        </w:tc>
        <w:tc>
          <w:tcPr>
            <w:tcW w:w="5953" w:type="dxa"/>
          </w:tcPr>
          <w:p w:rsidR="0013071F" w:rsidRPr="00A91133" w:rsidRDefault="0013071F" w:rsidP="006A0823">
            <w:pPr>
              <w:rPr>
                <w:rFonts w:eastAsia="Calibri" w:cs="Arial"/>
                <w:szCs w:val="24"/>
                <w:lang w:eastAsia="en-GB"/>
              </w:rPr>
            </w:pPr>
            <w:r w:rsidRPr="00D7355F">
              <w:rPr>
                <w:rFonts w:eastAsiaTheme="minorHAnsi" w:cs="Arial"/>
                <w:szCs w:val="24"/>
              </w:rPr>
              <w:t>2016/17</w:t>
            </w:r>
          </w:p>
        </w:tc>
      </w:tr>
      <w:tr w:rsidR="0013071F" w:rsidRPr="00A91133" w:rsidTr="006A0823">
        <w:tc>
          <w:tcPr>
            <w:tcW w:w="2660" w:type="dxa"/>
          </w:tcPr>
          <w:p w:rsidR="0013071F" w:rsidRPr="001D5B02" w:rsidRDefault="0013071F" w:rsidP="006A0823">
            <w:pPr>
              <w:rPr>
                <w:rFonts w:cs="Arial"/>
                <w:b/>
                <w:szCs w:val="24"/>
                <w:lang w:eastAsia="en-GB"/>
              </w:rPr>
            </w:pPr>
            <w:r w:rsidRPr="001D5B02">
              <w:rPr>
                <w:rFonts w:cs="Arial"/>
                <w:b/>
                <w:color w:val="000000"/>
                <w:szCs w:val="24"/>
                <w:lang w:eastAsia="en-GB"/>
              </w:rPr>
              <w:t>Baseline value</w:t>
            </w:r>
          </w:p>
        </w:tc>
        <w:tc>
          <w:tcPr>
            <w:tcW w:w="5953" w:type="dxa"/>
          </w:tcPr>
          <w:p w:rsidR="0013071F" w:rsidRPr="00A91133" w:rsidRDefault="000D1DA3" w:rsidP="006A0823">
            <w:pPr>
              <w:rPr>
                <w:rFonts w:eastAsia="Calibri" w:cs="Arial"/>
                <w:color w:val="FF0000"/>
                <w:szCs w:val="24"/>
                <w:lang w:eastAsia="en-GB"/>
              </w:rPr>
            </w:pPr>
            <w:r w:rsidRPr="000D1DA3">
              <w:rPr>
                <w:rFonts w:eastAsiaTheme="minorHAnsi" w:cs="Arial"/>
                <w:szCs w:val="24"/>
              </w:rPr>
              <w:t>A&amp;Es to confirm number of people in the selected cohort and to calculate total number of attendances in 2016/17 for the selected cohort (including attendances per patient), and submit to NHS England via Unify2.</w:t>
            </w:r>
          </w:p>
        </w:tc>
      </w:tr>
      <w:tr w:rsidR="0013071F" w:rsidRPr="00A91133" w:rsidTr="006A0823">
        <w:tc>
          <w:tcPr>
            <w:tcW w:w="2660" w:type="dxa"/>
          </w:tcPr>
          <w:p w:rsidR="0013071F" w:rsidRPr="001D5B02" w:rsidRDefault="0013071F" w:rsidP="006A0823">
            <w:pPr>
              <w:rPr>
                <w:rFonts w:cs="Arial"/>
                <w:b/>
                <w:szCs w:val="24"/>
                <w:lang w:eastAsia="en-GB"/>
              </w:rPr>
            </w:pPr>
            <w:r w:rsidRPr="001D5B02">
              <w:rPr>
                <w:rFonts w:cs="Arial"/>
                <w:b/>
                <w:color w:val="000000"/>
                <w:szCs w:val="24"/>
                <w:lang w:eastAsia="en-GB"/>
              </w:rPr>
              <w:t>Final indicator period/date (on which payment is based)</w:t>
            </w:r>
          </w:p>
        </w:tc>
        <w:tc>
          <w:tcPr>
            <w:tcW w:w="5953" w:type="dxa"/>
          </w:tcPr>
          <w:p w:rsidR="0013071F" w:rsidRPr="00D7355F" w:rsidRDefault="0013071F" w:rsidP="006A0823">
            <w:pPr>
              <w:rPr>
                <w:rFonts w:eastAsiaTheme="minorHAnsi" w:cs="Arial"/>
                <w:szCs w:val="24"/>
              </w:rPr>
            </w:pPr>
            <w:r w:rsidRPr="00D7355F">
              <w:rPr>
                <w:rFonts w:eastAsiaTheme="minorHAnsi" w:cs="Arial"/>
                <w:szCs w:val="24"/>
              </w:rPr>
              <w:t xml:space="preserve">Payment schedule as per milestones below. 2 year CQUIN scheme: </w:t>
            </w:r>
          </w:p>
          <w:p w:rsidR="0013071F" w:rsidRPr="00D7355F" w:rsidRDefault="0013071F" w:rsidP="00DF18AB">
            <w:pPr>
              <w:pStyle w:val="ListParagraph"/>
              <w:numPr>
                <w:ilvl w:val="0"/>
                <w:numId w:val="100"/>
              </w:numPr>
              <w:rPr>
                <w:rFonts w:eastAsiaTheme="minorHAnsi" w:cs="Arial"/>
                <w:bCs w:val="0"/>
                <w:szCs w:val="24"/>
              </w:rPr>
            </w:pPr>
            <w:r w:rsidRPr="00D7355F">
              <w:rPr>
                <w:rFonts w:eastAsiaTheme="minorHAnsi" w:cs="Arial"/>
                <w:szCs w:val="24"/>
              </w:rPr>
              <w:t>Year 1 payment based on performance during 2017/18</w:t>
            </w:r>
            <w:r>
              <w:rPr>
                <w:rFonts w:eastAsiaTheme="minorHAnsi" w:cs="Arial"/>
                <w:szCs w:val="24"/>
              </w:rPr>
              <w:t>.</w:t>
            </w:r>
          </w:p>
          <w:p w:rsidR="0013071F" w:rsidRPr="000E2829" w:rsidRDefault="0013071F" w:rsidP="00DF18AB">
            <w:pPr>
              <w:pStyle w:val="ListParagraph"/>
              <w:numPr>
                <w:ilvl w:val="0"/>
                <w:numId w:val="100"/>
              </w:numPr>
              <w:rPr>
                <w:rFonts w:eastAsiaTheme="minorHAnsi" w:cs="Arial"/>
                <w:bCs w:val="0"/>
                <w:szCs w:val="24"/>
              </w:rPr>
            </w:pPr>
            <w:r w:rsidRPr="00D7355F">
              <w:rPr>
                <w:rFonts w:eastAsiaTheme="minorHAnsi" w:cs="Arial"/>
                <w:szCs w:val="24"/>
              </w:rPr>
              <w:t>Year 2 payment based on performance during 2018/19</w:t>
            </w:r>
            <w:r>
              <w:rPr>
                <w:rFonts w:eastAsiaTheme="minorHAnsi" w:cs="Arial"/>
                <w:szCs w:val="24"/>
              </w:rPr>
              <w:t>.</w:t>
            </w:r>
          </w:p>
        </w:tc>
      </w:tr>
      <w:tr w:rsidR="0013071F" w:rsidRPr="00A91133" w:rsidTr="006A0823">
        <w:tc>
          <w:tcPr>
            <w:tcW w:w="2660" w:type="dxa"/>
          </w:tcPr>
          <w:p w:rsidR="0013071F" w:rsidRPr="001D5B02" w:rsidRDefault="0013071F" w:rsidP="006A0823">
            <w:pPr>
              <w:rPr>
                <w:rFonts w:cs="Arial"/>
                <w:b/>
                <w:szCs w:val="24"/>
                <w:lang w:eastAsia="en-GB"/>
              </w:rPr>
            </w:pPr>
            <w:r w:rsidRPr="001D5B02">
              <w:rPr>
                <w:rFonts w:cs="Arial"/>
                <w:b/>
                <w:color w:val="000000"/>
                <w:szCs w:val="24"/>
                <w:lang w:eastAsia="en-GB"/>
              </w:rPr>
              <w:t>Final indicator value (payment threshold)</w:t>
            </w:r>
          </w:p>
        </w:tc>
        <w:tc>
          <w:tcPr>
            <w:tcW w:w="5953" w:type="dxa"/>
          </w:tcPr>
          <w:p w:rsidR="000D1DA3" w:rsidRPr="00D7355F" w:rsidRDefault="000D1DA3" w:rsidP="000D1DA3">
            <w:pPr>
              <w:rPr>
                <w:rFonts w:eastAsiaTheme="minorHAnsi" w:cs="Arial"/>
                <w:szCs w:val="24"/>
              </w:rPr>
            </w:pPr>
            <w:r w:rsidRPr="00D7355F">
              <w:rPr>
                <w:rFonts w:eastAsiaTheme="minorHAnsi" w:cs="Arial"/>
                <w:szCs w:val="24"/>
              </w:rPr>
              <w:t>Year 1</w:t>
            </w:r>
          </w:p>
          <w:p w:rsidR="000D1DA3" w:rsidRPr="00D7355F" w:rsidRDefault="000D1DA3" w:rsidP="000D1DA3">
            <w:pPr>
              <w:pStyle w:val="ListParagraph"/>
              <w:numPr>
                <w:ilvl w:val="0"/>
                <w:numId w:val="101"/>
              </w:numPr>
              <w:ind w:left="762" w:hanging="426"/>
              <w:rPr>
                <w:rFonts w:eastAsiaTheme="minorHAnsi" w:cs="Arial"/>
                <w:bCs w:val="0"/>
                <w:szCs w:val="24"/>
              </w:rPr>
            </w:pPr>
            <w:r w:rsidRPr="00D7355F">
              <w:rPr>
                <w:rFonts w:eastAsiaTheme="minorHAnsi" w:cs="Arial"/>
                <w:szCs w:val="24"/>
              </w:rPr>
              <w:t xml:space="preserve">20% reduction in A&amp;E attendances of the selected cohort of frequent attenders to A&amp;E in 2016/17 </w:t>
            </w:r>
            <w:proofErr w:type="gramStart"/>
            <w:r w:rsidRPr="00D7355F">
              <w:rPr>
                <w:rFonts w:eastAsiaTheme="minorHAnsi" w:cs="Arial"/>
                <w:szCs w:val="24"/>
              </w:rPr>
              <w:t>who</w:t>
            </w:r>
            <w:proofErr w:type="gramEnd"/>
            <w:r w:rsidRPr="00D7355F">
              <w:rPr>
                <w:rFonts w:eastAsiaTheme="minorHAnsi" w:cs="Arial"/>
                <w:szCs w:val="24"/>
              </w:rPr>
              <w:t xml:space="preserve"> would benefit from mental health and psychosocial interventions</w:t>
            </w:r>
            <w:r>
              <w:rPr>
                <w:rFonts w:eastAsiaTheme="minorHAnsi" w:cs="Arial"/>
                <w:szCs w:val="24"/>
              </w:rPr>
              <w:t>.</w:t>
            </w:r>
          </w:p>
          <w:p w:rsidR="000D1DA3" w:rsidRPr="00D7355F" w:rsidRDefault="000D1DA3" w:rsidP="000D1DA3">
            <w:pPr>
              <w:ind w:left="360"/>
              <w:rPr>
                <w:rFonts w:eastAsiaTheme="minorHAnsi" w:cs="Arial"/>
                <w:szCs w:val="24"/>
              </w:rPr>
            </w:pPr>
          </w:p>
          <w:p w:rsidR="000D1DA3" w:rsidRPr="00D7355F" w:rsidRDefault="000D1DA3" w:rsidP="000D1DA3">
            <w:pPr>
              <w:rPr>
                <w:rFonts w:eastAsiaTheme="minorHAnsi" w:cs="Arial"/>
                <w:szCs w:val="24"/>
              </w:rPr>
            </w:pPr>
            <w:r w:rsidRPr="00D7355F">
              <w:rPr>
                <w:rFonts w:eastAsiaTheme="minorHAnsi" w:cs="Arial"/>
                <w:szCs w:val="24"/>
              </w:rPr>
              <w:t>Year 2</w:t>
            </w:r>
          </w:p>
          <w:p w:rsidR="000D1DA3" w:rsidRPr="000D1DA3" w:rsidRDefault="000D1DA3" w:rsidP="000D1DA3">
            <w:pPr>
              <w:pStyle w:val="ListParagraph"/>
              <w:numPr>
                <w:ilvl w:val="0"/>
                <w:numId w:val="120"/>
              </w:numPr>
              <w:rPr>
                <w:rFonts w:eastAsiaTheme="minorHAnsi" w:cs="Arial"/>
                <w:bCs w:val="0"/>
                <w:szCs w:val="24"/>
              </w:rPr>
            </w:pPr>
            <w:r w:rsidRPr="00D7355F">
              <w:rPr>
                <w:rFonts w:eastAsiaTheme="minorHAnsi" w:cs="Arial"/>
                <w:szCs w:val="24"/>
              </w:rPr>
              <w:t>0% increase in number of A&amp;E attendances of the selected cohort of frequent attenders to A&amp;E in 2017/18 who would benefit from mental health and psychosocial interventions</w:t>
            </w:r>
            <w:r>
              <w:rPr>
                <w:rFonts w:eastAsiaTheme="minorHAnsi" w:cs="Arial"/>
                <w:szCs w:val="24"/>
              </w:rPr>
              <w:t>.</w:t>
            </w:r>
          </w:p>
          <w:p w:rsidR="0013071F" w:rsidRPr="000D1DA3" w:rsidRDefault="000D1DA3" w:rsidP="000D1DA3">
            <w:pPr>
              <w:pStyle w:val="ListParagraph"/>
              <w:numPr>
                <w:ilvl w:val="0"/>
                <w:numId w:val="120"/>
              </w:numPr>
              <w:rPr>
                <w:rFonts w:eastAsiaTheme="minorHAnsi" w:cs="Arial"/>
                <w:bCs w:val="0"/>
                <w:szCs w:val="24"/>
              </w:rPr>
            </w:pPr>
            <w:r w:rsidRPr="000D1DA3">
              <w:rPr>
                <w:rFonts w:eastAsiaTheme="minorHAnsi" w:cs="Arial"/>
                <w:szCs w:val="24"/>
              </w:rPr>
              <w:lastRenderedPageBreak/>
              <w:t>10% reduction in all A&amp;E attendances of people with a primary mental health diagnosis (when comparing Q4 2017/18 to Q4 2018/19).</w:t>
            </w:r>
          </w:p>
        </w:tc>
      </w:tr>
      <w:tr w:rsidR="0013071F" w:rsidRPr="00A91133" w:rsidTr="006A0823">
        <w:tc>
          <w:tcPr>
            <w:tcW w:w="2660" w:type="dxa"/>
          </w:tcPr>
          <w:p w:rsidR="0013071F" w:rsidRPr="001D5B02" w:rsidRDefault="0013071F" w:rsidP="006A0823">
            <w:pPr>
              <w:rPr>
                <w:rFonts w:cs="Arial"/>
                <w:b/>
                <w:szCs w:val="24"/>
                <w:lang w:eastAsia="en-GB"/>
              </w:rPr>
            </w:pPr>
            <w:r w:rsidRPr="001D5B02">
              <w:rPr>
                <w:rFonts w:cs="Arial"/>
                <w:b/>
                <w:color w:val="000000"/>
                <w:szCs w:val="24"/>
                <w:lang w:eastAsia="en-GB"/>
              </w:rPr>
              <w:lastRenderedPageBreak/>
              <w:t>Final indicator reporting date</w:t>
            </w:r>
          </w:p>
        </w:tc>
        <w:tc>
          <w:tcPr>
            <w:tcW w:w="5953" w:type="dxa"/>
          </w:tcPr>
          <w:p w:rsidR="0013071F" w:rsidRPr="00A91133" w:rsidRDefault="0013071F" w:rsidP="006A0823">
            <w:pPr>
              <w:rPr>
                <w:rFonts w:eastAsia="Calibri" w:cs="Arial"/>
                <w:color w:val="FF0000"/>
                <w:szCs w:val="24"/>
                <w:lang w:eastAsia="en-GB"/>
              </w:rPr>
            </w:pPr>
            <w:r w:rsidRPr="00D7355F">
              <w:rPr>
                <w:rFonts w:eastAsiaTheme="minorHAnsi" w:cs="Arial"/>
                <w:szCs w:val="24"/>
              </w:rPr>
              <w:t>Q4 2018/19</w:t>
            </w:r>
          </w:p>
        </w:tc>
      </w:tr>
      <w:tr w:rsidR="0013071F" w:rsidRPr="00A91133" w:rsidTr="006A0823">
        <w:tc>
          <w:tcPr>
            <w:tcW w:w="2660" w:type="dxa"/>
          </w:tcPr>
          <w:p w:rsidR="0013071F" w:rsidRPr="001D5B02" w:rsidRDefault="0013071F" w:rsidP="006A0823">
            <w:pPr>
              <w:rPr>
                <w:rFonts w:cs="Arial"/>
                <w:b/>
                <w:szCs w:val="24"/>
                <w:lang w:eastAsia="en-GB"/>
              </w:rPr>
            </w:pPr>
            <w:r w:rsidRPr="001D5B02">
              <w:rPr>
                <w:rFonts w:cs="Arial"/>
                <w:b/>
                <w:color w:val="000000"/>
                <w:szCs w:val="24"/>
                <w:lang w:eastAsia="en-GB"/>
              </w:rPr>
              <w:t>Are there rules for any agreed in-year milestones that result in payment?</w:t>
            </w:r>
          </w:p>
        </w:tc>
        <w:tc>
          <w:tcPr>
            <w:tcW w:w="5953" w:type="dxa"/>
          </w:tcPr>
          <w:p w:rsidR="0013071F" w:rsidRPr="00A91133" w:rsidRDefault="0013071F" w:rsidP="006A0823">
            <w:pPr>
              <w:rPr>
                <w:rFonts w:eastAsia="Calibri" w:cs="Arial"/>
                <w:color w:val="FF0000"/>
                <w:szCs w:val="24"/>
                <w:lang w:eastAsia="en-GB"/>
              </w:rPr>
            </w:pPr>
            <w:r w:rsidRPr="00D7355F">
              <w:rPr>
                <w:rFonts w:eastAsiaTheme="minorHAnsi" w:cs="Arial"/>
                <w:szCs w:val="24"/>
              </w:rPr>
              <w:t>Yes, in the milestones selection below</w:t>
            </w:r>
            <w:r>
              <w:rPr>
                <w:rFonts w:eastAsiaTheme="minorHAnsi" w:cs="Arial"/>
                <w:szCs w:val="24"/>
              </w:rPr>
              <w:t>.</w:t>
            </w:r>
          </w:p>
        </w:tc>
      </w:tr>
      <w:tr w:rsidR="0013071F" w:rsidRPr="00A91133" w:rsidTr="006A0823">
        <w:tc>
          <w:tcPr>
            <w:tcW w:w="2660" w:type="dxa"/>
          </w:tcPr>
          <w:p w:rsidR="0013071F" w:rsidRPr="001D5B02" w:rsidRDefault="0013071F" w:rsidP="006A0823">
            <w:pPr>
              <w:rPr>
                <w:rFonts w:cs="Arial"/>
                <w:b/>
                <w:color w:val="000000"/>
                <w:szCs w:val="24"/>
                <w:lang w:eastAsia="en-GB"/>
              </w:rPr>
            </w:pPr>
            <w:r w:rsidRPr="001D5B02">
              <w:rPr>
                <w:rFonts w:cs="Arial"/>
                <w:b/>
                <w:color w:val="000000"/>
                <w:szCs w:val="24"/>
                <w:lang w:eastAsia="en-GB"/>
              </w:rPr>
              <w:t>Are there any rules for partial achievement of the indicator at the final indicator period/date?</w:t>
            </w:r>
          </w:p>
        </w:tc>
        <w:tc>
          <w:tcPr>
            <w:tcW w:w="5953" w:type="dxa"/>
          </w:tcPr>
          <w:p w:rsidR="0013071F" w:rsidRPr="00A91133" w:rsidRDefault="0013071F" w:rsidP="006A0823">
            <w:pPr>
              <w:rPr>
                <w:rFonts w:eastAsia="Calibri" w:cs="Arial"/>
                <w:color w:val="FF0000"/>
                <w:szCs w:val="24"/>
                <w:lang w:eastAsia="en-GB"/>
              </w:rPr>
            </w:pPr>
            <w:r w:rsidRPr="00D7355F">
              <w:rPr>
                <w:rFonts w:eastAsiaTheme="minorHAnsi" w:cs="Arial"/>
                <w:szCs w:val="24"/>
              </w:rPr>
              <w:t>Yes, in the partial achievement section below</w:t>
            </w:r>
            <w:r>
              <w:rPr>
                <w:rFonts w:eastAsiaTheme="minorHAnsi" w:cs="Arial"/>
                <w:szCs w:val="24"/>
              </w:rPr>
              <w:t>.</w:t>
            </w:r>
          </w:p>
        </w:tc>
      </w:tr>
    </w:tbl>
    <w:p w:rsidR="0013071F" w:rsidRDefault="0013071F" w:rsidP="0013071F">
      <w:pPr>
        <w:rPr>
          <w:lang w:eastAsia="en-GB"/>
        </w:rPr>
      </w:pPr>
    </w:p>
    <w:p w:rsidR="0013071F" w:rsidRDefault="0013071F" w:rsidP="0013071F">
      <w:pPr>
        <w:rPr>
          <w:rFonts w:eastAsiaTheme="majorEastAsia" w:cstheme="majorBidi"/>
          <w:b/>
          <w:bCs w:val="0"/>
          <w:iCs/>
          <w:color w:val="A00054" w:themeColor="accent2"/>
          <w:lang w:eastAsia="en-GB"/>
        </w:rPr>
      </w:pPr>
      <w:r>
        <w:rPr>
          <w:lang w:eastAsia="en-GB"/>
        </w:rPr>
        <w:br w:type="page"/>
      </w:r>
    </w:p>
    <w:p w:rsidR="0013071F" w:rsidRDefault="0013071F" w:rsidP="0013071F">
      <w:pPr>
        <w:pStyle w:val="Heading4"/>
        <w:rPr>
          <w:lang w:eastAsia="en-GB"/>
        </w:rPr>
      </w:pPr>
      <w:r w:rsidRPr="00702E87">
        <w:rPr>
          <w:lang w:eastAsia="en-GB"/>
        </w:rPr>
        <w:lastRenderedPageBreak/>
        <w:t>Milestones</w:t>
      </w:r>
      <w:r w:rsidRPr="00702E87">
        <w:t xml:space="preserve"> </w:t>
      </w:r>
      <w:r>
        <w:rPr>
          <w:lang w:eastAsia="en-GB"/>
        </w:rPr>
        <w:t>for indicator 4</w:t>
      </w:r>
    </w:p>
    <w:p w:rsidR="0013071F" w:rsidRPr="000E2829" w:rsidRDefault="0013071F" w:rsidP="0013071F">
      <w:pPr>
        <w:rPr>
          <w:lang w:eastAsia="en-GB"/>
        </w:rPr>
      </w:pPr>
    </w:p>
    <w:tbl>
      <w:tblPr>
        <w:tblW w:w="864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38"/>
        <w:gridCol w:w="3496"/>
        <w:gridCol w:w="1770"/>
        <w:gridCol w:w="1843"/>
      </w:tblGrid>
      <w:tr w:rsidR="0013071F" w:rsidRPr="000E2829" w:rsidTr="006A0823">
        <w:trPr>
          <w:cantSplit/>
          <w:trHeight w:val="256"/>
          <w:tblHeader/>
        </w:trPr>
        <w:tc>
          <w:tcPr>
            <w:tcW w:w="1538" w:type="dxa"/>
            <w:shd w:val="clear" w:color="auto" w:fill="0070C0"/>
            <w:noWrap/>
          </w:tcPr>
          <w:p w:rsidR="0013071F" w:rsidRPr="000E2829" w:rsidRDefault="0013071F" w:rsidP="006A0823">
            <w:pPr>
              <w:rPr>
                <w:rFonts w:cs="Arial"/>
                <w:b/>
                <w:bCs w:val="0"/>
                <w:color w:val="FFFFFF"/>
                <w:lang w:eastAsia="en-GB"/>
              </w:rPr>
            </w:pPr>
            <w:r w:rsidRPr="000E2829">
              <w:rPr>
                <w:rFonts w:cs="Arial"/>
                <w:b/>
                <w:color w:val="FFFFFF"/>
                <w:lang w:eastAsia="en-GB"/>
              </w:rPr>
              <w:t>Date/period milestone relates to</w:t>
            </w:r>
          </w:p>
        </w:tc>
        <w:tc>
          <w:tcPr>
            <w:tcW w:w="3496" w:type="dxa"/>
            <w:shd w:val="clear" w:color="auto" w:fill="0070C0"/>
          </w:tcPr>
          <w:p w:rsidR="0013071F" w:rsidRPr="000E2829" w:rsidRDefault="0013071F" w:rsidP="006A0823">
            <w:pPr>
              <w:rPr>
                <w:rFonts w:cs="Arial"/>
                <w:b/>
                <w:bCs w:val="0"/>
                <w:color w:val="FFFFFF"/>
                <w:lang w:eastAsia="en-GB"/>
              </w:rPr>
            </w:pPr>
            <w:r w:rsidRPr="000E2829">
              <w:rPr>
                <w:rFonts w:cs="Arial"/>
                <w:b/>
                <w:color w:val="FFFFFF"/>
                <w:lang w:eastAsia="en-GB"/>
              </w:rPr>
              <w:t>Rules for achievement of milestones (including evidence to be supplied to commissioner)</w:t>
            </w:r>
          </w:p>
        </w:tc>
        <w:tc>
          <w:tcPr>
            <w:tcW w:w="1770" w:type="dxa"/>
            <w:shd w:val="clear" w:color="auto" w:fill="0070C0"/>
          </w:tcPr>
          <w:p w:rsidR="0013071F" w:rsidRPr="000E2829" w:rsidRDefault="0013071F" w:rsidP="006A0823">
            <w:pPr>
              <w:rPr>
                <w:rFonts w:cs="Arial"/>
                <w:b/>
                <w:bCs w:val="0"/>
                <w:color w:val="FFFFFF"/>
                <w:lang w:eastAsia="en-GB"/>
              </w:rPr>
            </w:pPr>
            <w:r w:rsidRPr="000E2829">
              <w:rPr>
                <w:rFonts w:cs="Arial"/>
                <w:b/>
                <w:color w:val="FFFFFF"/>
                <w:lang w:eastAsia="en-GB"/>
              </w:rPr>
              <w:t>Date milestone to be reported</w:t>
            </w:r>
          </w:p>
        </w:tc>
        <w:tc>
          <w:tcPr>
            <w:tcW w:w="1843" w:type="dxa"/>
            <w:shd w:val="clear" w:color="auto" w:fill="0070C0"/>
          </w:tcPr>
          <w:p w:rsidR="0013071F" w:rsidRPr="000E2829" w:rsidRDefault="0013071F" w:rsidP="006A0823">
            <w:pPr>
              <w:rPr>
                <w:rFonts w:cs="Arial"/>
                <w:b/>
                <w:bCs w:val="0"/>
                <w:color w:val="FFFFFF"/>
                <w:lang w:eastAsia="en-GB"/>
              </w:rPr>
            </w:pPr>
            <w:r w:rsidRPr="000E2829">
              <w:rPr>
                <w:rFonts w:cs="Arial"/>
                <w:b/>
                <w:color w:val="FFFFFF"/>
                <w:lang w:eastAsia="en-GB"/>
              </w:rPr>
              <w:t>Milestone weighting (% of CQUIN scheme available)</w:t>
            </w:r>
          </w:p>
        </w:tc>
      </w:tr>
      <w:tr w:rsidR="000D1DA3" w:rsidRPr="000E2829" w:rsidTr="006A0823">
        <w:trPr>
          <w:trHeight w:val="99"/>
        </w:trPr>
        <w:tc>
          <w:tcPr>
            <w:tcW w:w="1538" w:type="dxa"/>
          </w:tcPr>
          <w:p w:rsidR="000D1DA3" w:rsidRPr="000E2829" w:rsidRDefault="000D1DA3" w:rsidP="000D1DA3">
            <w:pPr>
              <w:rPr>
                <w:rFonts w:cs="Arial"/>
                <w:szCs w:val="24"/>
              </w:rPr>
            </w:pPr>
            <w:r w:rsidRPr="000E2829">
              <w:rPr>
                <w:rFonts w:cs="Arial"/>
                <w:szCs w:val="24"/>
              </w:rPr>
              <w:t>Q1 2017/18</w:t>
            </w:r>
          </w:p>
        </w:tc>
        <w:tc>
          <w:tcPr>
            <w:tcW w:w="3496" w:type="dxa"/>
          </w:tcPr>
          <w:p w:rsidR="000D1DA3" w:rsidRPr="000E2829" w:rsidRDefault="000D1DA3" w:rsidP="000D1DA3">
            <w:pPr>
              <w:contextualSpacing/>
              <w:rPr>
                <w:rFonts w:cs="Arial"/>
                <w:szCs w:val="24"/>
              </w:rPr>
            </w:pPr>
            <w:r w:rsidRPr="000E2829">
              <w:rPr>
                <w:rFonts w:cs="Arial"/>
                <w:szCs w:val="24"/>
              </w:rPr>
              <w:t xml:space="preserve">MH </w:t>
            </w:r>
            <w:r>
              <w:rPr>
                <w:rFonts w:cs="Arial"/>
                <w:szCs w:val="24"/>
              </w:rPr>
              <w:t>t</w:t>
            </w:r>
            <w:r w:rsidRPr="000E2829">
              <w:rPr>
                <w:rFonts w:cs="Arial"/>
                <w:szCs w:val="24"/>
              </w:rPr>
              <w:t xml:space="preserve">rust </w:t>
            </w:r>
            <w:r>
              <w:rPr>
                <w:rFonts w:cs="Arial"/>
                <w:szCs w:val="24"/>
              </w:rPr>
              <w:t>and a</w:t>
            </w:r>
            <w:r w:rsidRPr="000E2829">
              <w:rPr>
                <w:rFonts w:cs="Arial"/>
                <w:szCs w:val="24"/>
              </w:rPr>
              <w:t xml:space="preserve">cute </w:t>
            </w:r>
            <w:r>
              <w:rPr>
                <w:rFonts w:cs="Arial"/>
                <w:szCs w:val="24"/>
              </w:rPr>
              <w:t>t</w:t>
            </w:r>
            <w:r w:rsidRPr="000E2829">
              <w:rPr>
                <w:rFonts w:cs="Arial"/>
                <w:szCs w:val="24"/>
              </w:rPr>
              <w:t xml:space="preserve">rust </w:t>
            </w:r>
            <w:r>
              <w:rPr>
                <w:rFonts w:cs="Arial"/>
                <w:szCs w:val="24"/>
              </w:rPr>
              <w:t xml:space="preserve">to </w:t>
            </w:r>
            <w:r w:rsidRPr="000E2829">
              <w:rPr>
                <w:rFonts w:cs="Arial"/>
                <w:szCs w:val="24"/>
              </w:rPr>
              <w:t>review most frequent A&amp;E attenders who have attended 10-15 times or more within the last 12 months</w:t>
            </w:r>
            <w:r>
              <w:rPr>
                <w:rFonts w:cs="Arial"/>
                <w:szCs w:val="24"/>
              </w:rPr>
              <w:t xml:space="preserve"> (i.e. throughout 2016/17).</w:t>
            </w:r>
            <w:r w:rsidRPr="000E2829">
              <w:rPr>
                <w:rFonts w:cs="Arial"/>
                <w:szCs w:val="24"/>
              </w:rPr>
              <w:t xml:space="preserve"> </w:t>
            </w:r>
          </w:p>
          <w:p w:rsidR="000D1DA3" w:rsidRPr="000E2829" w:rsidRDefault="000D1DA3" w:rsidP="000D1DA3">
            <w:pPr>
              <w:contextualSpacing/>
              <w:rPr>
                <w:rFonts w:cs="Arial"/>
                <w:szCs w:val="24"/>
              </w:rPr>
            </w:pPr>
          </w:p>
          <w:p w:rsidR="000D1DA3" w:rsidRPr="000E2829" w:rsidRDefault="000D1DA3" w:rsidP="000D1DA3">
            <w:pPr>
              <w:contextualSpacing/>
              <w:rPr>
                <w:rFonts w:cs="Arial"/>
                <w:szCs w:val="24"/>
              </w:rPr>
            </w:pPr>
            <w:r w:rsidRPr="000E2829">
              <w:rPr>
                <w:rFonts w:cs="Arial"/>
                <w:szCs w:val="24"/>
              </w:rPr>
              <w:t xml:space="preserve">Local </w:t>
            </w:r>
            <w:r>
              <w:rPr>
                <w:rFonts w:cs="Arial"/>
                <w:szCs w:val="24"/>
              </w:rPr>
              <w:t xml:space="preserve">acute and MH </w:t>
            </w:r>
            <w:r w:rsidRPr="000E2829">
              <w:rPr>
                <w:rFonts w:cs="Arial"/>
                <w:szCs w:val="24"/>
              </w:rPr>
              <w:t xml:space="preserve">providers identify subset of people from most frequent A&amp;E attenders who would benefit from assessment, review, and care planning with specialist mental health staff. Ways in which this can be done could include: </w:t>
            </w:r>
          </w:p>
          <w:p w:rsidR="000D1DA3" w:rsidRPr="000E2829" w:rsidRDefault="000D1DA3" w:rsidP="000D1DA3">
            <w:pPr>
              <w:numPr>
                <w:ilvl w:val="0"/>
                <w:numId w:val="46"/>
              </w:numPr>
              <w:ind w:left="482" w:hanging="285"/>
              <w:contextualSpacing/>
              <w:rPr>
                <w:rFonts w:cs="Arial"/>
                <w:bCs w:val="0"/>
                <w:szCs w:val="24"/>
              </w:rPr>
            </w:pPr>
            <w:r>
              <w:rPr>
                <w:rFonts w:cs="Arial"/>
                <w:szCs w:val="24"/>
              </w:rPr>
              <w:t>C</w:t>
            </w:r>
            <w:r w:rsidRPr="000E2829">
              <w:rPr>
                <w:rFonts w:cs="Arial"/>
                <w:szCs w:val="24"/>
              </w:rPr>
              <w:t xml:space="preserve">linical review meetings between A&amp;E and </w:t>
            </w:r>
            <w:r>
              <w:rPr>
                <w:rFonts w:cs="Arial"/>
                <w:szCs w:val="24"/>
              </w:rPr>
              <w:t xml:space="preserve">liaison </w:t>
            </w:r>
            <w:r w:rsidRPr="000E2829">
              <w:rPr>
                <w:rFonts w:cs="Arial"/>
                <w:szCs w:val="24"/>
              </w:rPr>
              <w:t xml:space="preserve">mental health clinicians;  </w:t>
            </w:r>
          </w:p>
          <w:p w:rsidR="000D1DA3" w:rsidRPr="000E2829" w:rsidRDefault="000D1DA3" w:rsidP="000D1DA3">
            <w:pPr>
              <w:numPr>
                <w:ilvl w:val="0"/>
                <w:numId w:val="46"/>
              </w:numPr>
              <w:ind w:left="482" w:hanging="285"/>
              <w:contextualSpacing/>
              <w:rPr>
                <w:rFonts w:cs="Arial"/>
                <w:bCs w:val="0"/>
                <w:szCs w:val="24"/>
              </w:rPr>
            </w:pPr>
            <w:r>
              <w:rPr>
                <w:rFonts w:cs="Arial"/>
                <w:szCs w:val="24"/>
              </w:rPr>
              <w:t>O</w:t>
            </w:r>
            <w:r w:rsidRPr="000E2829">
              <w:rPr>
                <w:rFonts w:cs="Arial"/>
                <w:szCs w:val="24"/>
              </w:rPr>
              <w:t xml:space="preserve">pportunistic assessment by </w:t>
            </w:r>
            <w:r>
              <w:rPr>
                <w:rFonts w:cs="Arial"/>
                <w:szCs w:val="24"/>
              </w:rPr>
              <w:t xml:space="preserve">liaison </w:t>
            </w:r>
            <w:r w:rsidRPr="000E2829">
              <w:rPr>
                <w:rFonts w:cs="Arial"/>
                <w:szCs w:val="24"/>
              </w:rPr>
              <w:t>mental health clinicians (i.e. at one of the cohort</w:t>
            </w:r>
            <w:r>
              <w:rPr>
                <w:rFonts w:cs="Arial"/>
                <w:szCs w:val="24"/>
              </w:rPr>
              <w:t xml:space="preserve"> patient</w:t>
            </w:r>
            <w:r w:rsidRPr="000E2829">
              <w:rPr>
                <w:rFonts w:cs="Arial"/>
                <w:szCs w:val="24"/>
              </w:rPr>
              <w:t xml:space="preserve">’s next attendances);  </w:t>
            </w:r>
          </w:p>
          <w:p w:rsidR="000D1DA3" w:rsidRPr="000E2829" w:rsidRDefault="000D1DA3" w:rsidP="000D1DA3">
            <w:pPr>
              <w:numPr>
                <w:ilvl w:val="0"/>
                <w:numId w:val="46"/>
              </w:numPr>
              <w:ind w:left="482" w:hanging="285"/>
              <w:contextualSpacing/>
              <w:rPr>
                <w:rFonts w:cs="Arial"/>
                <w:bCs w:val="0"/>
                <w:szCs w:val="24"/>
              </w:rPr>
            </w:pPr>
            <w:r>
              <w:rPr>
                <w:rFonts w:cs="Arial"/>
                <w:szCs w:val="24"/>
              </w:rPr>
              <w:t>R</w:t>
            </w:r>
            <w:r w:rsidRPr="000E2829">
              <w:rPr>
                <w:rFonts w:cs="Arial"/>
                <w:szCs w:val="24"/>
              </w:rPr>
              <w:t>eview of case notes</w:t>
            </w:r>
            <w:r>
              <w:rPr>
                <w:rFonts w:cs="Arial"/>
                <w:szCs w:val="24"/>
              </w:rPr>
              <w:t>.</w:t>
            </w:r>
          </w:p>
          <w:p w:rsidR="000D1DA3" w:rsidRPr="000E2829" w:rsidRDefault="000D1DA3" w:rsidP="000D1DA3">
            <w:pPr>
              <w:contextualSpacing/>
              <w:rPr>
                <w:rFonts w:cs="Arial"/>
                <w:szCs w:val="24"/>
              </w:rPr>
            </w:pPr>
          </w:p>
          <w:p w:rsidR="000D1DA3" w:rsidRDefault="000D1DA3" w:rsidP="000D1DA3">
            <w:pPr>
              <w:contextualSpacing/>
              <w:rPr>
                <w:rFonts w:cs="Arial"/>
                <w:szCs w:val="24"/>
              </w:rPr>
            </w:pPr>
            <w:r>
              <w:rPr>
                <w:rFonts w:cs="Arial"/>
                <w:szCs w:val="24"/>
              </w:rPr>
              <w:t>Once this subset has been identified, the number of patients within it and the number of 2016/17 attendances is recorded to set a baseline.</w:t>
            </w:r>
          </w:p>
          <w:p w:rsidR="000D1DA3" w:rsidRDefault="000D1DA3" w:rsidP="000D1DA3">
            <w:pPr>
              <w:contextualSpacing/>
              <w:rPr>
                <w:rFonts w:cs="Arial"/>
                <w:szCs w:val="24"/>
              </w:rPr>
            </w:pPr>
          </w:p>
          <w:p w:rsidR="000D1DA3" w:rsidRPr="000E2829" w:rsidRDefault="000D1DA3" w:rsidP="000D1DA3">
            <w:pPr>
              <w:contextualSpacing/>
              <w:rPr>
                <w:rFonts w:cs="Arial"/>
                <w:szCs w:val="24"/>
              </w:rPr>
            </w:pPr>
            <w:r>
              <w:rPr>
                <w:rFonts w:cs="Arial"/>
                <w:szCs w:val="24"/>
              </w:rPr>
              <w:t>MH trust and acute trust to assure commissioners that f</w:t>
            </w:r>
            <w:r w:rsidRPr="000E2829">
              <w:rPr>
                <w:rFonts w:cs="Arial"/>
                <w:szCs w:val="24"/>
              </w:rPr>
              <w:t xml:space="preserve">urther work </w:t>
            </w:r>
            <w:r>
              <w:rPr>
                <w:rFonts w:cs="Arial"/>
                <w:szCs w:val="24"/>
              </w:rPr>
              <w:t xml:space="preserve">has been undertaken </w:t>
            </w:r>
            <w:r w:rsidRPr="000E2829">
              <w:rPr>
                <w:rFonts w:cs="Arial"/>
                <w:szCs w:val="24"/>
              </w:rPr>
              <w:t xml:space="preserve">with partners (111, ambulance service, police, substance misuse, primary care, </w:t>
            </w:r>
            <w:proofErr w:type="spellStart"/>
            <w:r w:rsidRPr="000E2829">
              <w:rPr>
                <w:rFonts w:cs="Arial"/>
                <w:szCs w:val="24"/>
              </w:rPr>
              <w:t>etc</w:t>
            </w:r>
            <w:proofErr w:type="spellEnd"/>
            <w:r w:rsidRPr="000E2829">
              <w:rPr>
                <w:rFonts w:cs="Arial"/>
                <w:szCs w:val="24"/>
              </w:rPr>
              <w:t>) to identify whether identified cohort also presenting frequently at other UEC system touch points.</w:t>
            </w:r>
          </w:p>
        </w:tc>
        <w:tc>
          <w:tcPr>
            <w:tcW w:w="1770" w:type="dxa"/>
          </w:tcPr>
          <w:p w:rsidR="000D1DA3" w:rsidRPr="000E2829" w:rsidRDefault="000D1DA3" w:rsidP="000D1DA3">
            <w:pPr>
              <w:rPr>
                <w:rFonts w:cs="Arial"/>
                <w:szCs w:val="24"/>
              </w:rPr>
            </w:pPr>
            <w:r w:rsidRPr="000E2829">
              <w:rPr>
                <w:rFonts w:cs="Arial"/>
                <w:szCs w:val="24"/>
              </w:rPr>
              <w:t>June 2017</w:t>
            </w:r>
          </w:p>
        </w:tc>
        <w:tc>
          <w:tcPr>
            <w:tcW w:w="1843" w:type="dxa"/>
          </w:tcPr>
          <w:p w:rsidR="000D1DA3" w:rsidRPr="000E2829" w:rsidRDefault="000D1DA3" w:rsidP="000D1DA3">
            <w:pPr>
              <w:rPr>
                <w:rFonts w:cs="Arial"/>
                <w:bCs w:val="0"/>
                <w:szCs w:val="24"/>
              </w:rPr>
            </w:pPr>
            <w:r w:rsidRPr="000E2829">
              <w:rPr>
                <w:rFonts w:cs="Arial"/>
                <w:szCs w:val="24"/>
              </w:rPr>
              <w:t>10%</w:t>
            </w:r>
          </w:p>
        </w:tc>
      </w:tr>
      <w:tr w:rsidR="000D1DA3" w:rsidRPr="000E2829" w:rsidTr="006A0823">
        <w:trPr>
          <w:trHeight w:val="99"/>
        </w:trPr>
        <w:tc>
          <w:tcPr>
            <w:tcW w:w="1538" w:type="dxa"/>
          </w:tcPr>
          <w:p w:rsidR="000D1DA3" w:rsidRPr="000E2829" w:rsidRDefault="000D1DA3" w:rsidP="000D1DA3">
            <w:pPr>
              <w:rPr>
                <w:rFonts w:cs="Arial"/>
                <w:szCs w:val="24"/>
              </w:rPr>
            </w:pPr>
            <w:r w:rsidRPr="000E2829">
              <w:rPr>
                <w:rFonts w:cs="Arial"/>
                <w:szCs w:val="24"/>
              </w:rPr>
              <w:lastRenderedPageBreak/>
              <w:t>Q2 2017/18</w:t>
            </w:r>
          </w:p>
        </w:tc>
        <w:tc>
          <w:tcPr>
            <w:tcW w:w="3496" w:type="dxa"/>
          </w:tcPr>
          <w:p w:rsidR="000D1DA3" w:rsidRPr="000E2829" w:rsidRDefault="000D1DA3" w:rsidP="000D1DA3">
            <w:pPr>
              <w:contextualSpacing/>
              <w:rPr>
                <w:rFonts w:cs="Arial"/>
                <w:szCs w:val="24"/>
              </w:rPr>
            </w:pPr>
            <w:r>
              <w:rPr>
                <w:rFonts w:cs="Arial"/>
                <w:szCs w:val="24"/>
              </w:rPr>
              <w:t>MH trust and acute trust to</w:t>
            </w:r>
            <w:r w:rsidRPr="000E2829">
              <w:rPr>
                <w:rFonts w:cs="Arial"/>
                <w:szCs w:val="24"/>
              </w:rPr>
              <w:t xml:space="preserve"> work together to identify whether the presentations of the identified cohort were coded appropriately in A&amp;E HES dataset.  </w:t>
            </w:r>
          </w:p>
          <w:p w:rsidR="000D1DA3" w:rsidRPr="000E2829" w:rsidRDefault="000D1DA3" w:rsidP="000D1DA3">
            <w:pPr>
              <w:contextualSpacing/>
              <w:rPr>
                <w:rFonts w:cs="Arial"/>
                <w:szCs w:val="24"/>
              </w:rPr>
            </w:pPr>
          </w:p>
          <w:p w:rsidR="000D1DA3" w:rsidRPr="000E2829" w:rsidRDefault="000D1DA3" w:rsidP="000D1DA3">
            <w:pPr>
              <w:contextualSpacing/>
              <w:rPr>
                <w:rFonts w:cs="Arial"/>
                <w:szCs w:val="24"/>
              </w:rPr>
            </w:pPr>
            <w:r w:rsidRPr="000E2829">
              <w:rPr>
                <w:rFonts w:cs="Arial"/>
                <w:szCs w:val="24"/>
              </w:rPr>
              <w:t>Conduct internal audit of A&amp;E mental health coding.  On the basis of findings</w:t>
            </w:r>
            <w:r>
              <w:rPr>
                <w:rFonts w:cs="Arial"/>
                <w:szCs w:val="24"/>
              </w:rPr>
              <w:t>,</w:t>
            </w:r>
            <w:r w:rsidRPr="000E2829">
              <w:rPr>
                <w:rFonts w:cs="Arial"/>
                <w:szCs w:val="24"/>
              </w:rPr>
              <w:t xml:space="preserve"> agree joint data quality improvement plan and arrangements for regular sharing of data regarding people attending A&amp;E.</w:t>
            </w:r>
          </w:p>
        </w:tc>
        <w:tc>
          <w:tcPr>
            <w:tcW w:w="1770" w:type="dxa"/>
          </w:tcPr>
          <w:p w:rsidR="000D1DA3" w:rsidRPr="000E2829" w:rsidRDefault="000D1DA3" w:rsidP="000D1DA3">
            <w:pPr>
              <w:rPr>
                <w:rFonts w:cs="Arial"/>
                <w:szCs w:val="24"/>
              </w:rPr>
            </w:pPr>
            <w:r>
              <w:rPr>
                <w:rFonts w:cs="Arial"/>
                <w:szCs w:val="24"/>
              </w:rPr>
              <w:t>Sept</w:t>
            </w:r>
            <w:r w:rsidRPr="0057108D">
              <w:rPr>
                <w:rFonts w:cs="Arial"/>
                <w:szCs w:val="24"/>
              </w:rPr>
              <w:t xml:space="preserve"> 2017</w:t>
            </w:r>
          </w:p>
        </w:tc>
        <w:tc>
          <w:tcPr>
            <w:tcW w:w="1843" w:type="dxa"/>
          </w:tcPr>
          <w:p w:rsidR="000D1DA3" w:rsidRPr="000E2829" w:rsidRDefault="000D1DA3" w:rsidP="000D1DA3">
            <w:pPr>
              <w:rPr>
                <w:rFonts w:cs="Arial"/>
                <w:bCs w:val="0"/>
                <w:szCs w:val="24"/>
              </w:rPr>
            </w:pPr>
            <w:r w:rsidRPr="000E2829">
              <w:rPr>
                <w:rFonts w:cs="Arial"/>
                <w:szCs w:val="24"/>
              </w:rPr>
              <w:t>10%</w:t>
            </w:r>
          </w:p>
        </w:tc>
      </w:tr>
      <w:tr w:rsidR="000D1DA3" w:rsidRPr="000E2829" w:rsidTr="006A0823">
        <w:trPr>
          <w:trHeight w:val="99"/>
        </w:trPr>
        <w:tc>
          <w:tcPr>
            <w:tcW w:w="1538" w:type="dxa"/>
          </w:tcPr>
          <w:p w:rsidR="000D1DA3" w:rsidRPr="000E2829" w:rsidRDefault="000D1DA3" w:rsidP="000D1DA3">
            <w:pPr>
              <w:rPr>
                <w:rFonts w:cs="Arial"/>
                <w:szCs w:val="24"/>
              </w:rPr>
            </w:pPr>
            <w:r w:rsidRPr="000E2829">
              <w:rPr>
                <w:rFonts w:cs="Arial"/>
                <w:szCs w:val="24"/>
              </w:rPr>
              <w:t>Q2 2017/18</w:t>
            </w:r>
          </w:p>
        </w:tc>
        <w:tc>
          <w:tcPr>
            <w:tcW w:w="3496" w:type="dxa"/>
          </w:tcPr>
          <w:p w:rsidR="000D1DA3" w:rsidRPr="000E2829" w:rsidRDefault="000D1DA3" w:rsidP="000D1DA3">
            <w:pPr>
              <w:contextualSpacing/>
              <w:rPr>
                <w:rFonts w:cs="Arial"/>
                <w:color w:val="FF0000"/>
                <w:szCs w:val="24"/>
              </w:rPr>
            </w:pPr>
            <w:r w:rsidRPr="000E2829">
              <w:rPr>
                <w:rFonts w:cs="Arial"/>
                <w:szCs w:val="24"/>
              </w:rPr>
              <w:t xml:space="preserve">MH </w:t>
            </w:r>
            <w:r>
              <w:rPr>
                <w:rFonts w:cs="Arial"/>
                <w:szCs w:val="24"/>
              </w:rPr>
              <w:t>t</w:t>
            </w:r>
            <w:r w:rsidRPr="000E2829">
              <w:rPr>
                <w:rFonts w:cs="Arial"/>
                <w:szCs w:val="24"/>
              </w:rPr>
              <w:t xml:space="preserve">rust, </w:t>
            </w:r>
            <w:r>
              <w:rPr>
                <w:rFonts w:cs="Arial"/>
                <w:szCs w:val="24"/>
              </w:rPr>
              <w:t>a</w:t>
            </w:r>
            <w:r w:rsidRPr="000E2829">
              <w:rPr>
                <w:rFonts w:cs="Arial"/>
                <w:szCs w:val="24"/>
              </w:rPr>
              <w:t xml:space="preserve">cute </w:t>
            </w:r>
            <w:r>
              <w:rPr>
                <w:rFonts w:cs="Arial"/>
                <w:szCs w:val="24"/>
              </w:rPr>
              <w:t>t</w:t>
            </w:r>
            <w:r w:rsidRPr="000E2829">
              <w:rPr>
                <w:rFonts w:cs="Arial"/>
                <w:szCs w:val="24"/>
              </w:rPr>
              <w:t>rust establish joint governance arrangements to review progress against CQUIN and associated service development plans.</w:t>
            </w:r>
          </w:p>
        </w:tc>
        <w:tc>
          <w:tcPr>
            <w:tcW w:w="1770" w:type="dxa"/>
          </w:tcPr>
          <w:p w:rsidR="000D1DA3" w:rsidRPr="000E2829" w:rsidRDefault="000D1DA3" w:rsidP="000D1DA3">
            <w:pPr>
              <w:rPr>
                <w:rFonts w:cs="Arial"/>
                <w:szCs w:val="24"/>
              </w:rPr>
            </w:pPr>
            <w:r w:rsidRPr="000E2829">
              <w:rPr>
                <w:rFonts w:cs="Arial"/>
                <w:szCs w:val="24"/>
              </w:rPr>
              <w:t>Sept 2017</w:t>
            </w:r>
          </w:p>
        </w:tc>
        <w:tc>
          <w:tcPr>
            <w:tcW w:w="1843" w:type="dxa"/>
          </w:tcPr>
          <w:p w:rsidR="000D1DA3" w:rsidRPr="000E2829" w:rsidRDefault="000D1DA3" w:rsidP="000D1DA3">
            <w:pPr>
              <w:rPr>
                <w:rFonts w:cs="Arial"/>
                <w:bCs w:val="0"/>
                <w:szCs w:val="24"/>
              </w:rPr>
            </w:pPr>
            <w:r w:rsidRPr="000E2829">
              <w:rPr>
                <w:rFonts w:cs="Arial"/>
                <w:szCs w:val="24"/>
              </w:rPr>
              <w:t>0%</w:t>
            </w:r>
          </w:p>
        </w:tc>
      </w:tr>
      <w:tr w:rsidR="000D1DA3" w:rsidRPr="000E2829" w:rsidTr="006A0823">
        <w:trPr>
          <w:trHeight w:val="99"/>
        </w:trPr>
        <w:tc>
          <w:tcPr>
            <w:tcW w:w="1538" w:type="dxa"/>
          </w:tcPr>
          <w:p w:rsidR="000D1DA3" w:rsidRPr="000E2829" w:rsidRDefault="000D1DA3" w:rsidP="000D1DA3">
            <w:pPr>
              <w:rPr>
                <w:rFonts w:cs="Arial"/>
                <w:szCs w:val="24"/>
              </w:rPr>
            </w:pPr>
            <w:r w:rsidRPr="000E2829">
              <w:rPr>
                <w:rFonts w:cs="Arial"/>
                <w:szCs w:val="24"/>
              </w:rPr>
              <w:t>Q2 2017/18</w:t>
            </w:r>
          </w:p>
        </w:tc>
        <w:tc>
          <w:tcPr>
            <w:tcW w:w="3496" w:type="dxa"/>
          </w:tcPr>
          <w:p w:rsidR="000D1DA3" w:rsidRPr="000E2829" w:rsidRDefault="000D1DA3" w:rsidP="000D1DA3">
            <w:pPr>
              <w:contextualSpacing/>
              <w:rPr>
                <w:rFonts w:cs="Arial"/>
                <w:szCs w:val="24"/>
              </w:rPr>
            </w:pPr>
            <w:r w:rsidRPr="000E2829">
              <w:rPr>
                <w:rFonts w:cs="Arial"/>
                <w:szCs w:val="24"/>
              </w:rPr>
              <w:t xml:space="preserve">MH </w:t>
            </w:r>
            <w:r>
              <w:rPr>
                <w:rFonts w:cs="Arial"/>
                <w:szCs w:val="24"/>
              </w:rPr>
              <w:t>t</w:t>
            </w:r>
            <w:r w:rsidRPr="000E2829">
              <w:rPr>
                <w:rFonts w:cs="Arial"/>
                <w:szCs w:val="24"/>
              </w:rPr>
              <w:t xml:space="preserve">rust, </w:t>
            </w:r>
            <w:r>
              <w:rPr>
                <w:rFonts w:cs="Arial"/>
                <w:szCs w:val="24"/>
              </w:rPr>
              <w:t>a</w:t>
            </w:r>
            <w:r w:rsidRPr="000E2829">
              <w:rPr>
                <w:rFonts w:cs="Arial"/>
                <w:szCs w:val="24"/>
              </w:rPr>
              <w:t xml:space="preserve">cute </w:t>
            </w:r>
            <w:r>
              <w:rPr>
                <w:rFonts w:cs="Arial"/>
                <w:szCs w:val="24"/>
              </w:rPr>
              <w:t>t</w:t>
            </w:r>
            <w:r w:rsidRPr="000E2829">
              <w:rPr>
                <w:rFonts w:cs="Arial"/>
                <w:szCs w:val="24"/>
              </w:rPr>
              <w:t xml:space="preserve">rust, </w:t>
            </w:r>
            <w:r>
              <w:rPr>
                <w:rFonts w:cs="Arial"/>
                <w:szCs w:val="24"/>
              </w:rPr>
              <w:t>to work with</w:t>
            </w:r>
            <w:r w:rsidRPr="000E2829">
              <w:rPr>
                <w:rFonts w:cs="Arial"/>
                <w:szCs w:val="24"/>
              </w:rPr>
              <w:t xml:space="preserve"> other key system partners</w:t>
            </w:r>
            <w:r>
              <w:rPr>
                <w:rFonts w:cs="Arial"/>
                <w:szCs w:val="24"/>
              </w:rPr>
              <w:t xml:space="preserve"> as appropriate/necessary to</w:t>
            </w:r>
            <w:r w:rsidRPr="000E2829">
              <w:rPr>
                <w:rFonts w:cs="Arial"/>
                <w:szCs w:val="24"/>
              </w:rPr>
              <w:t xml:space="preserve"> ensure that:</w:t>
            </w:r>
          </w:p>
          <w:p w:rsidR="000D1DA3" w:rsidRPr="000E2829" w:rsidRDefault="000D1DA3" w:rsidP="000D1DA3">
            <w:pPr>
              <w:numPr>
                <w:ilvl w:val="0"/>
                <w:numId w:val="43"/>
              </w:numPr>
              <w:spacing w:after="200" w:line="276" w:lineRule="auto"/>
              <w:ind w:left="764"/>
              <w:contextualSpacing/>
              <w:rPr>
                <w:rFonts w:cs="Arial"/>
                <w:szCs w:val="24"/>
              </w:rPr>
            </w:pPr>
            <w:r w:rsidRPr="000E2829">
              <w:rPr>
                <w:rFonts w:cs="Arial"/>
                <w:szCs w:val="24"/>
              </w:rPr>
              <w:t xml:space="preserve">Care plans (co-produced with the </w:t>
            </w:r>
            <w:r>
              <w:rPr>
                <w:rFonts w:cs="Arial"/>
                <w:szCs w:val="24"/>
              </w:rPr>
              <w:t>patient</w:t>
            </w:r>
            <w:r w:rsidRPr="000E2829">
              <w:rPr>
                <w:rFonts w:cs="Arial"/>
                <w:szCs w:val="24"/>
              </w:rPr>
              <w:t xml:space="preserve"> and written in the first person) are in place for each </w:t>
            </w:r>
            <w:r>
              <w:rPr>
                <w:rFonts w:cs="Arial"/>
                <w:szCs w:val="24"/>
              </w:rPr>
              <w:t>patient in</w:t>
            </w:r>
            <w:r w:rsidRPr="000E2829">
              <w:rPr>
                <w:rFonts w:cs="Arial"/>
                <w:szCs w:val="24"/>
              </w:rPr>
              <w:t xml:space="preserve"> the identified cohort of frequent attenders; </w:t>
            </w:r>
          </w:p>
          <w:p w:rsidR="000D1DA3" w:rsidRPr="000E2829" w:rsidRDefault="000D1DA3" w:rsidP="000D1DA3">
            <w:pPr>
              <w:numPr>
                <w:ilvl w:val="0"/>
                <w:numId w:val="43"/>
              </w:numPr>
              <w:spacing w:after="200" w:line="276" w:lineRule="auto"/>
              <w:ind w:left="764"/>
              <w:contextualSpacing/>
              <w:rPr>
                <w:rFonts w:cs="Arial"/>
                <w:szCs w:val="24"/>
              </w:rPr>
            </w:pPr>
            <w:r w:rsidRPr="000E2829">
              <w:rPr>
                <w:rFonts w:cs="Arial"/>
                <w:szCs w:val="24"/>
              </w:rPr>
              <w:t>A system is in place to identify new frequent attenders and ensure that care plans are put in place swiftly</w:t>
            </w:r>
            <w:r>
              <w:rPr>
                <w:rFonts w:cs="Arial"/>
                <w:szCs w:val="24"/>
              </w:rPr>
              <w:t>;</w:t>
            </w:r>
          </w:p>
          <w:p w:rsidR="000D1DA3" w:rsidRPr="000E2829" w:rsidRDefault="000D1DA3" w:rsidP="000D1DA3">
            <w:pPr>
              <w:numPr>
                <w:ilvl w:val="0"/>
                <w:numId w:val="43"/>
              </w:numPr>
              <w:spacing w:after="200" w:line="276" w:lineRule="auto"/>
              <w:ind w:left="764"/>
              <w:contextualSpacing/>
              <w:rPr>
                <w:rFonts w:cs="Arial"/>
                <w:szCs w:val="24"/>
              </w:rPr>
            </w:pPr>
            <w:r w:rsidRPr="000E2829">
              <w:rPr>
                <w:rFonts w:cs="Arial"/>
                <w:szCs w:val="24"/>
              </w:rPr>
              <w:t>Care plans are shared with other key system partners (with the p</w:t>
            </w:r>
            <w:r>
              <w:rPr>
                <w:rFonts w:cs="Arial"/>
                <w:szCs w:val="24"/>
              </w:rPr>
              <w:t>atient</w:t>
            </w:r>
            <w:r w:rsidRPr="000E2829">
              <w:rPr>
                <w:rFonts w:cs="Arial"/>
                <w:szCs w:val="24"/>
              </w:rPr>
              <w:t>’s permission)</w:t>
            </w:r>
            <w:r>
              <w:rPr>
                <w:rFonts w:cs="Arial"/>
                <w:szCs w:val="24"/>
              </w:rPr>
              <w:t>.</w:t>
            </w:r>
          </w:p>
        </w:tc>
        <w:tc>
          <w:tcPr>
            <w:tcW w:w="1770" w:type="dxa"/>
          </w:tcPr>
          <w:p w:rsidR="000D1DA3" w:rsidRPr="000E2829" w:rsidRDefault="000D1DA3" w:rsidP="000D1DA3">
            <w:pPr>
              <w:rPr>
                <w:rFonts w:cs="Arial"/>
                <w:szCs w:val="24"/>
              </w:rPr>
            </w:pPr>
            <w:r w:rsidRPr="000E2829">
              <w:rPr>
                <w:rFonts w:cs="Arial"/>
                <w:szCs w:val="24"/>
              </w:rPr>
              <w:t>Sept 2017</w:t>
            </w:r>
          </w:p>
        </w:tc>
        <w:tc>
          <w:tcPr>
            <w:tcW w:w="1843" w:type="dxa"/>
          </w:tcPr>
          <w:p w:rsidR="000D1DA3" w:rsidRPr="000E2829" w:rsidRDefault="000D1DA3" w:rsidP="000D1DA3">
            <w:pPr>
              <w:rPr>
                <w:rFonts w:cs="Arial"/>
                <w:bCs w:val="0"/>
                <w:szCs w:val="24"/>
              </w:rPr>
            </w:pPr>
            <w:r w:rsidRPr="000E2829">
              <w:rPr>
                <w:rFonts w:cs="Arial"/>
                <w:szCs w:val="24"/>
              </w:rPr>
              <w:t xml:space="preserve">10% </w:t>
            </w:r>
          </w:p>
          <w:p w:rsidR="000D1DA3" w:rsidRPr="000E2829" w:rsidRDefault="000D1DA3" w:rsidP="000D1DA3">
            <w:pPr>
              <w:rPr>
                <w:rFonts w:cs="Arial"/>
                <w:bCs w:val="0"/>
                <w:color w:val="FF0000"/>
                <w:szCs w:val="24"/>
              </w:rPr>
            </w:pPr>
          </w:p>
          <w:p w:rsidR="000D1DA3" w:rsidRPr="000E2829" w:rsidRDefault="000D1DA3" w:rsidP="000D1DA3">
            <w:pPr>
              <w:rPr>
                <w:rFonts w:cs="Arial"/>
                <w:bCs w:val="0"/>
                <w:szCs w:val="24"/>
              </w:rPr>
            </w:pPr>
          </w:p>
        </w:tc>
      </w:tr>
      <w:tr w:rsidR="000D1DA3" w:rsidRPr="000E2829" w:rsidTr="006A0823">
        <w:trPr>
          <w:trHeight w:val="99"/>
        </w:trPr>
        <w:tc>
          <w:tcPr>
            <w:tcW w:w="1538" w:type="dxa"/>
          </w:tcPr>
          <w:p w:rsidR="000D1DA3" w:rsidRPr="000E2829" w:rsidRDefault="000D1DA3" w:rsidP="000D1DA3">
            <w:pPr>
              <w:rPr>
                <w:rFonts w:cs="Arial"/>
                <w:szCs w:val="24"/>
              </w:rPr>
            </w:pPr>
            <w:r w:rsidRPr="000E2829">
              <w:rPr>
                <w:rFonts w:cs="Arial"/>
                <w:szCs w:val="24"/>
              </w:rPr>
              <w:t>Q2 2017/18</w:t>
            </w:r>
          </w:p>
        </w:tc>
        <w:tc>
          <w:tcPr>
            <w:tcW w:w="3496" w:type="dxa"/>
          </w:tcPr>
          <w:p w:rsidR="000D1DA3" w:rsidRPr="000E2829" w:rsidRDefault="000D1DA3" w:rsidP="000D1DA3">
            <w:pPr>
              <w:contextualSpacing/>
              <w:rPr>
                <w:rFonts w:cs="Arial"/>
                <w:szCs w:val="24"/>
              </w:rPr>
            </w:pPr>
            <w:r w:rsidRPr="000E2829">
              <w:rPr>
                <w:rFonts w:cs="Arial"/>
                <w:szCs w:val="24"/>
              </w:rPr>
              <w:t xml:space="preserve">MH trust, </w:t>
            </w:r>
            <w:r>
              <w:rPr>
                <w:rFonts w:cs="Arial"/>
                <w:szCs w:val="24"/>
              </w:rPr>
              <w:t>a</w:t>
            </w:r>
            <w:r w:rsidRPr="000E2829">
              <w:rPr>
                <w:rFonts w:cs="Arial"/>
                <w:szCs w:val="24"/>
              </w:rPr>
              <w:t>cute trust,</w:t>
            </w:r>
            <w:r>
              <w:rPr>
                <w:rFonts w:cs="Arial"/>
                <w:szCs w:val="24"/>
              </w:rPr>
              <w:t xml:space="preserve"> bringing in</w:t>
            </w:r>
            <w:r w:rsidRPr="000E2829">
              <w:rPr>
                <w:rFonts w:cs="Arial"/>
                <w:szCs w:val="24"/>
              </w:rPr>
              <w:t xml:space="preserve"> other local partners </w:t>
            </w:r>
            <w:r>
              <w:rPr>
                <w:rFonts w:cs="Arial"/>
                <w:szCs w:val="24"/>
              </w:rPr>
              <w:t xml:space="preserve">as </w:t>
            </w:r>
            <w:r>
              <w:rPr>
                <w:rFonts w:cs="Arial"/>
                <w:szCs w:val="24"/>
              </w:rPr>
              <w:lastRenderedPageBreak/>
              <w:t xml:space="preserve">necessary/appropriate, </w:t>
            </w:r>
            <w:r w:rsidRPr="000E2829">
              <w:rPr>
                <w:rFonts w:cs="Arial"/>
                <w:szCs w:val="24"/>
              </w:rPr>
              <w:t>agree service development plan to support sustained reduction in A&amp;E frequent attendances by people with MH needs.  This is likely to include enhancements to:</w:t>
            </w:r>
          </w:p>
          <w:p w:rsidR="000D1DA3" w:rsidRPr="000E2829" w:rsidRDefault="000D1DA3" w:rsidP="000D1DA3">
            <w:pPr>
              <w:numPr>
                <w:ilvl w:val="0"/>
                <w:numId w:val="44"/>
              </w:numPr>
              <w:spacing w:after="200" w:line="276" w:lineRule="auto"/>
              <w:ind w:left="764"/>
              <w:contextualSpacing/>
              <w:rPr>
                <w:rFonts w:cs="Arial"/>
                <w:szCs w:val="24"/>
              </w:rPr>
            </w:pPr>
            <w:r w:rsidRPr="000E2829">
              <w:rPr>
                <w:rFonts w:cs="Arial"/>
                <w:szCs w:val="24"/>
              </w:rPr>
              <w:t>Primary care mental health services including IAPT;</w:t>
            </w:r>
          </w:p>
          <w:p w:rsidR="000D1DA3" w:rsidRPr="000E2829" w:rsidRDefault="000D1DA3" w:rsidP="000D1DA3">
            <w:pPr>
              <w:numPr>
                <w:ilvl w:val="0"/>
                <w:numId w:val="44"/>
              </w:numPr>
              <w:spacing w:after="200" w:line="276" w:lineRule="auto"/>
              <w:ind w:left="764"/>
              <w:contextualSpacing/>
              <w:rPr>
                <w:rFonts w:cs="Arial"/>
                <w:szCs w:val="24"/>
              </w:rPr>
            </w:pPr>
            <w:r w:rsidRPr="000E2829">
              <w:rPr>
                <w:rFonts w:cs="Arial"/>
                <w:szCs w:val="24"/>
              </w:rPr>
              <w:t>Liaison mental health services in the acute hospital;</w:t>
            </w:r>
          </w:p>
          <w:p w:rsidR="000D1DA3" w:rsidRPr="000E2829" w:rsidRDefault="000D1DA3" w:rsidP="000D1DA3">
            <w:pPr>
              <w:numPr>
                <w:ilvl w:val="0"/>
                <w:numId w:val="44"/>
              </w:numPr>
              <w:spacing w:after="200" w:line="276" w:lineRule="auto"/>
              <w:ind w:left="764"/>
              <w:contextualSpacing/>
              <w:rPr>
                <w:rFonts w:cs="Arial"/>
                <w:szCs w:val="24"/>
              </w:rPr>
            </w:pPr>
            <w:r w:rsidRPr="000E2829">
              <w:rPr>
                <w:rFonts w:cs="Arial"/>
                <w:szCs w:val="24"/>
              </w:rPr>
              <w:t xml:space="preserve">Community </w:t>
            </w:r>
            <w:r>
              <w:rPr>
                <w:rFonts w:cs="Arial"/>
                <w:szCs w:val="24"/>
              </w:rPr>
              <w:t xml:space="preserve">mental health services </w:t>
            </w:r>
            <w:r w:rsidRPr="000E2829">
              <w:rPr>
                <w:rFonts w:cs="Arial"/>
                <w:szCs w:val="24"/>
              </w:rPr>
              <w:t xml:space="preserve">and </w:t>
            </w:r>
            <w:r>
              <w:rPr>
                <w:rFonts w:cs="Arial"/>
                <w:szCs w:val="24"/>
              </w:rPr>
              <w:t xml:space="preserve">community-based </w:t>
            </w:r>
            <w:r w:rsidRPr="000E2829">
              <w:rPr>
                <w:rFonts w:cs="Arial"/>
                <w:szCs w:val="24"/>
              </w:rPr>
              <w:t>crisis mental health services;</w:t>
            </w:r>
          </w:p>
          <w:p w:rsidR="000D1DA3" w:rsidRPr="000E2829" w:rsidRDefault="000D1DA3" w:rsidP="000D1DA3">
            <w:pPr>
              <w:contextualSpacing/>
              <w:rPr>
                <w:rFonts w:cs="Arial"/>
                <w:szCs w:val="24"/>
              </w:rPr>
            </w:pPr>
          </w:p>
          <w:p w:rsidR="000D1DA3" w:rsidRPr="000E2829" w:rsidRDefault="000D1DA3" w:rsidP="000D1DA3">
            <w:pPr>
              <w:contextualSpacing/>
              <w:rPr>
                <w:rFonts w:cs="Arial"/>
                <w:szCs w:val="24"/>
              </w:rPr>
            </w:pPr>
            <w:r w:rsidRPr="000E2829">
              <w:rPr>
                <w:rFonts w:cs="Arial"/>
                <w:szCs w:val="24"/>
              </w:rPr>
              <w:t xml:space="preserve">This work </w:t>
            </w:r>
            <w:r>
              <w:rPr>
                <w:rFonts w:cs="Arial"/>
                <w:szCs w:val="24"/>
              </w:rPr>
              <w:t>is likely to need to</w:t>
            </w:r>
            <w:r w:rsidRPr="000E2829">
              <w:rPr>
                <w:rFonts w:cs="Arial"/>
                <w:szCs w:val="24"/>
              </w:rPr>
              <w:t xml:space="preserve"> be undertaken with </w:t>
            </w:r>
            <w:r>
              <w:rPr>
                <w:rFonts w:cs="Arial"/>
                <w:szCs w:val="24"/>
              </w:rPr>
              <w:t xml:space="preserve">other partners outside of the NHS, including </w:t>
            </w:r>
            <w:r w:rsidRPr="000E2829">
              <w:rPr>
                <w:rFonts w:cs="Arial"/>
                <w:szCs w:val="24"/>
              </w:rPr>
              <w:t>social care</w:t>
            </w:r>
            <w:r>
              <w:rPr>
                <w:rFonts w:cs="Arial"/>
                <w:szCs w:val="24"/>
              </w:rPr>
              <w:t>, public health</w:t>
            </w:r>
            <w:r w:rsidRPr="000E2829">
              <w:rPr>
                <w:rFonts w:cs="Arial"/>
                <w:szCs w:val="24"/>
              </w:rPr>
              <w:t xml:space="preserve"> and voluntary sector partners.</w:t>
            </w:r>
          </w:p>
        </w:tc>
        <w:tc>
          <w:tcPr>
            <w:tcW w:w="1770" w:type="dxa"/>
          </w:tcPr>
          <w:p w:rsidR="000D1DA3" w:rsidRPr="000E2829" w:rsidRDefault="000D1DA3" w:rsidP="000D1DA3">
            <w:pPr>
              <w:rPr>
                <w:rFonts w:cs="Arial"/>
                <w:szCs w:val="24"/>
              </w:rPr>
            </w:pPr>
            <w:r w:rsidRPr="000E2829">
              <w:rPr>
                <w:rFonts w:cs="Arial"/>
                <w:szCs w:val="24"/>
              </w:rPr>
              <w:lastRenderedPageBreak/>
              <w:t>Sept 2017</w:t>
            </w:r>
          </w:p>
        </w:tc>
        <w:tc>
          <w:tcPr>
            <w:tcW w:w="1843" w:type="dxa"/>
          </w:tcPr>
          <w:p w:rsidR="000D1DA3" w:rsidRPr="000E2829" w:rsidRDefault="000D1DA3" w:rsidP="000D1DA3">
            <w:pPr>
              <w:rPr>
                <w:rFonts w:cs="Arial"/>
                <w:bCs w:val="0"/>
                <w:szCs w:val="24"/>
              </w:rPr>
            </w:pPr>
            <w:r w:rsidRPr="000E2829">
              <w:rPr>
                <w:rFonts w:cs="Arial"/>
                <w:szCs w:val="24"/>
              </w:rPr>
              <w:t>20%</w:t>
            </w:r>
          </w:p>
        </w:tc>
      </w:tr>
      <w:tr w:rsidR="000D1DA3" w:rsidRPr="000E2829" w:rsidTr="006A0823">
        <w:trPr>
          <w:trHeight w:val="99"/>
        </w:trPr>
        <w:tc>
          <w:tcPr>
            <w:tcW w:w="1538" w:type="dxa"/>
          </w:tcPr>
          <w:p w:rsidR="000D1DA3" w:rsidRPr="000E2829" w:rsidRDefault="000D1DA3" w:rsidP="000D1DA3">
            <w:pPr>
              <w:rPr>
                <w:rFonts w:cs="Arial"/>
                <w:szCs w:val="24"/>
              </w:rPr>
            </w:pPr>
            <w:r w:rsidRPr="000E2829">
              <w:rPr>
                <w:rFonts w:cs="Arial"/>
                <w:szCs w:val="24"/>
              </w:rPr>
              <w:lastRenderedPageBreak/>
              <w:t>Q3 2017/18</w:t>
            </w:r>
          </w:p>
        </w:tc>
        <w:tc>
          <w:tcPr>
            <w:tcW w:w="3496" w:type="dxa"/>
          </w:tcPr>
          <w:p w:rsidR="000D1DA3" w:rsidRPr="000E2829" w:rsidRDefault="000D1DA3" w:rsidP="000D1DA3">
            <w:pPr>
              <w:contextualSpacing/>
              <w:rPr>
                <w:rFonts w:cs="Arial"/>
                <w:szCs w:val="24"/>
              </w:rPr>
            </w:pPr>
            <w:r w:rsidRPr="000E2829">
              <w:rPr>
                <w:rFonts w:cs="Arial"/>
                <w:szCs w:val="24"/>
              </w:rPr>
              <w:t xml:space="preserve">MH </w:t>
            </w:r>
            <w:r>
              <w:rPr>
                <w:rFonts w:cs="Arial"/>
                <w:szCs w:val="24"/>
              </w:rPr>
              <w:t>t</w:t>
            </w:r>
            <w:r w:rsidRPr="000E2829">
              <w:rPr>
                <w:rFonts w:cs="Arial"/>
                <w:szCs w:val="24"/>
              </w:rPr>
              <w:t xml:space="preserve">rust, </w:t>
            </w:r>
            <w:r>
              <w:rPr>
                <w:rFonts w:cs="Arial"/>
                <w:szCs w:val="24"/>
              </w:rPr>
              <w:t>a</w:t>
            </w:r>
            <w:r w:rsidRPr="000E2829">
              <w:rPr>
                <w:rFonts w:cs="Arial"/>
                <w:szCs w:val="24"/>
              </w:rPr>
              <w:t xml:space="preserve">cute </w:t>
            </w:r>
            <w:r>
              <w:rPr>
                <w:rFonts w:cs="Arial"/>
                <w:szCs w:val="24"/>
              </w:rPr>
              <w:t>t</w:t>
            </w:r>
            <w:r w:rsidRPr="000E2829">
              <w:rPr>
                <w:rFonts w:cs="Arial"/>
                <w:szCs w:val="24"/>
              </w:rPr>
              <w:t xml:space="preserve">rust review progress against data quality improvement plan and all confirm that systems are in place to ensure that coding of MH need via A&amp;E HES data submissions is complete and accurate, to allow confidence that Q4 submissions are complete and accurate. </w:t>
            </w:r>
            <w:r>
              <w:rPr>
                <w:rFonts w:cs="Arial"/>
                <w:szCs w:val="24"/>
              </w:rPr>
              <w:t>Assurances provided to CCGs accordingly.</w:t>
            </w:r>
          </w:p>
          <w:p w:rsidR="000D1DA3" w:rsidRPr="000E2829" w:rsidRDefault="000D1DA3" w:rsidP="000D1DA3">
            <w:pPr>
              <w:contextualSpacing/>
              <w:rPr>
                <w:rFonts w:cs="Arial"/>
                <w:color w:val="FF0000"/>
                <w:szCs w:val="24"/>
              </w:rPr>
            </w:pPr>
          </w:p>
          <w:p w:rsidR="000D1DA3" w:rsidRPr="000E2829" w:rsidRDefault="000D1DA3" w:rsidP="000D1DA3">
            <w:pPr>
              <w:contextualSpacing/>
              <w:rPr>
                <w:rFonts w:cs="Arial"/>
                <w:szCs w:val="24"/>
              </w:rPr>
            </w:pPr>
            <w:r w:rsidRPr="000E2829">
              <w:rPr>
                <w:rFonts w:cs="Arial"/>
                <w:szCs w:val="24"/>
              </w:rPr>
              <w:t xml:space="preserve">Mental </w:t>
            </w:r>
            <w:r>
              <w:rPr>
                <w:rFonts w:cs="Arial"/>
                <w:szCs w:val="24"/>
              </w:rPr>
              <w:t>h</w:t>
            </w:r>
            <w:r w:rsidRPr="000E2829">
              <w:rPr>
                <w:rFonts w:cs="Arial"/>
                <w:szCs w:val="24"/>
              </w:rPr>
              <w:t xml:space="preserve">ealth provider, </w:t>
            </w:r>
            <w:r>
              <w:rPr>
                <w:rFonts w:cs="Arial"/>
                <w:szCs w:val="24"/>
              </w:rPr>
              <w:t>a</w:t>
            </w:r>
            <w:r w:rsidRPr="000E2829">
              <w:rPr>
                <w:rFonts w:cs="Arial"/>
                <w:szCs w:val="24"/>
              </w:rPr>
              <w:t xml:space="preserve">cute </w:t>
            </w:r>
            <w:r>
              <w:rPr>
                <w:rFonts w:cs="Arial"/>
                <w:szCs w:val="24"/>
              </w:rPr>
              <w:t>p</w:t>
            </w:r>
            <w:r w:rsidRPr="000E2829">
              <w:rPr>
                <w:rFonts w:cs="Arial"/>
                <w:szCs w:val="24"/>
              </w:rPr>
              <w:t>rovider to agree formally</w:t>
            </w:r>
            <w:r>
              <w:rPr>
                <w:rFonts w:cs="Arial"/>
                <w:szCs w:val="24"/>
              </w:rPr>
              <w:t xml:space="preserve"> and assure CCG</w:t>
            </w:r>
            <w:r w:rsidRPr="000E2829">
              <w:rPr>
                <w:rFonts w:cs="Arial"/>
                <w:szCs w:val="24"/>
              </w:rPr>
              <w:t xml:space="preserve"> that they are </w:t>
            </w:r>
            <w:r>
              <w:rPr>
                <w:rFonts w:cs="Arial"/>
                <w:szCs w:val="24"/>
              </w:rPr>
              <w:t>confident</w:t>
            </w:r>
            <w:r w:rsidRPr="000E2829">
              <w:rPr>
                <w:rFonts w:cs="Arial"/>
                <w:szCs w:val="24"/>
              </w:rPr>
              <w:t xml:space="preserve"> that a robust and sustainable system for coding primary and secondary mental </w:t>
            </w:r>
            <w:r w:rsidRPr="000E2829">
              <w:rPr>
                <w:rFonts w:cs="Arial"/>
                <w:szCs w:val="24"/>
              </w:rPr>
              <w:lastRenderedPageBreak/>
              <w:t xml:space="preserve">health needs is in place. </w:t>
            </w:r>
          </w:p>
        </w:tc>
        <w:tc>
          <w:tcPr>
            <w:tcW w:w="1770" w:type="dxa"/>
          </w:tcPr>
          <w:p w:rsidR="000D1DA3" w:rsidRPr="000E2829" w:rsidRDefault="000D1DA3" w:rsidP="000D1DA3">
            <w:pPr>
              <w:rPr>
                <w:rFonts w:cs="Arial"/>
                <w:szCs w:val="24"/>
              </w:rPr>
            </w:pPr>
            <w:r w:rsidRPr="000E2829">
              <w:rPr>
                <w:rFonts w:cs="Arial"/>
                <w:szCs w:val="24"/>
              </w:rPr>
              <w:lastRenderedPageBreak/>
              <w:t>Dec 2017</w:t>
            </w:r>
          </w:p>
        </w:tc>
        <w:tc>
          <w:tcPr>
            <w:tcW w:w="1843" w:type="dxa"/>
          </w:tcPr>
          <w:p w:rsidR="000D1DA3" w:rsidRPr="000E2829" w:rsidRDefault="000D1DA3" w:rsidP="000D1DA3">
            <w:pPr>
              <w:rPr>
                <w:rFonts w:cs="Arial"/>
                <w:bCs w:val="0"/>
                <w:color w:val="FF0000"/>
                <w:szCs w:val="24"/>
              </w:rPr>
            </w:pPr>
            <w:r w:rsidRPr="000E2829">
              <w:rPr>
                <w:rFonts w:cs="Arial"/>
                <w:szCs w:val="24"/>
              </w:rPr>
              <w:t xml:space="preserve">10% </w:t>
            </w:r>
          </w:p>
        </w:tc>
      </w:tr>
      <w:tr w:rsidR="000D1DA3" w:rsidRPr="000E2829" w:rsidTr="006A0823">
        <w:trPr>
          <w:trHeight w:val="99"/>
        </w:trPr>
        <w:tc>
          <w:tcPr>
            <w:tcW w:w="1538" w:type="dxa"/>
          </w:tcPr>
          <w:p w:rsidR="000D1DA3" w:rsidRPr="000E2829" w:rsidRDefault="000D1DA3" w:rsidP="000D1DA3">
            <w:pPr>
              <w:rPr>
                <w:rFonts w:cs="Arial"/>
                <w:szCs w:val="24"/>
              </w:rPr>
            </w:pPr>
            <w:r w:rsidRPr="000E2829">
              <w:rPr>
                <w:rFonts w:cs="Arial"/>
                <w:szCs w:val="24"/>
              </w:rPr>
              <w:lastRenderedPageBreak/>
              <w:t>Q4/2017/18</w:t>
            </w:r>
          </w:p>
        </w:tc>
        <w:tc>
          <w:tcPr>
            <w:tcW w:w="3496" w:type="dxa"/>
          </w:tcPr>
          <w:p w:rsidR="000D1DA3" w:rsidRPr="000E2829" w:rsidRDefault="000D1DA3" w:rsidP="000D1DA3">
            <w:pPr>
              <w:contextualSpacing/>
              <w:rPr>
                <w:rFonts w:cs="Arial"/>
                <w:szCs w:val="24"/>
              </w:rPr>
            </w:pPr>
            <w:r w:rsidRPr="000E2829">
              <w:rPr>
                <w:rFonts w:cs="Arial"/>
                <w:szCs w:val="24"/>
              </w:rPr>
              <w:t xml:space="preserve">20% reduction in A&amp;E attendances of those within the selected cohort of frequent attenders in 2016/17 </w:t>
            </w:r>
            <w:proofErr w:type="gramStart"/>
            <w:r w:rsidRPr="000E2829">
              <w:rPr>
                <w:rFonts w:eastAsia="Calibri" w:cs="Arial"/>
                <w:szCs w:val="24"/>
              </w:rPr>
              <w:t>who</w:t>
            </w:r>
            <w:proofErr w:type="gramEnd"/>
            <w:r w:rsidRPr="000E2829">
              <w:rPr>
                <w:rFonts w:eastAsia="Calibri" w:cs="Arial"/>
                <w:szCs w:val="24"/>
              </w:rPr>
              <w:t xml:space="preserve"> would benefit from mental health and psychosocial interventions</w:t>
            </w:r>
            <w:r>
              <w:rPr>
                <w:rFonts w:eastAsia="Calibri" w:cs="Arial"/>
                <w:szCs w:val="24"/>
              </w:rPr>
              <w:t>.</w:t>
            </w:r>
          </w:p>
        </w:tc>
        <w:tc>
          <w:tcPr>
            <w:tcW w:w="1770" w:type="dxa"/>
          </w:tcPr>
          <w:p w:rsidR="000D1DA3" w:rsidRPr="000E2829" w:rsidRDefault="000D1DA3" w:rsidP="000D1DA3">
            <w:pPr>
              <w:rPr>
                <w:rFonts w:cs="Arial"/>
                <w:szCs w:val="24"/>
              </w:rPr>
            </w:pPr>
            <w:r w:rsidRPr="000E2829">
              <w:rPr>
                <w:rFonts w:cs="Arial"/>
                <w:szCs w:val="24"/>
              </w:rPr>
              <w:t>March 2018</w:t>
            </w:r>
          </w:p>
        </w:tc>
        <w:tc>
          <w:tcPr>
            <w:tcW w:w="1843" w:type="dxa"/>
          </w:tcPr>
          <w:p w:rsidR="000D1DA3" w:rsidRPr="000E2829" w:rsidRDefault="000D1DA3" w:rsidP="000D1DA3">
            <w:pPr>
              <w:rPr>
                <w:rFonts w:cs="Arial"/>
                <w:bCs w:val="0"/>
                <w:szCs w:val="24"/>
              </w:rPr>
            </w:pPr>
            <w:r w:rsidRPr="000E2829">
              <w:rPr>
                <w:rFonts w:cs="Arial"/>
                <w:szCs w:val="24"/>
              </w:rPr>
              <w:t>40%</w:t>
            </w:r>
          </w:p>
        </w:tc>
      </w:tr>
      <w:tr w:rsidR="000D1DA3" w:rsidRPr="000E2829" w:rsidTr="006A0823">
        <w:trPr>
          <w:trHeight w:val="99"/>
        </w:trPr>
        <w:tc>
          <w:tcPr>
            <w:tcW w:w="1538" w:type="dxa"/>
          </w:tcPr>
          <w:p w:rsidR="000D1DA3" w:rsidRPr="000E2829" w:rsidRDefault="000D1DA3" w:rsidP="000D1DA3">
            <w:pPr>
              <w:rPr>
                <w:rFonts w:cs="Arial"/>
                <w:szCs w:val="24"/>
              </w:rPr>
            </w:pPr>
            <w:r w:rsidRPr="000E2829">
              <w:rPr>
                <w:rFonts w:cs="Arial"/>
                <w:szCs w:val="24"/>
              </w:rPr>
              <w:t>Q1 2018/19</w:t>
            </w:r>
          </w:p>
        </w:tc>
        <w:tc>
          <w:tcPr>
            <w:tcW w:w="3496" w:type="dxa"/>
          </w:tcPr>
          <w:p w:rsidR="000D1DA3" w:rsidRPr="000E2829" w:rsidRDefault="000D1DA3" w:rsidP="000D1DA3">
            <w:pPr>
              <w:contextualSpacing/>
              <w:rPr>
                <w:rFonts w:cs="Arial"/>
                <w:szCs w:val="24"/>
              </w:rPr>
            </w:pPr>
            <w:r w:rsidRPr="000E2829">
              <w:rPr>
                <w:rFonts w:cs="Arial"/>
                <w:szCs w:val="24"/>
              </w:rPr>
              <w:t>Baseline set for total number of A&amp;E attendances in Q4 2017/18 with primary mental health diagnosis</w:t>
            </w:r>
            <w:r>
              <w:rPr>
                <w:rFonts w:cs="Arial"/>
                <w:szCs w:val="24"/>
              </w:rPr>
              <w:t>.</w:t>
            </w:r>
          </w:p>
          <w:p w:rsidR="000D1DA3" w:rsidRPr="000E2829" w:rsidRDefault="000D1DA3" w:rsidP="000D1DA3">
            <w:pPr>
              <w:contextualSpacing/>
              <w:rPr>
                <w:rFonts w:cs="Arial"/>
                <w:szCs w:val="24"/>
              </w:rPr>
            </w:pPr>
          </w:p>
          <w:p w:rsidR="000D1DA3" w:rsidRPr="000E2829" w:rsidRDefault="000D1DA3" w:rsidP="000D1DA3">
            <w:pPr>
              <w:contextualSpacing/>
              <w:rPr>
                <w:rFonts w:cs="Arial"/>
                <w:szCs w:val="24"/>
              </w:rPr>
            </w:pPr>
            <w:r w:rsidRPr="000E2829">
              <w:t xml:space="preserve">Providers will need to submit aggregate data via UNIFY to demonstrate performance against the CQUIN. It is likely that </w:t>
            </w:r>
            <w:r w:rsidRPr="000E2829">
              <w:rPr>
                <w:rFonts w:cs="Arial"/>
                <w:szCs w:val="24"/>
              </w:rPr>
              <w:t xml:space="preserve">the single end of year national UNIFY2 data submission to NHS England will include: </w:t>
            </w:r>
          </w:p>
          <w:p w:rsidR="000D1DA3" w:rsidRPr="000E2829" w:rsidRDefault="000D1DA3" w:rsidP="000D1DA3">
            <w:pPr>
              <w:numPr>
                <w:ilvl w:val="0"/>
                <w:numId w:val="45"/>
              </w:numPr>
              <w:contextualSpacing/>
              <w:rPr>
                <w:rFonts w:cs="Arial"/>
                <w:bCs w:val="0"/>
                <w:szCs w:val="24"/>
              </w:rPr>
            </w:pPr>
            <w:r w:rsidRPr="000E2829">
              <w:rPr>
                <w:rFonts w:cs="Arial"/>
                <w:szCs w:val="24"/>
              </w:rPr>
              <w:t xml:space="preserve">Total number of A&amp;E attendances of the selected cohort </w:t>
            </w:r>
            <w:r>
              <w:rPr>
                <w:rFonts w:cs="Arial"/>
                <w:szCs w:val="24"/>
              </w:rPr>
              <w:t xml:space="preserve">of </w:t>
            </w:r>
            <w:r w:rsidRPr="000E2829">
              <w:rPr>
                <w:rFonts w:cs="Arial"/>
                <w:szCs w:val="24"/>
              </w:rPr>
              <w:t xml:space="preserve">most frequent attenders in 2016/17 </w:t>
            </w:r>
            <w:r w:rsidRPr="000E2829">
              <w:rPr>
                <w:rFonts w:eastAsia="Calibri" w:cs="Arial"/>
                <w:szCs w:val="24"/>
              </w:rPr>
              <w:t xml:space="preserve">who were identified as potentially benefitting from mental health and psychosocial interventions, </w:t>
            </w:r>
            <w:r>
              <w:rPr>
                <w:rFonts w:eastAsia="Calibri" w:cs="Arial"/>
                <w:szCs w:val="24"/>
              </w:rPr>
              <w:t>and total number of these patients;</w:t>
            </w:r>
          </w:p>
          <w:p w:rsidR="000D1DA3" w:rsidRPr="000E2829" w:rsidRDefault="000D1DA3" w:rsidP="000D1DA3">
            <w:pPr>
              <w:numPr>
                <w:ilvl w:val="0"/>
                <w:numId w:val="45"/>
              </w:numPr>
              <w:contextualSpacing/>
              <w:rPr>
                <w:rFonts w:cs="Arial"/>
                <w:bCs w:val="0"/>
                <w:szCs w:val="24"/>
              </w:rPr>
            </w:pPr>
            <w:r w:rsidRPr="000E2829">
              <w:rPr>
                <w:rFonts w:cs="Arial"/>
                <w:szCs w:val="24"/>
              </w:rPr>
              <w:t xml:space="preserve">Total number of A&amp;E attendances of those within the selected cohort of most frequent attenders in 2017/18 </w:t>
            </w:r>
            <w:r w:rsidRPr="000E2829">
              <w:rPr>
                <w:rFonts w:eastAsia="Calibri" w:cs="Arial"/>
                <w:szCs w:val="24"/>
              </w:rPr>
              <w:t xml:space="preserve">who would benefit from mental health and psychosocial interventions, </w:t>
            </w:r>
            <w:r>
              <w:rPr>
                <w:rFonts w:eastAsia="Calibri" w:cs="Arial"/>
                <w:szCs w:val="24"/>
              </w:rPr>
              <w:t xml:space="preserve">and total number of these patients; </w:t>
            </w:r>
          </w:p>
          <w:p w:rsidR="000D1DA3" w:rsidRPr="000E2829" w:rsidRDefault="000D1DA3" w:rsidP="000D1DA3">
            <w:pPr>
              <w:numPr>
                <w:ilvl w:val="0"/>
                <w:numId w:val="45"/>
              </w:numPr>
              <w:contextualSpacing/>
              <w:rPr>
                <w:rFonts w:cs="Arial"/>
                <w:bCs w:val="0"/>
                <w:szCs w:val="24"/>
              </w:rPr>
            </w:pPr>
            <w:r w:rsidRPr="000E2829">
              <w:rPr>
                <w:rFonts w:cs="Arial"/>
                <w:szCs w:val="24"/>
              </w:rPr>
              <w:t xml:space="preserve">Total number of A&amp;E </w:t>
            </w:r>
            <w:r w:rsidRPr="000E2829">
              <w:rPr>
                <w:rFonts w:cs="Arial"/>
                <w:szCs w:val="24"/>
              </w:rPr>
              <w:lastRenderedPageBreak/>
              <w:t>attendances in Q4 2017/18  of people with a primary mental health diagnosis</w:t>
            </w:r>
            <w:r>
              <w:rPr>
                <w:rFonts w:cs="Arial"/>
                <w:szCs w:val="24"/>
              </w:rPr>
              <w:t>, and total number of these patients;</w:t>
            </w:r>
          </w:p>
          <w:p w:rsidR="000D1DA3" w:rsidRPr="000E2829" w:rsidRDefault="000D1DA3" w:rsidP="000D1DA3">
            <w:pPr>
              <w:numPr>
                <w:ilvl w:val="0"/>
                <w:numId w:val="45"/>
              </w:numPr>
              <w:contextualSpacing/>
              <w:rPr>
                <w:rFonts w:cs="Arial"/>
                <w:bCs w:val="0"/>
                <w:szCs w:val="24"/>
              </w:rPr>
            </w:pPr>
            <w:r w:rsidRPr="000E2829">
              <w:rPr>
                <w:rFonts w:cs="Arial"/>
                <w:szCs w:val="24"/>
              </w:rPr>
              <w:t>Evaluation report of progress against all year 2017/18 milestones (as set out above), signed off by local A&amp;E Delivery Board</w:t>
            </w:r>
            <w:r>
              <w:rPr>
                <w:rFonts w:cs="Arial"/>
                <w:szCs w:val="24"/>
              </w:rPr>
              <w:t>.</w:t>
            </w:r>
          </w:p>
        </w:tc>
        <w:tc>
          <w:tcPr>
            <w:tcW w:w="1770" w:type="dxa"/>
          </w:tcPr>
          <w:p w:rsidR="000D1DA3" w:rsidRPr="000E2829" w:rsidRDefault="000D1DA3" w:rsidP="000D1DA3">
            <w:pPr>
              <w:rPr>
                <w:rFonts w:cs="Arial"/>
                <w:szCs w:val="24"/>
              </w:rPr>
            </w:pPr>
            <w:r w:rsidRPr="000E2829">
              <w:rPr>
                <w:rFonts w:cs="Arial"/>
                <w:szCs w:val="24"/>
              </w:rPr>
              <w:lastRenderedPageBreak/>
              <w:t>May 2018</w:t>
            </w:r>
          </w:p>
        </w:tc>
        <w:tc>
          <w:tcPr>
            <w:tcW w:w="1843" w:type="dxa"/>
          </w:tcPr>
          <w:p w:rsidR="000D1DA3" w:rsidRPr="000E2829" w:rsidRDefault="000D1DA3" w:rsidP="000D1DA3">
            <w:pPr>
              <w:rPr>
                <w:rFonts w:cs="Arial"/>
                <w:bCs w:val="0"/>
                <w:szCs w:val="24"/>
              </w:rPr>
            </w:pPr>
            <w:r w:rsidRPr="000E2829">
              <w:rPr>
                <w:rFonts w:cs="Arial"/>
                <w:szCs w:val="24"/>
              </w:rPr>
              <w:t>0%</w:t>
            </w:r>
          </w:p>
        </w:tc>
      </w:tr>
      <w:tr w:rsidR="000D1DA3" w:rsidRPr="000E2829" w:rsidTr="006A0823">
        <w:trPr>
          <w:trHeight w:val="99"/>
        </w:trPr>
        <w:tc>
          <w:tcPr>
            <w:tcW w:w="1538" w:type="dxa"/>
          </w:tcPr>
          <w:p w:rsidR="000D1DA3" w:rsidRPr="000E2829" w:rsidRDefault="000D1DA3" w:rsidP="000D1DA3">
            <w:pPr>
              <w:rPr>
                <w:rFonts w:cs="Arial"/>
                <w:szCs w:val="24"/>
              </w:rPr>
            </w:pPr>
            <w:r w:rsidRPr="000E2829">
              <w:rPr>
                <w:rFonts w:cs="Arial"/>
                <w:szCs w:val="24"/>
              </w:rPr>
              <w:lastRenderedPageBreak/>
              <w:t>Q3 2018/19</w:t>
            </w:r>
          </w:p>
        </w:tc>
        <w:tc>
          <w:tcPr>
            <w:tcW w:w="3496" w:type="dxa"/>
          </w:tcPr>
          <w:p w:rsidR="000D1DA3" w:rsidRPr="000E2829" w:rsidRDefault="000D1DA3" w:rsidP="000D1DA3">
            <w:pPr>
              <w:contextualSpacing/>
              <w:rPr>
                <w:rFonts w:cs="Arial"/>
                <w:szCs w:val="24"/>
              </w:rPr>
            </w:pPr>
            <w:r w:rsidRPr="000E2829">
              <w:rPr>
                <w:rFonts w:cs="Arial"/>
                <w:szCs w:val="24"/>
              </w:rPr>
              <w:t xml:space="preserve">Repeat internal audit of A&amp;E mental health coding to ensure improvement from year 1 is sustained.  </w:t>
            </w:r>
          </w:p>
          <w:p w:rsidR="000D1DA3" w:rsidRPr="000E2829" w:rsidRDefault="000D1DA3" w:rsidP="000D1DA3">
            <w:pPr>
              <w:contextualSpacing/>
              <w:rPr>
                <w:rFonts w:cs="Arial"/>
                <w:szCs w:val="24"/>
              </w:rPr>
            </w:pPr>
          </w:p>
          <w:p w:rsidR="000D1DA3" w:rsidRPr="000E2829" w:rsidRDefault="000D1DA3" w:rsidP="000D1DA3">
            <w:pPr>
              <w:contextualSpacing/>
              <w:rPr>
                <w:rFonts w:cs="Arial"/>
                <w:szCs w:val="24"/>
              </w:rPr>
            </w:pPr>
            <w:r w:rsidRPr="000E2829">
              <w:rPr>
                <w:rFonts w:cs="Arial"/>
                <w:szCs w:val="24"/>
              </w:rPr>
              <w:t xml:space="preserve">Mental </w:t>
            </w:r>
            <w:r>
              <w:rPr>
                <w:rFonts w:cs="Arial"/>
                <w:szCs w:val="24"/>
              </w:rPr>
              <w:t>h</w:t>
            </w:r>
            <w:r w:rsidRPr="000E2829">
              <w:rPr>
                <w:rFonts w:cs="Arial"/>
                <w:szCs w:val="24"/>
              </w:rPr>
              <w:t xml:space="preserve">ealth provider, </w:t>
            </w:r>
            <w:r>
              <w:rPr>
                <w:rFonts w:cs="Arial"/>
                <w:szCs w:val="24"/>
              </w:rPr>
              <w:t>a</w:t>
            </w:r>
            <w:r w:rsidRPr="000E2829">
              <w:rPr>
                <w:rFonts w:cs="Arial"/>
                <w:szCs w:val="24"/>
              </w:rPr>
              <w:t xml:space="preserve">cute </w:t>
            </w:r>
            <w:r>
              <w:rPr>
                <w:rFonts w:cs="Arial"/>
                <w:szCs w:val="24"/>
              </w:rPr>
              <w:t>provider</w:t>
            </w:r>
            <w:r w:rsidRPr="000E2829">
              <w:rPr>
                <w:rFonts w:cs="Arial"/>
                <w:szCs w:val="24"/>
              </w:rPr>
              <w:t xml:space="preserve"> to agree formally </w:t>
            </w:r>
            <w:r>
              <w:rPr>
                <w:rFonts w:cs="Arial"/>
                <w:szCs w:val="24"/>
              </w:rPr>
              <w:t xml:space="preserve">and assure CCG </w:t>
            </w:r>
            <w:r w:rsidRPr="000E2829">
              <w:rPr>
                <w:rFonts w:cs="Arial"/>
                <w:szCs w:val="24"/>
              </w:rPr>
              <w:t xml:space="preserve">that they are </w:t>
            </w:r>
            <w:r>
              <w:rPr>
                <w:rFonts w:cs="Arial"/>
                <w:szCs w:val="24"/>
              </w:rPr>
              <w:t>confident</w:t>
            </w:r>
            <w:r w:rsidRPr="000E2829">
              <w:rPr>
                <w:rFonts w:cs="Arial"/>
                <w:szCs w:val="24"/>
              </w:rPr>
              <w:t xml:space="preserve"> that a robust and sustainable system for coding primary and secondary mental health needs is in place.</w:t>
            </w:r>
          </w:p>
        </w:tc>
        <w:tc>
          <w:tcPr>
            <w:tcW w:w="1770" w:type="dxa"/>
          </w:tcPr>
          <w:p w:rsidR="000D1DA3" w:rsidRPr="000E2829" w:rsidRDefault="000D1DA3" w:rsidP="000D1DA3">
            <w:pPr>
              <w:rPr>
                <w:rFonts w:cs="Arial"/>
                <w:szCs w:val="24"/>
              </w:rPr>
            </w:pPr>
            <w:r w:rsidRPr="000E2829">
              <w:rPr>
                <w:rFonts w:cs="Arial"/>
                <w:szCs w:val="24"/>
              </w:rPr>
              <w:t>Dec 2019</w:t>
            </w:r>
          </w:p>
        </w:tc>
        <w:tc>
          <w:tcPr>
            <w:tcW w:w="1843" w:type="dxa"/>
          </w:tcPr>
          <w:p w:rsidR="000D1DA3" w:rsidRPr="000E2829" w:rsidRDefault="000D1DA3" w:rsidP="000D1DA3">
            <w:pPr>
              <w:rPr>
                <w:rFonts w:cs="Arial"/>
                <w:bCs w:val="0"/>
                <w:szCs w:val="24"/>
              </w:rPr>
            </w:pPr>
            <w:r w:rsidRPr="000E2829">
              <w:rPr>
                <w:rFonts w:cs="Arial"/>
                <w:szCs w:val="24"/>
              </w:rPr>
              <w:t>10%</w:t>
            </w:r>
          </w:p>
        </w:tc>
      </w:tr>
      <w:tr w:rsidR="000D1DA3" w:rsidRPr="000E2829" w:rsidTr="006A0823">
        <w:trPr>
          <w:trHeight w:val="99"/>
        </w:trPr>
        <w:tc>
          <w:tcPr>
            <w:tcW w:w="1538" w:type="dxa"/>
          </w:tcPr>
          <w:p w:rsidR="000D1DA3" w:rsidRPr="000E2829" w:rsidRDefault="000D1DA3" w:rsidP="000D1DA3">
            <w:pPr>
              <w:rPr>
                <w:rFonts w:cs="Arial"/>
                <w:szCs w:val="24"/>
              </w:rPr>
            </w:pPr>
            <w:r w:rsidRPr="000E2829">
              <w:rPr>
                <w:rFonts w:cs="Arial"/>
                <w:szCs w:val="24"/>
              </w:rPr>
              <w:t>Q4 2018/19</w:t>
            </w:r>
            <w:r w:rsidRPr="000E2829">
              <w:rPr>
                <w:rFonts w:cs="Arial"/>
                <w:szCs w:val="24"/>
              </w:rPr>
              <w:tab/>
            </w:r>
          </w:p>
        </w:tc>
        <w:tc>
          <w:tcPr>
            <w:tcW w:w="3496" w:type="dxa"/>
          </w:tcPr>
          <w:p w:rsidR="000D1DA3" w:rsidRPr="000E2829" w:rsidRDefault="000D1DA3" w:rsidP="000D1DA3">
            <w:pPr>
              <w:contextualSpacing/>
              <w:rPr>
                <w:rFonts w:cs="Arial"/>
                <w:szCs w:val="24"/>
              </w:rPr>
            </w:pPr>
            <w:r w:rsidRPr="000E2829">
              <w:rPr>
                <w:rFonts w:cs="Arial"/>
                <w:szCs w:val="24"/>
              </w:rPr>
              <w:t>Agree plan to mainstream CQUIN work programme to become business as usual going forward</w:t>
            </w:r>
            <w:r>
              <w:rPr>
                <w:rFonts w:cs="Arial"/>
                <w:szCs w:val="24"/>
              </w:rPr>
              <w:t>.</w:t>
            </w:r>
          </w:p>
        </w:tc>
        <w:tc>
          <w:tcPr>
            <w:tcW w:w="1770" w:type="dxa"/>
          </w:tcPr>
          <w:p w:rsidR="000D1DA3" w:rsidRPr="000E2829" w:rsidRDefault="000D1DA3" w:rsidP="000D1DA3">
            <w:pPr>
              <w:rPr>
                <w:rFonts w:cs="Arial"/>
                <w:szCs w:val="24"/>
              </w:rPr>
            </w:pPr>
            <w:r w:rsidRPr="000E2829">
              <w:rPr>
                <w:rFonts w:cs="Arial"/>
                <w:szCs w:val="24"/>
              </w:rPr>
              <w:t>Jan 2019</w:t>
            </w:r>
            <w:r w:rsidRPr="000E2829">
              <w:rPr>
                <w:rFonts w:cs="Arial"/>
                <w:szCs w:val="24"/>
              </w:rPr>
              <w:tab/>
            </w:r>
          </w:p>
        </w:tc>
        <w:tc>
          <w:tcPr>
            <w:tcW w:w="1843" w:type="dxa"/>
          </w:tcPr>
          <w:p w:rsidR="000D1DA3" w:rsidRPr="000E2829" w:rsidRDefault="000D1DA3" w:rsidP="000D1DA3">
            <w:pPr>
              <w:rPr>
                <w:rFonts w:cs="Arial"/>
                <w:bCs w:val="0"/>
                <w:color w:val="FF0000"/>
                <w:szCs w:val="24"/>
              </w:rPr>
            </w:pPr>
            <w:r w:rsidRPr="000E2829">
              <w:rPr>
                <w:rFonts w:cs="Arial"/>
                <w:szCs w:val="24"/>
              </w:rPr>
              <w:t>0%</w:t>
            </w:r>
          </w:p>
        </w:tc>
      </w:tr>
      <w:tr w:rsidR="000D1DA3" w:rsidRPr="000E2829" w:rsidTr="006A0823">
        <w:trPr>
          <w:trHeight w:val="99"/>
        </w:trPr>
        <w:tc>
          <w:tcPr>
            <w:tcW w:w="1538" w:type="dxa"/>
          </w:tcPr>
          <w:p w:rsidR="000D1DA3" w:rsidRPr="000E2829" w:rsidRDefault="000D1DA3" w:rsidP="000D1DA3">
            <w:pPr>
              <w:rPr>
                <w:rFonts w:cs="Arial"/>
                <w:szCs w:val="24"/>
              </w:rPr>
            </w:pPr>
            <w:r w:rsidRPr="000E2829">
              <w:rPr>
                <w:rFonts w:cs="Arial"/>
                <w:szCs w:val="24"/>
              </w:rPr>
              <w:t>Q4 2018/19</w:t>
            </w:r>
          </w:p>
        </w:tc>
        <w:tc>
          <w:tcPr>
            <w:tcW w:w="3496" w:type="dxa"/>
          </w:tcPr>
          <w:p w:rsidR="000D1DA3" w:rsidRPr="000E2829" w:rsidRDefault="000D1DA3" w:rsidP="000D1DA3">
            <w:pPr>
              <w:contextualSpacing/>
              <w:rPr>
                <w:rFonts w:cs="Arial"/>
                <w:szCs w:val="24"/>
              </w:rPr>
            </w:pPr>
            <w:r w:rsidRPr="000E2829">
              <w:rPr>
                <w:rFonts w:cs="Arial"/>
                <w:szCs w:val="24"/>
              </w:rPr>
              <w:t>0% increase in number of A&amp;E attendances of the selected cohort of frequent attenders</w:t>
            </w:r>
            <w:r>
              <w:rPr>
                <w:rFonts w:cs="Arial"/>
                <w:szCs w:val="24"/>
              </w:rPr>
              <w:t>.</w:t>
            </w:r>
            <w:r w:rsidRPr="000E2829">
              <w:rPr>
                <w:rFonts w:cs="Arial"/>
                <w:szCs w:val="24"/>
              </w:rPr>
              <w:t xml:space="preserve"> </w:t>
            </w:r>
          </w:p>
        </w:tc>
        <w:tc>
          <w:tcPr>
            <w:tcW w:w="1770" w:type="dxa"/>
          </w:tcPr>
          <w:p w:rsidR="000D1DA3" w:rsidRPr="000E2829" w:rsidRDefault="000D1DA3" w:rsidP="000D1DA3">
            <w:pPr>
              <w:rPr>
                <w:rFonts w:cs="Arial"/>
                <w:szCs w:val="24"/>
              </w:rPr>
            </w:pPr>
            <w:r w:rsidRPr="000E2829">
              <w:rPr>
                <w:rFonts w:cs="Arial"/>
                <w:szCs w:val="24"/>
              </w:rPr>
              <w:t>March 2019</w:t>
            </w:r>
          </w:p>
        </w:tc>
        <w:tc>
          <w:tcPr>
            <w:tcW w:w="1843" w:type="dxa"/>
          </w:tcPr>
          <w:p w:rsidR="000D1DA3" w:rsidRPr="000E2829" w:rsidRDefault="000D1DA3" w:rsidP="000D1DA3">
            <w:pPr>
              <w:rPr>
                <w:rFonts w:cs="Arial"/>
                <w:bCs w:val="0"/>
                <w:color w:val="FF0000"/>
                <w:szCs w:val="24"/>
              </w:rPr>
            </w:pPr>
            <w:r w:rsidRPr="000E2829">
              <w:rPr>
                <w:rFonts w:cs="Arial"/>
                <w:szCs w:val="24"/>
              </w:rPr>
              <w:t>1</w:t>
            </w:r>
            <w:r>
              <w:rPr>
                <w:rFonts w:cs="Arial"/>
                <w:szCs w:val="24"/>
              </w:rPr>
              <w:t>0</w:t>
            </w:r>
            <w:r w:rsidRPr="000E2829">
              <w:rPr>
                <w:rFonts w:cs="Arial"/>
                <w:szCs w:val="24"/>
              </w:rPr>
              <w:t>%</w:t>
            </w:r>
          </w:p>
        </w:tc>
      </w:tr>
      <w:tr w:rsidR="000D1DA3" w:rsidRPr="000E2829" w:rsidTr="006A0823">
        <w:trPr>
          <w:trHeight w:val="99"/>
        </w:trPr>
        <w:tc>
          <w:tcPr>
            <w:tcW w:w="1538" w:type="dxa"/>
          </w:tcPr>
          <w:p w:rsidR="000D1DA3" w:rsidRPr="000E2829" w:rsidRDefault="000D1DA3" w:rsidP="000D1DA3">
            <w:pPr>
              <w:rPr>
                <w:rFonts w:cs="Arial"/>
                <w:szCs w:val="24"/>
              </w:rPr>
            </w:pPr>
            <w:r w:rsidRPr="000E2829">
              <w:rPr>
                <w:rFonts w:cs="Arial"/>
                <w:szCs w:val="24"/>
              </w:rPr>
              <w:t>Q4 2018/19</w:t>
            </w:r>
          </w:p>
        </w:tc>
        <w:tc>
          <w:tcPr>
            <w:tcW w:w="3496" w:type="dxa"/>
          </w:tcPr>
          <w:p w:rsidR="000D1DA3" w:rsidRPr="000E2829" w:rsidRDefault="000D1DA3" w:rsidP="000D1DA3">
            <w:pPr>
              <w:contextualSpacing/>
              <w:rPr>
                <w:rFonts w:cs="Arial"/>
                <w:szCs w:val="24"/>
              </w:rPr>
            </w:pPr>
            <w:r w:rsidRPr="000E2829">
              <w:rPr>
                <w:rFonts w:cs="Arial"/>
                <w:szCs w:val="24"/>
              </w:rPr>
              <w:t>1</w:t>
            </w:r>
            <w:r>
              <w:rPr>
                <w:rFonts w:cs="Arial"/>
                <w:szCs w:val="24"/>
              </w:rPr>
              <w:t>0</w:t>
            </w:r>
            <w:r w:rsidRPr="000E2829">
              <w:rPr>
                <w:rFonts w:cs="Arial"/>
                <w:szCs w:val="24"/>
              </w:rPr>
              <w:t>% reduction in A&amp;E attendances with a primary mental health diagnosis in Q4 of 2018/19 as compared to baseline set in Q4 2017/18</w:t>
            </w:r>
            <w:r>
              <w:rPr>
                <w:rFonts w:cs="Arial"/>
                <w:szCs w:val="24"/>
              </w:rPr>
              <w:t>.</w:t>
            </w:r>
          </w:p>
        </w:tc>
        <w:tc>
          <w:tcPr>
            <w:tcW w:w="1770" w:type="dxa"/>
          </w:tcPr>
          <w:p w:rsidR="000D1DA3" w:rsidRPr="000E2829" w:rsidRDefault="000D1DA3" w:rsidP="000D1DA3">
            <w:pPr>
              <w:rPr>
                <w:rFonts w:cs="Arial"/>
                <w:szCs w:val="24"/>
              </w:rPr>
            </w:pPr>
            <w:r w:rsidRPr="000E2829">
              <w:rPr>
                <w:rFonts w:cs="Arial"/>
                <w:szCs w:val="24"/>
              </w:rPr>
              <w:t>March 2019</w:t>
            </w:r>
          </w:p>
        </w:tc>
        <w:tc>
          <w:tcPr>
            <w:tcW w:w="1843" w:type="dxa"/>
          </w:tcPr>
          <w:p w:rsidR="000D1DA3" w:rsidRPr="000E2829" w:rsidRDefault="000D1DA3" w:rsidP="000D1DA3">
            <w:pPr>
              <w:rPr>
                <w:rFonts w:cs="Arial"/>
                <w:bCs w:val="0"/>
                <w:color w:val="FF0000"/>
                <w:szCs w:val="24"/>
              </w:rPr>
            </w:pPr>
            <w:r>
              <w:rPr>
                <w:rFonts w:cs="Arial"/>
                <w:szCs w:val="24"/>
              </w:rPr>
              <w:t>80</w:t>
            </w:r>
            <w:r w:rsidRPr="000E2829">
              <w:rPr>
                <w:rFonts w:cs="Arial"/>
                <w:szCs w:val="24"/>
              </w:rPr>
              <w:t>%</w:t>
            </w:r>
          </w:p>
        </w:tc>
      </w:tr>
      <w:tr w:rsidR="000D1DA3" w:rsidRPr="000E2829" w:rsidTr="006A0823">
        <w:trPr>
          <w:trHeight w:val="99"/>
        </w:trPr>
        <w:tc>
          <w:tcPr>
            <w:tcW w:w="1538" w:type="dxa"/>
          </w:tcPr>
          <w:p w:rsidR="000D1DA3" w:rsidRPr="000E2829" w:rsidRDefault="000D1DA3" w:rsidP="000D1DA3">
            <w:pPr>
              <w:rPr>
                <w:rFonts w:cs="Arial"/>
                <w:szCs w:val="24"/>
              </w:rPr>
            </w:pPr>
            <w:r w:rsidRPr="000E2829">
              <w:rPr>
                <w:rFonts w:cs="Arial"/>
                <w:szCs w:val="24"/>
              </w:rPr>
              <w:t>Q1 2019/20</w:t>
            </w:r>
            <w:r w:rsidRPr="000E2829">
              <w:rPr>
                <w:rFonts w:cs="Arial"/>
                <w:szCs w:val="24"/>
              </w:rPr>
              <w:tab/>
            </w:r>
            <w:r w:rsidRPr="000E2829">
              <w:rPr>
                <w:rFonts w:cs="Arial"/>
                <w:szCs w:val="24"/>
              </w:rPr>
              <w:tab/>
            </w:r>
          </w:p>
        </w:tc>
        <w:tc>
          <w:tcPr>
            <w:tcW w:w="3496" w:type="dxa"/>
          </w:tcPr>
          <w:p w:rsidR="000D1DA3" w:rsidRPr="000E2829" w:rsidRDefault="000D1DA3" w:rsidP="000D1DA3">
            <w:pPr>
              <w:contextualSpacing/>
              <w:rPr>
                <w:rFonts w:cs="Arial"/>
                <w:szCs w:val="24"/>
              </w:rPr>
            </w:pPr>
            <w:r w:rsidRPr="000E2829">
              <w:rPr>
                <w:rFonts w:cs="Arial"/>
                <w:szCs w:val="24"/>
              </w:rPr>
              <w:t xml:space="preserve">National data submission to NHS England via UNIFY2 for total number of A&amp;E attendances during 2018/19 for those within the selected cohort of frequent attenders in 2017/18 </w:t>
            </w:r>
            <w:proofErr w:type="gramStart"/>
            <w:r w:rsidRPr="000E2829">
              <w:rPr>
                <w:rFonts w:eastAsia="Calibri" w:cs="Arial"/>
                <w:szCs w:val="24"/>
              </w:rPr>
              <w:t>who</w:t>
            </w:r>
            <w:proofErr w:type="gramEnd"/>
            <w:r w:rsidRPr="000E2829">
              <w:rPr>
                <w:rFonts w:eastAsia="Calibri" w:cs="Arial"/>
                <w:szCs w:val="24"/>
              </w:rPr>
              <w:t xml:space="preserve"> would benefit from mental health and </w:t>
            </w:r>
            <w:r w:rsidRPr="000E2829">
              <w:rPr>
                <w:rFonts w:eastAsia="Calibri" w:cs="Arial"/>
                <w:szCs w:val="24"/>
              </w:rPr>
              <w:lastRenderedPageBreak/>
              <w:t>psychosocial interventions</w:t>
            </w:r>
            <w:r>
              <w:rPr>
                <w:rFonts w:eastAsia="Calibri" w:cs="Arial"/>
                <w:szCs w:val="24"/>
              </w:rPr>
              <w:t>.</w:t>
            </w:r>
          </w:p>
          <w:p w:rsidR="000D1DA3" w:rsidRPr="000E2829" w:rsidRDefault="000D1DA3" w:rsidP="000D1DA3">
            <w:pPr>
              <w:contextualSpacing/>
              <w:rPr>
                <w:rFonts w:cs="Arial"/>
                <w:szCs w:val="24"/>
              </w:rPr>
            </w:pPr>
          </w:p>
          <w:p w:rsidR="000D1DA3" w:rsidRPr="000E2829" w:rsidRDefault="000D1DA3" w:rsidP="000D1DA3">
            <w:pPr>
              <w:contextualSpacing/>
              <w:rPr>
                <w:rFonts w:cs="Arial"/>
                <w:szCs w:val="24"/>
              </w:rPr>
            </w:pPr>
            <w:r w:rsidRPr="000E2829">
              <w:rPr>
                <w:rFonts w:cs="Arial"/>
                <w:szCs w:val="24"/>
              </w:rPr>
              <w:t>Evaluation report of 2 year CQUIN submitted</w:t>
            </w:r>
            <w:r>
              <w:rPr>
                <w:rFonts w:cs="Arial"/>
                <w:szCs w:val="24"/>
              </w:rPr>
              <w:t>.</w:t>
            </w:r>
          </w:p>
        </w:tc>
        <w:tc>
          <w:tcPr>
            <w:tcW w:w="1770" w:type="dxa"/>
          </w:tcPr>
          <w:p w:rsidR="000D1DA3" w:rsidRPr="000E2829" w:rsidRDefault="000D1DA3" w:rsidP="000D1DA3">
            <w:pPr>
              <w:rPr>
                <w:rFonts w:cs="Arial"/>
                <w:szCs w:val="24"/>
              </w:rPr>
            </w:pPr>
            <w:r w:rsidRPr="000E2829">
              <w:rPr>
                <w:rFonts w:cs="Arial"/>
                <w:szCs w:val="24"/>
              </w:rPr>
              <w:lastRenderedPageBreak/>
              <w:t>May 2019</w:t>
            </w:r>
          </w:p>
        </w:tc>
        <w:tc>
          <w:tcPr>
            <w:tcW w:w="1843" w:type="dxa"/>
          </w:tcPr>
          <w:p w:rsidR="000D1DA3" w:rsidRPr="000E2829" w:rsidRDefault="000D1DA3" w:rsidP="000D1DA3">
            <w:pPr>
              <w:rPr>
                <w:rFonts w:cs="Arial"/>
                <w:bCs w:val="0"/>
                <w:color w:val="FF0000"/>
                <w:szCs w:val="24"/>
              </w:rPr>
            </w:pPr>
            <w:r w:rsidRPr="000E2829">
              <w:rPr>
                <w:rFonts w:cs="Arial"/>
                <w:szCs w:val="24"/>
              </w:rPr>
              <w:t>0%</w:t>
            </w:r>
          </w:p>
        </w:tc>
      </w:tr>
    </w:tbl>
    <w:p w:rsidR="0013071F" w:rsidRDefault="0013071F" w:rsidP="0013071F">
      <w:pPr>
        <w:rPr>
          <w:rFonts w:eastAsiaTheme="majorEastAsia" w:cstheme="majorBidi"/>
          <w:b/>
          <w:bCs w:val="0"/>
          <w:iCs/>
          <w:color w:val="A00054" w:themeColor="accent2"/>
          <w:lang w:eastAsia="en-GB"/>
        </w:rPr>
      </w:pPr>
    </w:p>
    <w:p w:rsidR="0013071F" w:rsidRDefault="0013071F" w:rsidP="0013071F">
      <w:pPr>
        <w:pStyle w:val="Heading4"/>
        <w:rPr>
          <w:lang w:eastAsia="en-GB"/>
        </w:rPr>
      </w:pPr>
      <w:r w:rsidRPr="00702E87">
        <w:rPr>
          <w:lang w:eastAsia="en-GB"/>
        </w:rPr>
        <w:t>Rules for partial achievement</w:t>
      </w:r>
      <w:r>
        <w:rPr>
          <w:lang w:eastAsia="en-GB"/>
        </w:rPr>
        <w:t xml:space="preserve"> of indicator 4</w:t>
      </w:r>
    </w:p>
    <w:p w:rsidR="0013071F" w:rsidRDefault="0013071F" w:rsidP="0013071F">
      <w:pPr>
        <w:rPr>
          <w:lang w:eastAsia="en-GB"/>
        </w:rPr>
      </w:pPr>
    </w:p>
    <w:tbl>
      <w:tblPr>
        <w:tblW w:w="8647" w:type="dxa"/>
        <w:tblInd w:w="108" w:type="dxa"/>
        <w:tblLook w:val="0000" w:firstRow="0" w:lastRow="0" w:firstColumn="0" w:lastColumn="0" w:noHBand="0" w:noVBand="0"/>
      </w:tblPr>
      <w:tblGrid>
        <w:gridCol w:w="3865"/>
        <w:gridCol w:w="4782"/>
      </w:tblGrid>
      <w:tr w:rsidR="0013071F" w:rsidRPr="000E2829" w:rsidTr="006A0823">
        <w:trPr>
          <w:trHeight w:val="718"/>
          <w:tblHeader/>
        </w:trPr>
        <w:tc>
          <w:tcPr>
            <w:tcW w:w="3865" w:type="dxa"/>
            <w:tcBorders>
              <w:top w:val="single" w:sz="4" w:space="0" w:color="auto"/>
              <w:left w:val="single" w:sz="4" w:space="0" w:color="auto"/>
              <w:bottom w:val="single" w:sz="4" w:space="0" w:color="auto"/>
              <w:right w:val="nil"/>
            </w:tcBorders>
            <w:shd w:val="clear" w:color="auto" w:fill="0070C0"/>
            <w:noWrap/>
          </w:tcPr>
          <w:p w:rsidR="0013071F" w:rsidRPr="000E2829" w:rsidRDefault="0013071F" w:rsidP="006A0823">
            <w:pPr>
              <w:rPr>
                <w:rFonts w:cs="Arial"/>
                <w:b/>
                <w:color w:val="FFFFFF"/>
                <w:lang w:eastAsia="en-GB"/>
              </w:rPr>
            </w:pPr>
            <w:r w:rsidRPr="000E2829">
              <w:rPr>
                <w:rFonts w:cs="Arial"/>
                <w:b/>
                <w:color w:val="FFFFFF"/>
                <w:lang w:eastAsia="en-GB"/>
              </w:rPr>
              <w:t>Final indicator value for the partial achievement threshold</w:t>
            </w:r>
          </w:p>
        </w:tc>
        <w:tc>
          <w:tcPr>
            <w:tcW w:w="4782" w:type="dxa"/>
            <w:tcBorders>
              <w:top w:val="single" w:sz="4" w:space="0" w:color="auto"/>
              <w:left w:val="single" w:sz="4" w:space="0" w:color="auto"/>
              <w:bottom w:val="single" w:sz="4" w:space="0" w:color="auto"/>
              <w:right w:val="single" w:sz="4" w:space="0" w:color="auto"/>
            </w:tcBorders>
            <w:shd w:val="clear" w:color="auto" w:fill="0070C0"/>
          </w:tcPr>
          <w:p w:rsidR="0013071F" w:rsidRPr="000E2829" w:rsidRDefault="0013071F" w:rsidP="006A0823">
            <w:pPr>
              <w:rPr>
                <w:rFonts w:cs="Arial"/>
                <w:b/>
                <w:color w:val="FFFFFF"/>
                <w:lang w:eastAsia="en-GB"/>
              </w:rPr>
            </w:pPr>
            <w:r w:rsidRPr="000E2829">
              <w:rPr>
                <w:rFonts w:cs="Arial"/>
                <w:b/>
                <w:color w:val="FFFFFF"/>
                <w:lang w:eastAsia="en-GB"/>
              </w:rPr>
              <w:t>% of CQUIN scheme available for meeting final indicator value</w:t>
            </w:r>
          </w:p>
        </w:tc>
      </w:tr>
      <w:tr w:rsidR="003F2449" w:rsidRPr="000E2829" w:rsidTr="006A0823">
        <w:trPr>
          <w:trHeight w:val="357"/>
        </w:trPr>
        <w:tc>
          <w:tcPr>
            <w:tcW w:w="3865" w:type="dxa"/>
            <w:tcBorders>
              <w:top w:val="nil"/>
              <w:left w:val="single" w:sz="4" w:space="0" w:color="auto"/>
              <w:bottom w:val="single" w:sz="4" w:space="0" w:color="auto"/>
              <w:right w:val="nil"/>
            </w:tcBorders>
          </w:tcPr>
          <w:p w:rsidR="003F2449" w:rsidRPr="000E2829" w:rsidRDefault="003F2449" w:rsidP="00B25663">
            <w:pPr>
              <w:rPr>
                <w:rFonts w:cs="Arial"/>
                <w:bCs w:val="0"/>
                <w:color w:val="FF0000"/>
                <w:szCs w:val="24"/>
              </w:rPr>
            </w:pPr>
            <w:r w:rsidRPr="000E2829">
              <w:rPr>
                <w:rFonts w:cs="Arial"/>
                <w:szCs w:val="24"/>
              </w:rPr>
              <w:t>Year 1 – 15-19.99% reduction in A&amp;E attendances of those</w:t>
            </w:r>
            <w:r>
              <w:rPr>
                <w:rFonts w:cs="Arial"/>
                <w:szCs w:val="24"/>
              </w:rPr>
              <w:t xml:space="preserve"> within the selected cohort of </w:t>
            </w:r>
            <w:r w:rsidRPr="000E2829">
              <w:rPr>
                <w:rFonts w:cs="Arial"/>
                <w:szCs w:val="24"/>
              </w:rPr>
              <w:t xml:space="preserve">frequent attenders in 2016/17 </w:t>
            </w:r>
            <w:r w:rsidRPr="000E2829">
              <w:rPr>
                <w:rFonts w:eastAsia="Calibri" w:cs="Arial"/>
                <w:szCs w:val="24"/>
              </w:rPr>
              <w:t>who would benefit from mental health and psychosocial interventions</w:t>
            </w:r>
            <w:r>
              <w:rPr>
                <w:rFonts w:eastAsia="Calibri" w:cs="Arial"/>
                <w:szCs w:val="24"/>
              </w:rPr>
              <w:t>.</w:t>
            </w:r>
          </w:p>
        </w:tc>
        <w:tc>
          <w:tcPr>
            <w:tcW w:w="4782" w:type="dxa"/>
            <w:tcBorders>
              <w:top w:val="nil"/>
              <w:left w:val="single" w:sz="4" w:space="0" w:color="auto"/>
              <w:bottom w:val="single" w:sz="4" w:space="0" w:color="auto"/>
              <w:right w:val="single" w:sz="4" w:space="0" w:color="auto"/>
            </w:tcBorders>
          </w:tcPr>
          <w:p w:rsidR="003F2449" w:rsidRPr="000E2829" w:rsidRDefault="003F2449" w:rsidP="00B25663">
            <w:pPr>
              <w:rPr>
                <w:rFonts w:cs="Arial"/>
                <w:szCs w:val="24"/>
              </w:rPr>
            </w:pPr>
            <w:r w:rsidRPr="000E2829">
              <w:rPr>
                <w:rFonts w:cs="Arial"/>
                <w:szCs w:val="24"/>
              </w:rPr>
              <w:t>30% (maximum available is 40% for achieving 20%+ reduction)</w:t>
            </w:r>
          </w:p>
        </w:tc>
      </w:tr>
      <w:tr w:rsidR="003F2449" w:rsidRPr="000E2829" w:rsidTr="006A0823">
        <w:trPr>
          <w:trHeight w:val="357"/>
        </w:trPr>
        <w:tc>
          <w:tcPr>
            <w:tcW w:w="3865" w:type="dxa"/>
            <w:tcBorders>
              <w:top w:val="nil"/>
              <w:left w:val="single" w:sz="4" w:space="0" w:color="auto"/>
              <w:bottom w:val="single" w:sz="4" w:space="0" w:color="auto"/>
              <w:right w:val="nil"/>
            </w:tcBorders>
          </w:tcPr>
          <w:p w:rsidR="003F2449" w:rsidRPr="000E2829" w:rsidRDefault="003F2449" w:rsidP="00B25663">
            <w:pPr>
              <w:rPr>
                <w:rFonts w:cs="Arial"/>
                <w:b/>
                <w:bCs w:val="0"/>
                <w:szCs w:val="24"/>
              </w:rPr>
            </w:pPr>
            <w:r w:rsidRPr="000E2829">
              <w:rPr>
                <w:rFonts w:cs="Arial"/>
                <w:szCs w:val="24"/>
              </w:rPr>
              <w:t xml:space="preserve">Year 1 – 10-14.99% reduction in A&amp;E attendances of the selected cohort </w:t>
            </w:r>
            <w:r>
              <w:rPr>
                <w:rFonts w:cs="Arial"/>
                <w:szCs w:val="24"/>
              </w:rPr>
              <w:t>of</w:t>
            </w:r>
            <w:r w:rsidRPr="000E2829">
              <w:rPr>
                <w:rFonts w:cs="Arial"/>
                <w:szCs w:val="24"/>
              </w:rPr>
              <w:t xml:space="preserve"> frequent attenders in 2016/17 </w:t>
            </w:r>
            <w:r w:rsidRPr="000E2829">
              <w:rPr>
                <w:rFonts w:eastAsia="Calibri" w:cs="Arial"/>
                <w:szCs w:val="24"/>
              </w:rPr>
              <w:t>who would benefit from mental health and psychosocial interventions</w:t>
            </w:r>
            <w:r>
              <w:rPr>
                <w:rFonts w:eastAsia="Calibri" w:cs="Arial"/>
                <w:szCs w:val="24"/>
              </w:rPr>
              <w:t>.</w:t>
            </w:r>
          </w:p>
        </w:tc>
        <w:tc>
          <w:tcPr>
            <w:tcW w:w="4782" w:type="dxa"/>
            <w:tcBorders>
              <w:top w:val="nil"/>
              <w:left w:val="single" w:sz="4" w:space="0" w:color="auto"/>
              <w:bottom w:val="single" w:sz="4" w:space="0" w:color="auto"/>
              <w:right w:val="single" w:sz="4" w:space="0" w:color="auto"/>
            </w:tcBorders>
          </w:tcPr>
          <w:p w:rsidR="003F2449" w:rsidRPr="000E2829" w:rsidRDefault="003F2449" w:rsidP="00B25663">
            <w:pPr>
              <w:rPr>
                <w:rFonts w:cs="Arial"/>
                <w:szCs w:val="24"/>
              </w:rPr>
            </w:pPr>
            <w:r w:rsidRPr="000E2829">
              <w:rPr>
                <w:rFonts w:cs="Arial"/>
                <w:szCs w:val="24"/>
              </w:rPr>
              <w:t>20%</w:t>
            </w:r>
          </w:p>
        </w:tc>
      </w:tr>
      <w:tr w:rsidR="003F2449" w:rsidRPr="000E2829" w:rsidTr="006A0823">
        <w:trPr>
          <w:trHeight w:val="357"/>
        </w:trPr>
        <w:tc>
          <w:tcPr>
            <w:tcW w:w="3865" w:type="dxa"/>
            <w:tcBorders>
              <w:top w:val="nil"/>
              <w:left w:val="single" w:sz="4" w:space="0" w:color="auto"/>
              <w:bottom w:val="single" w:sz="4" w:space="0" w:color="auto"/>
              <w:right w:val="nil"/>
            </w:tcBorders>
          </w:tcPr>
          <w:p w:rsidR="003F2449" w:rsidRPr="000E2829" w:rsidRDefault="003F2449" w:rsidP="00B25663">
            <w:pPr>
              <w:rPr>
                <w:rFonts w:cs="Arial"/>
                <w:szCs w:val="24"/>
              </w:rPr>
            </w:pPr>
            <w:r w:rsidRPr="000E2829">
              <w:rPr>
                <w:rFonts w:cs="Arial"/>
                <w:szCs w:val="24"/>
              </w:rPr>
              <w:t>Year 1 – 5-9.99% reduction in A&amp;E attendances of the selected cohort of frequent attenders in 2016/17</w:t>
            </w:r>
            <w:r w:rsidRPr="000E2829">
              <w:rPr>
                <w:rFonts w:eastAsia="Calibri" w:cs="Arial"/>
                <w:szCs w:val="24"/>
              </w:rPr>
              <w:t xml:space="preserve"> who would benefit from mental health and psychosocial interventions</w:t>
            </w:r>
            <w:r>
              <w:rPr>
                <w:rFonts w:eastAsia="Calibri" w:cs="Arial"/>
                <w:szCs w:val="24"/>
              </w:rPr>
              <w:t>.</w:t>
            </w:r>
          </w:p>
        </w:tc>
        <w:tc>
          <w:tcPr>
            <w:tcW w:w="4782" w:type="dxa"/>
            <w:tcBorders>
              <w:top w:val="nil"/>
              <w:left w:val="single" w:sz="4" w:space="0" w:color="auto"/>
              <w:bottom w:val="single" w:sz="4" w:space="0" w:color="auto"/>
              <w:right w:val="single" w:sz="4" w:space="0" w:color="auto"/>
            </w:tcBorders>
          </w:tcPr>
          <w:p w:rsidR="003F2449" w:rsidRPr="000E2829" w:rsidRDefault="003F2449" w:rsidP="00B25663">
            <w:pPr>
              <w:rPr>
                <w:rFonts w:cs="Arial"/>
                <w:bCs w:val="0"/>
                <w:szCs w:val="24"/>
              </w:rPr>
            </w:pPr>
            <w:r w:rsidRPr="000E2829">
              <w:rPr>
                <w:rFonts w:cs="Arial"/>
                <w:szCs w:val="24"/>
              </w:rPr>
              <w:t>10%</w:t>
            </w:r>
          </w:p>
        </w:tc>
      </w:tr>
      <w:tr w:rsidR="003F2449" w:rsidRPr="000E2829" w:rsidTr="006A0823">
        <w:trPr>
          <w:trHeight w:val="357"/>
        </w:trPr>
        <w:tc>
          <w:tcPr>
            <w:tcW w:w="3865" w:type="dxa"/>
            <w:tcBorders>
              <w:top w:val="nil"/>
              <w:left w:val="single" w:sz="4" w:space="0" w:color="auto"/>
              <w:bottom w:val="single" w:sz="4" w:space="0" w:color="auto"/>
              <w:right w:val="nil"/>
            </w:tcBorders>
          </w:tcPr>
          <w:p w:rsidR="003F2449" w:rsidRPr="000E2829" w:rsidRDefault="003F2449" w:rsidP="00B25663">
            <w:pPr>
              <w:rPr>
                <w:rFonts w:cs="Arial"/>
                <w:szCs w:val="24"/>
              </w:rPr>
            </w:pPr>
            <w:r w:rsidRPr="000E2829">
              <w:rPr>
                <w:rFonts w:cs="Arial"/>
                <w:szCs w:val="24"/>
              </w:rPr>
              <w:t xml:space="preserve">Year 2 – </w:t>
            </w:r>
            <w:r>
              <w:rPr>
                <w:rFonts w:cs="Arial"/>
                <w:szCs w:val="24"/>
              </w:rPr>
              <w:t>5</w:t>
            </w:r>
            <w:r w:rsidRPr="000E2829">
              <w:rPr>
                <w:rFonts w:cs="Arial"/>
                <w:szCs w:val="24"/>
              </w:rPr>
              <w:t>-</w:t>
            </w:r>
            <w:r>
              <w:rPr>
                <w:rFonts w:cs="Arial"/>
                <w:szCs w:val="24"/>
              </w:rPr>
              <w:t>9</w:t>
            </w:r>
            <w:r w:rsidRPr="000E2829">
              <w:rPr>
                <w:rFonts w:cs="Arial"/>
                <w:szCs w:val="24"/>
              </w:rPr>
              <w:t>.99% reduction in A&amp;E attendances of all people with a primary mental health diagnosis</w:t>
            </w:r>
            <w:r>
              <w:rPr>
                <w:rFonts w:cs="Arial"/>
                <w:szCs w:val="24"/>
              </w:rPr>
              <w:t>.</w:t>
            </w:r>
          </w:p>
        </w:tc>
        <w:tc>
          <w:tcPr>
            <w:tcW w:w="4782" w:type="dxa"/>
            <w:tcBorders>
              <w:top w:val="nil"/>
              <w:left w:val="single" w:sz="4" w:space="0" w:color="auto"/>
              <w:bottom w:val="single" w:sz="4" w:space="0" w:color="auto"/>
              <w:right w:val="single" w:sz="4" w:space="0" w:color="auto"/>
            </w:tcBorders>
          </w:tcPr>
          <w:p w:rsidR="003F2449" w:rsidRPr="000E2829" w:rsidRDefault="003F2449" w:rsidP="00B25663">
            <w:pPr>
              <w:rPr>
                <w:rFonts w:cs="Arial"/>
                <w:szCs w:val="24"/>
              </w:rPr>
            </w:pPr>
            <w:r w:rsidRPr="000E2829">
              <w:rPr>
                <w:rFonts w:cs="Arial"/>
                <w:szCs w:val="24"/>
              </w:rPr>
              <w:t xml:space="preserve">60% (maximum available is </w:t>
            </w:r>
            <w:r>
              <w:rPr>
                <w:rFonts w:cs="Arial"/>
                <w:szCs w:val="24"/>
              </w:rPr>
              <w:t>80</w:t>
            </w:r>
            <w:r w:rsidRPr="000E2829">
              <w:rPr>
                <w:rFonts w:cs="Arial"/>
                <w:szCs w:val="24"/>
              </w:rPr>
              <w:t>% for achieving 1</w:t>
            </w:r>
            <w:r>
              <w:rPr>
                <w:rFonts w:cs="Arial"/>
                <w:szCs w:val="24"/>
              </w:rPr>
              <w:t>0</w:t>
            </w:r>
            <w:r w:rsidRPr="000E2829">
              <w:rPr>
                <w:rFonts w:cs="Arial"/>
                <w:szCs w:val="24"/>
              </w:rPr>
              <w:t>%+ reduction)</w:t>
            </w:r>
          </w:p>
        </w:tc>
      </w:tr>
      <w:tr w:rsidR="003F2449" w:rsidRPr="000E2829" w:rsidTr="006A0823">
        <w:trPr>
          <w:trHeight w:val="452"/>
        </w:trPr>
        <w:tc>
          <w:tcPr>
            <w:tcW w:w="3865" w:type="dxa"/>
            <w:tcBorders>
              <w:top w:val="nil"/>
              <w:left w:val="single" w:sz="4" w:space="0" w:color="auto"/>
              <w:bottom w:val="single" w:sz="4" w:space="0" w:color="auto"/>
              <w:right w:val="nil"/>
            </w:tcBorders>
          </w:tcPr>
          <w:p w:rsidR="003F2449" w:rsidRPr="000E2829" w:rsidRDefault="003F2449" w:rsidP="00B25663">
            <w:pPr>
              <w:rPr>
                <w:rFonts w:cs="Arial"/>
                <w:bCs w:val="0"/>
                <w:szCs w:val="24"/>
              </w:rPr>
            </w:pPr>
            <w:r w:rsidRPr="000E2829">
              <w:rPr>
                <w:rFonts w:cs="Arial"/>
                <w:szCs w:val="24"/>
              </w:rPr>
              <w:t xml:space="preserve">Year 2 – </w:t>
            </w:r>
            <w:r>
              <w:rPr>
                <w:rFonts w:cs="Arial"/>
                <w:szCs w:val="24"/>
              </w:rPr>
              <w:t>2.</w:t>
            </w:r>
            <w:r w:rsidRPr="000E2829">
              <w:rPr>
                <w:rFonts w:cs="Arial"/>
                <w:szCs w:val="24"/>
              </w:rPr>
              <w:t>5-</w:t>
            </w:r>
            <w:r>
              <w:rPr>
                <w:rFonts w:cs="Arial"/>
                <w:szCs w:val="24"/>
              </w:rPr>
              <w:t>4</w:t>
            </w:r>
            <w:r w:rsidRPr="000E2829">
              <w:rPr>
                <w:rFonts w:cs="Arial"/>
                <w:szCs w:val="24"/>
              </w:rPr>
              <w:t>.99% reduction in A&amp;E attendances of all people with a primary mental health diagnosis</w:t>
            </w:r>
            <w:r>
              <w:rPr>
                <w:rFonts w:cs="Arial"/>
                <w:szCs w:val="24"/>
              </w:rPr>
              <w:t>.</w:t>
            </w:r>
          </w:p>
        </w:tc>
        <w:tc>
          <w:tcPr>
            <w:tcW w:w="4782" w:type="dxa"/>
            <w:tcBorders>
              <w:top w:val="nil"/>
              <w:left w:val="single" w:sz="4" w:space="0" w:color="auto"/>
              <w:bottom w:val="single" w:sz="4" w:space="0" w:color="auto"/>
              <w:right w:val="single" w:sz="4" w:space="0" w:color="auto"/>
            </w:tcBorders>
          </w:tcPr>
          <w:p w:rsidR="003F2449" w:rsidRPr="000E2829" w:rsidRDefault="003F2449" w:rsidP="00B25663">
            <w:pPr>
              <w:rPr>
                <w:rFonts w:cs="Arial"/>
                <w:bCs w:val="0"/>
                <w:szCs w:val="24"/>
              </w:rPr>
            </w:pPr>
            <w:r w:rsidRPr="000E2829">
              <w:rPr>
                <w:rFonts w:cs="Arial"/>
                <w:szCs w:val="24"/>
              </w:rPr>
              <w:t xml:space="preserve">40% </w:t>
            </w:r>
          </w:p>
        </w:tc>
      </w:tr>
      <w:tr w:rsidR="003F2449" w:rsidRPr="000E2829" w:rsidTr="006A0823">
        <w:trPr>
          <w:trHeight w:val="413"/>
        </w:trPr>
        <w:tc>
          <w:tcPr>
            <w:tcW w:w="3865" w:type="dxa"/>
            <w:tcBorders>
              <w:top w:val="nil"/>
              <w:left w:val="single" w:sz="4" w:space="0" w:color="auto"/>
              <w:bottom w:val="single" w:sz="4" w:space="0" w:color="auto"/>
              <w:right w:val="nil"/>
            </w:tcBorders>
          </w:tcPr>
          <w:p w:rsidR="003F2449" w:rsidRPr="000E2829" w:rsidRDefault="003F2449" w:rsidP="00B25663">
            <w:pPr>
              <w:rPr>
                <w:rFonts w:cs="Arial"/>
                <w:bCs w:val="0"/>
                <w:szCs w:val="24"/>
                <w:lang w:eastAsia="en-GB"/>
              </w:rPr>
            </w:pPr>
            <w:r w:rsidRPr="000E2829">
              <w:rPr>
                <w:rFonts w:cs="Arial"/>
                <w:szCs w:val="24"/>
              </w:rPr>
              <w:t>Year 2 – 0-</w:t>
            </w:r>
            <w:r>
              <w:rPr>
                <w:rFonts w:cs="Arial"/>
                <w:szCs w:val="24"/>
              </w:rPr>
              <w:t>2.49</w:t>
            </w:r>
            <w:r w:rsidRPr="000E2829">
              <w:rPr>
                <w:rFonts w:cs="Arial"/>
                <w:szCs w:val="24"/>
              </w:rPr>
              <w:t>% reduction</w:t>
            </w:r>
            <w:r w:rsidRPr="000E2829">
              <w:rPr>
                <w:rFonts w:cs="Arial"/>
                <w:szCs w:val="24"/>
                <w:lang w:eastAsia="en-GB"/>
              </w:rPr>
              <w:t xml:space="preserve"> </w:t>
            </w:r>
            <w:r w:rsidRPr="000E2829">
              <w:rPr>
                <w:rFonts w:cs="Arial"/>
                <w:szCs w:val="24"/>
              </w:rPr>
              <w:t>in A&amp;E attendances of all people with a primary mental health diagnosis</w:t>
            </w:r>
            <w:r>
              <w:rPr>
                <w:rFonts w:cs="Arial"/>
                <w:szCs w:val="24"/>
              </w:rPr>
              <w:t>.</w:t>
            </w:r>
          </w:p>
        </w:tc>
        <w:tc>
          <w:tcPr>
            <w:tcW w:w="4782" w:type="dxa"/>
            <w:tcBorders>
              <w:top w:val="nil"/>
              <w:left w:val="single" w:sz="4" w:space="0" w:color="auto"/>
              <w:bottom w:val="single" w:sz="4" w:space="0" w:color="auto"/>
              <w:right w:val="single" w:sz="4" w:space="0" w:color="auto"/>
            </w:tcBorders>
          </w:tcPr>
          <w:p w:rsidR="003F2449" w:rsidRPr="000E2829" w:rsidRDefault="003F2449" w:rsidP="00B25663">
            <w:pPr>
              <w:rPr>
                <w:rFonts w:cs="Arial"/>
                <w:bCs w:val="0"/>
                <w:szCs w:val="24"/>
                <w:lang w:eastAsia="en-GB"/>
              </w:rPr>
            </w:pPr>
            <w:r w:rsidRPr="000E2829">
              <w:rPr>
                <w:rFonts w:cs="Arial"/>
                <w:szCs w:val="24"/>
              </w:rPr>
              <w:t>20%</w:t>
            </w:r>
          </w:p>
        </w:tc>
      </w:tr>
    </w:tbl>
    <w:p w:rsidR="0013071F" w:rsidRDefault="0013071F" w:rsidP="0013071F">
      <w:pPr>
        <w:rPr>
          <w:lang w:eastAsia="en-GB"/>
        </w:rPr>
      </w:pPr>
    </w:p>
    <w:p w:rsidR="0013071F" w:rsidRDefault="0013071F" w:rsidP="0013071F">
      <w:pPr>
        <w:rPr>
          <w:rFonts w:cs="Arial"/>
          <w:b/>
          <w:color w:val="0072C6"/>
          <w:kern w:val="32"/>
          <w:sz w:val="32"/>
          <w:szCs w:val="32"/>
          <w:lang w:eastAsia="en-GB"/>
        </w:rPr>
      </w:pPr>
      <w:r>
        <w:rPr>
          <w:lang w:eastAsia="en-GB"/>
        </w:rPr>
        <w:br w:type="page"/>
      </w:r>
    </w:p>
    <w:p w:rsidR="00C02AC7" w:rsidRDefault="00CD2CF5" w:rsidP="00C02AC7">
      <w:pPr>
        <w:pStyle w:val="Heading1"/>
        <w:rPr>
          <w:lang w:eastAsia="en-GB"/>
        </w:rPr>
      </w:pPr>
      <w:bookmarkStart w:id="57" w:name="_Toc466290254"/>
      <w:r>
        <w:rPr>
          <w:lang w:eastAsia="en-GB"/>
        </w:rPr>
        <w:lastRenderedPageBreak/>
        <w:t>Offering advice and g</w:t>
      </w:r>
      <w:r w:rsidR="00C02AC7" w:rsidRPr="00C02AC7">
        <w:rPr>
          <w:lang w:eastAsia="en-GB"/>
        </w:rPr>
        <w:t>uidance</w:t>
      </w:r>
      <w:bookmarkEnd w:id="57"/>
    </w:p>
    <w:p w:rsidR="009D451F" w:rsidRDefault="00E71417" w:rsidP="00E71417">
      <w:pPr>
        <w:tabs>
          <w:tab w:val="left" w:pos="5040"/>
        </w:tabs>
        <w:rPr>
          <w:lang w:eastAsia="en-GB"/>
        </w:rPr>
      </w:pPr>
      <w:r>
        <w:rPr>
          <w:lang w:eastAsia="en-GB"/>
        </w:rPr>
        <w:tab/>
      </w:r>
    </w:p>
    <w:tbl>
      <w:tblPr>
        <w:tblStyle w:val="TableGrid52"/>
        <w:tblW w:w="0" w:type="auto"/>
        <w:tblLook w:val="04A0" w:firstRow="1" w:lastRow="0" w:firstColumn="1" w:lastColumn="0" w:noHBand="0" w:noVBand="1"/>
        <w:tblCaption w:val="Indicator"/>
      </w:tblPr>
      <w:tblGrid>
        <w:gridCol w:w="2430"/>
        <w:gridCol w:w="6850"/>
      </w:tblGrid>
      <w:tr w:rsidR="00EA0535" w:rsidRPr="00EA0535" w:rsidTr="00415AC1">
        <w:trPr>
          <w:trHeight w:val="147"/>
          <w:tblHeader/>
        </w:trPr>
        <w:tc>
          <w:tcPr>
            <w:tcW w:w="9610" w:type="dxa"/>
            <w:gridSpan w:val="2"/>
            <w:shd w:val="clear" w:color="auto" w:fill="0070C0"/>
          </w:tcPr>
          <w:p w:rsidR="00EA0535" w:rsidRPr="00EA0535" w:rsidRDefault="00EA0535" w:rsidP="00AD69B8">
            <w:pPr>
              <w:jc w:val="center"/>
              <w:rPr>
                <w:rFonts w:cs="Arial"/>
              </w:rPr>
            </w:pPr>
            <w:r w:rsidRPr="00EA0535">
              <w:rPr>
                <w:rFonts w:cs="Arial"/>
                <w:color w:val="000000"/>
              </w:rPr>
              <w:br w:type="page"/>
            </w:r>
            <w:r w:rsidRPr="00EA0535">
              <w:rPr>
                <w:rFonts w:cs="Arial"/>
                <w:b/>
                <w:color w:val="FFFFFF" w:themeColor="background1"/>
              </w:rPr>
              <w:t>Indicator</w:t>
            </w:r>
            <w:r w:rsidR="00CB65F3">
              <w:rPr>
                <w:rFonts w:cs="Arial"/>
                <w:b/>
                <w:color w:val="FFFFFF" w:themeColor="background1"/>
              </w:rPr>
              <w:t xml:space="preserve"> 6</w:t>
            </w:r>
          </w:p>
        </w:tc>
      </w:tr>
      <w:tr w:rsidR="00EA0535" w:rsidRPr="00EA0535" w:rsidTr="00415AC1">
        <w:trPr>
          <w:trHeight w:val="147"/>
        </w:trPr>
        <w:tc>
          <w:tcPr>
            <w:tcW w:w="2476" w:type="dxa"/>
          </w:tcPr>
          <w:p w:rsidR="00EA0535" w:rsidRPr="00415AC1" w:rsidRDefault="00EA0535" w:rsidP="00EA0535">
            <w:pPr>
              <w:rPr>
                <w:rFonts w:cs="Arial"/>
                <w:b/>
              </w:rPr>
            </w:pPr>
            <w:r w:rsidRPr="00415AC1">
              <w:rPr>
                <w:rFonts w:cs="Arial"/>
                <w:b/>
                <w:color w:val="000000"/>
              </w:rPr>
              <w:t>Indicator name</w:t>
            </w:r>
          </w:p>
        </w:tc>
        <w:tc>
          <w:tcPr>
            <w:tcW w:w="7134" w:type="dxa"/>
          </w:tcPr>
          <w:p w:rsidR="00EA0535" w:rsidRPr="00EA0535" w:rsidRDefault="00CD2CF5" w:rsidP="00CD2CF5">
            <w:pPr>
              <w:rPr>
                <w:rFonts w:cs="Arial"/>
                <w:szCs w:val="24"/>
              </w:rPr>
            </w:pPr>
            <w:r>
              <w:rPr>
                <w:rFonts w:cs="Arial"/>
                <w:szCs w:val="24"/>
              </w:rPr>
              <w:t>Offering a</w:t>
            </w:r>
            <w:r w:rsidR="00EA0535" w:rsidRPr="00EA0535">
              <w:rPr>
                <w:rFonts w:cs="Arial"/>
                <w:szCs w:val="24"/>
              </w:rPr>
              <w:t>dvice and Guidance (A&amp;G)</w:t>
            </w:r>
          </w:p>
        </w:tc>
      </w:tr>
      <w:tr w:rsidR="00EA0535" w:rsidRPr="00EA0535" w:rsidTr="00415AC1">
        <w:trPr>
          <w:trHeight w:val="147"/>
        </w:trPr>
        <w:tc>
          <w:tcPr>
            <w:tcW w:w="2476" w:type="dxa"/>
          </w:tcPr>
          <w:p w:rsidR="00EA0535" w:rsidRPr="00415AC1" w:rsidRDefault="00EA0535" w:rsidP="00EA0535">
            <w:pPr>
              <w:rPr>
                <w:rFonts w:cs="Arial"/>
                <w:b/>
              </w:rPr>
            </w:pPr>
            <w:r w:rsidRPr="00415AC1">
              <w:rPr>
                <w:rFonts w:cs="Arial"/>
                <w:b/>
                <w:color w:val="000000"/>
              </w:rPr>
              <w:t xml:space="preserve">Indicator weighting </w:t>
            </w:r>
            <w:r w:rsidRPr="00415AC1">
              <w:rPr>
                <w:rFonts w:cs="Arial"/>
                <w:b/>
                <w:color w:val="000000"/>
              </w:rPr>
              <w:br/>
              <w:t>(% of CQUIN scheme available)</w:t>
            </w:r>
          </w:p>
        </w:tc>
        <w:tc>
          <w:tcPr>
            <w:tcW w:w="7134" w:type="dxa"/>
          </w:tcPr>
          <w:p w:rsidR="00EA0535" w:rsidRPr="00EA0535" w:rsidRDefault="00EA0535" w:rsidP="00EA0535">
            <w:pPr>
              <w:rPr>
                <w:rFonts w:cs="Arial"/>
                <w:bCs w:val="0"/>
                <w:color w:val="000000"/>
                <w:szCs w:val="24"/>
              </w:rPr>
            </w:pPr>
            <w:r w:rsidRPr="00EA0535">
              <w:rPr>
                <w:rFonts w:cs="Arial"/>
                <w:color w:val="000000"/>
                <w:szCs w:val="24"/>
              </w:rPr>
              <w:t>0.25%</w:t>
            </w:r>
          </w:p>
        </w:tc>
      </w:tr>
      <w:tr w:rsidR="00EA0535" w:rsidRPr="00EA0535" w:rsidTr="00415AC1">
        <w:trPr>
          <w:trHeight w:val="147"/>
        </w:trPr>
        <w:tc>
          <w:tcPr>
            <w:tcW w:w="2476" w:type="dxa"/>
          </w:tcPr>
          <w:p w:rsidR="00EA0535" w:rsidRPr="00415AC1" w:rsidRDefault="00EA0535" w:rsidP="00EA0535">
            <w:pPr>
              <w:rPr>
                <w:rFonts w:cs="Arial"/>
                <w:b/>
              </w:rPr>
            </w:pPr>
            <w:r w:rsidRPr="00415AC1">
              <w:rPr>
                <w:rFonts w:cs="Arial"/>
                <w:b/>
                <w:color w:val="000000"/>
              </w:rPr>
              <w:t>Description of indicator</w:t>
            </w:r>
          </w:p>
        </w:tc>
        <w:tc>
          <w:tcPr>
            <w:tcW w:w="7134" w:type="dxa"/>
          </w:tcPr>
          <w:p w:rsidR="00415AC1" w:rsidRPr="00415AC1" w:rsidRDefault="00415AC1" w:rsidP="00415AC1">
            <w:pPr>
              <w:rPr>
                <w:rFonts w:cs="Arial"/>
                <w:szCs w:val="24"/>
              </w:rPr>
            </w:pPr>
            <w:r w:rsidRPr="00415AC1">
              <w:rPr>
                <w:rFonts w:cs="Arial"/>
                <w:szCs w:val="24"/>
              </w:rPr>
              <w:t xml:space="preserve">The scheme requires providers to set up and operate A&amp;G services for non-urgent GP referrals, allowing GPs to access consultant advice prior to referring patients in to secondary care.  A&amp;G support should be provided either through the ERS platform or local solutions where systems agree this offers a better alternative.  </w:t>
            </w:r>
          </w:p>
          <w:p w:rsidR="00415AC1" w:rsidRPr="00415AC1" w:rsidRDefault="00415AC1" w:rsidP="00415AC1">
            <w:pPr>
              <w:rPr>
                <w:rFonts w:cs="Arial"/>
                <w:szCs w:val="24"/>
              </w:rPr>
            </w:pPr>
          </w:p>
          <w:p w:rsidR="00415AC1" w:rsidRPr="00415AC1" w:rsidRDefault="00415AC1" w:rsidP="00415AC1">
            <w:pPr>
              <w:rPr>
                <w:rFonts w:cs="Arial"/>
                <w:szCs w:val="24"/>
              </w:rPr>
            </w:pPr>
            <w:r w:rsidRPr="00415AC1">
              <w:rPr>
                <w:rFonts w:cs="Arial"/>
                <w:szCs w:val="24"/>
              </w:rPr>
              <w:t>A&amp;G in the context of this CQUIN refers to structured, non-urgent, electronic A&amp;G provided via telephone, email, or an online system.  CCGs may agree with trusts how the local programme of A&amp;G will operate, and the definition of an A&amp;G response may include:</w:t>
            </w:r>
          </w:p>
          <w:p w:rsidR="00415AC1" w:rsidRPr="00415AC1" w:rsidRDefault="00415AC1" w:rsidP="00DF18AB">
            <w:pPr>
              <w:pStyle w:val="ListParagraph"/>
              <w:numPr>
                <w:ilvl w:val="0"/>
                <w:numId w:val="90"/>
              </w:numPr>
              <w:rPr>
                <w:rFonts w:cs="Arial"/>
                <w:szCs w:val="24"/>
              </w:rPr>
            </w:pPr>
            <w:r w:rsidRPr="00415AC1">
              <w:rPr>
                <w:rFonts w:cs="Arial"/>
                <w:szCs w:val="24"/>
              </w:rPr>
              <w:t>Virtual review of test results (e.g. ECG, bloods) and advice on next steps required</w:t>
            </w:r>
          </w:p>
          <w:p w:rsidR="00415AC1" w:rsidRPr="00415AC1" w:rsidRDefault="00415AC1" w:rsidP="00DF18AB">
            <w:pPr>
              <w:pStyle w:val="ListParagraph"/>
              <w:numPr>
                <w:ilvl w:val="0"/>
                <w:numId w:val="90"/>
              </w:numPr>
              <w:rPr>
                <w:rFonts w:cs="Arial"/>
                <w:szCs w:val="24"/>
              </w:rPr>
            </w:pPr>
            <w:r w:rsidRPr="00415AC1">
              <w:rPr>
                <w:rFonts w:cs="Arial"/>
                <w:szCs w:val="24"/>
              </w:rPr>
              <w:t>Supply of a suggested treatment or management plan to the GP (which may include carrying out further investigations in primary care)</w:t>
            </w:r>
          </w:p>
          <w:p w:rsidR="00415AC1" w:rsidRPr="00415AC1" w:rsidRDefault="00415AC1" w:rsidP="00DF18AB">
            <w:pPr>
              <w:pStyle w:val="ListParagraph"/>
              <w:numPr>
                <w:ilvl w:val="0"/>
                <w:numId w:val="90"/>
              </w:numPr>
              <w:rPr>
                <w:rFonts w:cs="Arial"/>
                <w:szCs w:val="24"/>
              </w:rPr>
            </w:pPr>
            <w:r w:rsidRPr="00415AC1">
              <w:rPr>
                <w:rFonts w:cs="Arial"/>
                <w:szCs w:val="24"/>
              </w:rPr>
              <w:t>Direct booking of diagnostic test (e.g. endoscopy)</w:t>
            </w:r>
          </w:p>
          <w:p w:rsidR="00415AC1" w:rsidRPr="00415AC1" w:rsidRDefault="00415AC1" w:rsidP="00DF18AB">
            <w:pPr>
              <w:pStyle w:val="ListParagraph"/>
              <w:numPr>
                <w:ilvl w:val="0"/>
                <w:numId w:val="90"/>
              </w:numPr>
              <w:rPr>
                <w:rFonts w:cs="Arial"/>
                <w:szCs w:val="24"/>
              </w:rPr>
            </w:pPr>
            <w:r w:rsidRPr="00415AC1">
              <w:rPr>
                <w:rFonts w:cs="Arial"/>
                <w:szCs w:val="24"/>
              </w:rPr>
              <w:t>Direct booking of intervention, where indicated</w:t>
            </w:r>
          </w:p>
          <w:p w:rsidR="00415AC1" w:rsidRPr="00415AC1" w:rsidRDefault="00415AC1" w:rsidP="00DF18AB">
            <w:pPr>
              <w:pStyle w:val="ListParagraph"/>
              <w:numPr>
                <w:ilvl w:val="0"/>
                <w:numId w:val="90"/>
              </w:numPr>
              <w:rPr>
                <w:rFonts w:cs="Arial"/>
                <w:szCs w:val="24"/>
              </w:rPr>
            </w:pPr>
            <w:r w:rsidRPr="00415AC1">
              <w:rPr>
                <w:rFonts w:cs="Arial"/>
                <w:szCs w:val="24"/>
              </w:rPr>
              <w:t>Advice on the appropriate clinic referral (reducing redirected appointments)</w:t>
            </w:r>
          </w:p>
          <w:p w:rsidR="00415AC1" w:rsidRPr="00415AC1" w:rsidRDefault="00415AC1" w:rsidP="00415AC1">
            <w:pPr>
              <w:rPr>
                <w:rFonts w:cs="Arial"/>
                <w:szCs w:val="24"/>
              </w:rPr>
            </w:pPr>
          </w:p>
          <w:p w:rsidR="00415AC1" w:rsidRPr="00415AC1" w:rsidRDefault="00415AC1" w:rsidP="00415AC1">
            <w:pPr>
              <w:rPr>
                <w:rFonts w:cs="Arial"/>
                <w:szCs w:val="24"/>
              </w:rPr>
            </w:pPr>
            <w:r w:rsidRPr="00415AC1">
              <w:rPr>
                <w:rFonts w:cs="Arial"/>
                <w:szCs w:val="24"/>
              </w:rPr>
              <w:t>Clinical responsibility will remain with the GP accessing the A&amp;G service, unless or until the patient is seen face to face in secondary care.</w:t>
            </w:r>
          </w:p>
          <w:p w:rsidR="00415AC1" w:rsidRPr="00415AC1" w:rsidRDefault="00415AC1" w:rsidP="00415AC1">
            <w:pPr>
              <w:rPr>
                <w:rFonts w:cs="Arial"/>
                <w:szCs w:val="24"/>
              </w:rPr>
            </w:pPr>
          </w:p>
          <w:p w:rsidR="00415AC1" w:rsidRPr="00415AC1" w:rsidRDefault="00415AC1" w:rsidP="00415AC1">
            <w:pPr>
              <w:rPr>
                <w:rFonts w:cs="Arial"/>
                <w:szCs w:val="24"/>
              </w:rPr>
            </w:pPr>
            <w:r w:rsidRPr="00415AC1">
              <w:rPr>
                <w:rFonts w:cs="Arial"/>
                <w:szCs w:val="24"/>
              </w:rPr>
              <w:t xml:space="preserve">In areas where A&amp;G services have been trialled to date, clinical haematology, diabetes and endocrinology, cardiology, gastroenterology and nephrology have been found to offer opportunity.  Based on treatment function code, these specialties accounted for 12.4% of GP referrals June 2015 – July 2016 (SUS, 1st OP attendances where source is GMP, GDP and </w:t>
            </w:r>
            <w:proofErr w:type="spellStart"/>
            <w:r w:rsidRPr="00415AC1">
              <w:rPr>
                <w:rFonts w:cs="Arial"/>
                <w:szCs w:val="24"/>
              </w:rPr>
              <w:t>GPwSI</w:t>
            </w:r>
            <w:proofErr w:type="spellEnd"/>
            <w:r w:rsidRPr="00415AC1">
              <w:rPr>
                <w:rFonts w:cs="Arial"/>
                <w:szCs w:val="24"/>
              </w:rPr>
              <w:t>, based on General and Acute).  In the same data, the following specialties accounted for 36.9% of all GP referrals:</w:t>
            </w:r>
          </w:p>
          <w:p w:rsidR="00415AC1" w:rsidRPr="00415AC1" w:rsidRDefault="00415AC1" w:rsidP="00DF18AB">
            <w:pPr>
              <w:pStyle w:val="ListParagraph"/>
              <w:numPr>
                <w:ilvl w:val="0"/>
                <w:numId w:val="89"/>
              </w:numPr>
              <w:rPr>
                <w:rFonts w:cs="Arial"/>
                <w:szCs w:val="24"/>
              </w:rPr>
            </w:pPr>
            <w:r w:rsidRPr="00415AC1">
              <w:rPr>
                <w:rFonts w:cs="Arial"/>
                <w:szCs w:val="24"/>
              </w:rPr>
              <w:t>Gynaecology (8%)</w:t>
            </w:r>
          </w:p>
          <w:p w:rsidR="00415AC1" w:rsidRPr="00415AC1" w:rsidRDefault="00415AC1" w:rsidP="00DF18AB">
            <w:pPr>
              <w:pStyle w:val="ListParagraph"/>
              <w:numPr>
                <w:ilvl w:val="0"/>
                <w:numId w:val="89"/>
              </w:numPr>
              <w:rPr>
                <w:rFonts w:cs="Arial"/>
                <w:szCs w:val="24"/>
              </w:rPr>
            </w:pPr>
            <w:r w:rsidRPr="00415AC1">
              <w:rPr>
                <w:rFonts w:cs="Arial"/>
                <w:szCs w:val="24"/>
              </w:rPr>
              <w:t>Trauma and orthopaedics (7.7%)</w:t>
            </w:r>
          </w:p>
          <w:p w:rsidR="00415AC1" w:rsidRPr="00415AC1" w:rsidRDefault="00415AC1" w:rsidP="00DF18AB">
            <w:pPr>
              <w:pStyle w:val="ListParagraph"/>
              <w:numPr>
                <w:ilvl w:val="0"/>
                <w:numId w:val="89"/>
              </w:numPr>
              <w:rPr>
                <w:rFonts w:cs="Arial"/>
                <w:szCs w:val="24"/>
              </w:rPr>
            </w:pPr>
            <w:r w:rsidRPr="00415AC1">
              <w:rPr>
                <w:rFonts w:cs="Arial"/>
                <w:szCs w:val="24"/>
              </w:rPr>
              <w:t>ENT (7.4%)</w:t>
            </w:r>
          </w:p>
          <w:p w:rsidR="00415AC1" w:rsidRPr="00415AC1" w:rsidRDefault="00415AC1" w:rsidP="00DF18AB">
            <w:pPr>
              <w:pStyle w:val="ListParagraph"/>
              <w:numPr>
                <w:ilvl w:val="0"/>
                <w:numId w:val="89"/>
              </w:numPr>
              <w:rPr>
                <w:rFonts w:cs="Arial"/>
                <w:szCs w:val="24"/>
              </w:rPr>
            </w:pPr>
            <w:r w:rsidRPr="00415AC1">
              <w:rPr>
                <w:rFonts w:cs="Arial"/>
                <w:szCs w:val="24"/>
              </w:rPr>
              <w:t>Dermatology (7.3%)</w:t>
            </w:r>
          </w:p>
          <w:p w:rsidR="00415AC1" w:rsidRPr="00415AC1" w:rsidRDefault="00415AC1" w:rsidP="00DF18AB">
            <w:pPr>
              <w:pStyle w:val="ListParagraph"/>
              <w:numPr>
                <w:ilvl w:val="0"/>
                <w:numId w:val="89"/>
              </w:numPr>
              <w:rPr>
                <w:rFonts w:cs="Arial"/>
                <w:szCs w:val="24"/>
              </w:rPr>
            </w:pPr>
            <w:r w:rsidRPr="00415AC1">
              <w:rPr>
                <w:rFonts w:cs="Arial"/>
                <w:szCs w:val="24"/>
              </w:rPr>
              <w:t>Ophthalmology (6.4%)</w:t>
            </w:r>
          </w:p>
          <w:p w:rsidR="00EA0535" w:rsidRPr="00EA0535" w:rsidRDefault="00415AC1" w:rsidP="00EA0535">
            <w:pPr>
              <w:rPr>
                <w:rFonts w:cs="Arial"/>
                <w:szCs w:val="24"/>
              </w:rPr>
            </w:pPr>
            <w:r w:rsidRPr="00415AC1">
              <w:rPr>
                <w:rFonts w:cs="Arial"/>
                <w:szCs w:val="24"/>
              </w:rPr>
              <w:t>A guide will be produced in support of the scheme which sets out the practical steps involved in setting up an A&amp;G service.</w:t>
            </w:r>
          </w:p>
        </w:tc>
      </w:tr>
      <w:tr w:rsidR="00EA0535" w:rsidRPr="00EA0535" w:rsidTr="00415AC1">
        <w:trPr>
          <w:trHeight w:val="522"/>
        </w:trPr>
        <w:tc>
          <w:tcPr>
            <w:tcW w:w="2476" w:type="dxa"/>
          </w:tcPr>
          <w:p w:rsidR="00EA0535" w:rsidRPr="00415AC1" w:rsidRDefault="00EA0535" w:rsidP="00EA0535">
            <w:pPr>
              <w:rPr>
                <w:rFonts w:cs="Arial"/>
                <w:b/>
              </w:rPr>
            </w:pPr>
            <w:r w:rsidRPr="00415AC1">
              <w:rPr>
                <w:rFonts w:cs="Arial"/>
                <w:b/>
                <w:color w:val="000000"/>
              </w:rPr>
              <w:lastRenderedPageBreak/>
              <w:t>Numerator</w:t>
            </w:r>
          </w:p>
        </w:tc>
        <w:tc>
          <w:tcPr>
            <w:tcW w:w="7134" w:type="dxa"/>
          </w:tcPr>
          <w:p w:rsidR="00EA0535" w:rsidRPr="00EA0535" w:rsidRDefault="00EA0535" w:rsidP="00EA0535">
            <w:pPr>
              <w:keepNext/>
              <w:contextualSpacing/>
              <w:rPr>
                <w:rFonts w:cs="Arial"/>
                <w:szCs w:val="24"/>
              </w:rPr>
            </w:pPr>
            <w:r w:rsidRPr="00EA0535">
              <w:rPr>
                <w:rFonts w:cs="Arial"/>
                <w:szCs w:val="24"/>
              </w:rPr>
              <w:t>A&amp;G coverage: Number of GP referrals to elective outpatient specialties which provide A&amp;G.</w:t>
            </w:r>
          </w:p>
        </w:tc>
      </w:tr>
      <w:tr w:rsidR="00EA0535" w:rsidRPr="00EA0535" w:rsidTr="00415AC1">
        <w:trPr>
          <w:trHeight w:val="440"/>
        </w:trPr>
        <w:tc>
          <w:tcPr>
            <w:tcW w:w="2476" w:type="dxa"/>
          </w:tcPr>
          <w:p w:rsidR="00EA0535" w:rsidRPr="00415AC1" w:rsidRDefault="00EA0535" w:rsidP="00EA0535">
            <w:pPr>
              <w:rPr>
                <w:rFonts w:cs="Arial"/>
                <w:b/>
              </w:rPr>
            </w:pPr>
            <w:r w:rsidRPr="00415AC1">
              <w:rPr>
                <w:rFonts w:cs="Arial"/>
                <w:b/>
                <w:color w:val="000000"/>
              </w:rPr>
              <w:t>Denominator</w:t>
            </w:r>
          </w:p>
        </w:tc>
        <w:tc>
          <w:tcPr>
            <w:tcW w:w="7134" w:type="dxa"/>
          </w:tcPr>
          <w:p w:rsidR="00EA0535" w:rsidRPr="00EA0535" w:rsidRDefault="00EA0535" w:rsidP="00EA0535">
            <w:pPr>
              <w:keepNext/>
              <w:contextualSpacing/>
              <w:rPr>
                <w:rFonts w:cs="Arial"/>
                <w:szCs w:val="24"/>
              </w:rPr>
            </w:pPr>
            <w:r w:rsidRPr="00EA0535">
              <w:rPr>
                <w:rFonts w:cs="Arial"/>
                <w:szCs w:val="24"/>
              </w:rPr>
              <w:t>Total number of GP referrals to elective outpatient services.</w:t>
            </w:r>
          </w:p>
        </w:tc>
      </w:tr>
      <w:tr w:rsidR="00EA0535" w:rsidRPr="00EA0535" w:rsidTr="00415AC1">
        <w:trPr>
          <w:trHeight w:val="147"/>
        </w:trPr>
        <w:tc>
          <w:tcPr>
            <w:tcW w:w="2476" w:type="dxa"/>
          </w:tcPr>
          <w:p w:rsidR="00EA0535" w:rsidRPr="00415AC1" w:rsidRDefault="00EA0535" w:rsidP="00EA0535">
            <w:pPr>
              <w:rPr>
                <w:rFonts w:cs="Arial"/>
                <w:b/>
              </w:rPr>
            </w:pPr>
            <w:r w:rsidRPr="00415AC1">
              <w:rPr>
                <w:rFonts w:cs="Arial"/>
                <w:b/>
                <w:color w:val="000000"/>
              </w:rPr>
              <w:t>Rationale for inclusion</w:t>
            </w:r>
          </w:p>
        </w:tc>
        <w:tc>
          <w:tcPr>
            <w:tcW w:w="7134" w:type="dxa"/>
          </w:tcPr>
          <w:p w:rsidR="00415AC1" w:rsidRPr="00222A24" w:rsidRDefault="00415AC1" w:rsidP="00415AC1">
            <w:r w:rsidRPr="00222A24">
              <w:t xml:space="preserve">The </w:t>
            </w:r>
            <w:hyperlink r:id="rId34" w:history="1">
              <w:r w:rsidRPr="00222A24">
                <w:rPr>
                  <w:rStyle w:val="Hyperlink"/>
                  <w:rFonts w:cs="Arial"/>
                  <w:szCs w:val="24"/>
                </w:rPr>
                <w:t>GP Forward View</w:t>
              </w:r>
            </w:hyperlink>
            <w:r w:rsidRPr="00222A24">
              <w:t xml:space="preserve"> set out the need to improve GP access to consultant advice on potential referrals into secondary care.  This indicator draws on a number of case studies from around the country where A&amp;G has already begun to be implemented.</w:t>
            </w:r>
          </w:p>
          <w:p w:rsidR="00415AC1" w:rsidRPr="00222A24" w:rsidRDefault="00415AC1" w:rsidP="00415AC1">
            <w:r w:rsidRPr="00222A24">
              <w:t xml:space="preserve">In 2016 </w:t>
            </w:r>
            <w:proofErr w:type="spellStart"/>
            <w:r w:rsidRPr="00222A24">
              <w:t>Winpenny</w:t>
            </w:r>
            <w:proofErr w:type="spellEnd"/>
            <w:r w:rsidRPr="00222A24">
              <w:t xml:space="preserve"> et al</w:t>
            </w:r>
            <w:r w:rsidRPr="00222A24">
              <w:rPr>
                <w:rStyle w:val="FootnoteReference"/>
                <w:rFonts w:cs="Arial"/>
                <w:szCs w:val="24"/>
              </w:rPr>
              <w:footnoteReference w:id="17"/>
            </w:r>
            <w:r w:rsidRPr="00222A24">
              <w:t xml:space="preserve"> reviewed 183 studies published in the last 10 years on interventions in primary care aimed at improving the effectiveness and efficiency of outpatient services, including 8 studies on email or phone requests for specialist advice. They concluded that, </w:t>
            </w:r>
            <w:r w:rsidRPr="00222A24">
              <w:rPr>
                <w:i/>
              </w:rPr>
              <w:t>“there is substantial opportunity to reduce the number of patients who are seen in outpatient clinics”</w:t>
            </w:r>
            <w:r w:rsidRPr="00222A24">
              <w:t>. In a Spanish study evaluating virtual consultation services for endocrinology over the 3 year period 2008 – 2010 88% of virtual consultations (where the specialist reviewed the patient’s clinical history without the patient attending) were resolved without requiring a hospital visit alongside a reduction in inappropriate referrals from 25% to 10% after introduction of the virtual consultation system.</w:t>
            </w:r>
            <w:r w:rsidRPr="00222A24">
              <w:rPr>
                <w:rStyle w:val="FootnoteReference"/>
                <w:rFonts w:cs="Arial"/>
                <w:szCs w:val="24"/>
              </w:rPr>
              <w:footnoteReference w:id="18"/>
            </w:r>
            <w:r w:rsidRPr="00222A24">
              <w:t xml:space="preserve"> An email GP advisory service staffed by Endocrine / Diabetes Specialist Registrars as part of their training commitment found that a formal referral was only suggested in response to 10% of enquiries (although did not draw conclusions about whether the email service ultimately reduced referrals to outpatient clinics.</w:t>
            </w:r>
            <w:r w:rsidRPr="00222A24">
              <w:rPr>
                <w:rStyle w:val="FootnoteReference"/>
                <w:rFonts w:cs="Arial"/>
                <w:szCs w:val="24"/>
              </w:rPr>
              <w:footnoteReference w:id="19"/>
            </w:r>
            <w:r>
              <w:t>)</w:t>
            </w:r>
          </w:p>
          <w:p w:rsidR="00415AC1" w:rsidRPr="00222A24" w:rsidRDefault="00415AC1" w:rsidP="00415AC1">
            <w:pPr>
              <w:rPr>
                <w:rFonts w:cs="Arial"/>
                <w:szCs w:val="24"/>
              </w:rPr>
            </w:pPr>
          </w:p>
          <w:p w:rsidR="00415AC1" w:rsidRPr="00222A24" w:rsidRDefault="00415AC1" w:rsidP="00415AC1">
            <w:pPr>
              <w:rPr>
                <w:rFonts w:cs="Arial"/>
                <w:szCs w:val="24"/>
              </w:rPr>
            </w:pPr>
            <w:r w:rsidRPr="00415AC1">
              <w:t>The design of this CQUIN draws on learning from local areas around the country where A&amp;G services have already been set up.  The early outcomes do not yet constitute a robust evidence base on referrals and activity avoided, so have not been generalised into expectations for the wider system, but they do show encouraging early signs</w:t>
            </w:r>
            <w:r w:rsidRPr="00222A24">
              <w:rPr>
                <w:rFonts w:cs="Arial"/>
                <w:szCs w:val="24"/>
              </w:rPr>
              <w:t>.</w:t>
            </w:r>
          </w:p>
          <w:p w:rsidR="00415AC1" w:rsidRPr="00222A24" w:rsidRDefault="00415AC1" w:rsidP="00415AC1">
            <w:pPr>
              <w:rPr>
                <w:rFonts w:cs="Arial"/>
                <w:szCs w:val="24"/>
              </w:rPr>
            </w:pPr>
          </w:p>
          <w:p w:rsidR="00415AC1" w:rsidRPr="00222A24" w:rsidRDefault="00415AC1" w:rsidP="00415AC1">
            <w:pPr>
              <w:rPr>
                <w:rFonts w:cs="Arial"/>
                <w:szCs w:val="24"/>
              </w:rPr>
            </w:pPr>
            <w:r w:rsidRPr="00222A24">
              <w:rPr>
                <w:rFonts w:cs="Arial"/>
                <w:szCs w:val="24"/>
              </w:rPr>
              <w:t>Asynchronous A&amp;G via ERS or an alternative IT system:</w:t>
            </w:r>
          </w:p>
          <w:p w:rsidR="00415AC1" w:rsidRPr="005D0583" w:rsidRDefault="00415AC1" w:rsidP="003B5A25">
            <w:pPr>
              <w:pStyle w:val="ListParagraph"/>
              <w:numPr>
                <w:ilvl w:val="0"/>
                <w:numId w:val="10"/>
              </w:numPr>
              <w:rPr>
                <w:rFonts w:cs="Arial"/>
                <w:b/>
                <w:szCs w:val="24"/>
              </w:rPr>
            </w:pPr>
            <w:r w:rsidRPr="005D0583">
              <w:rPr>
                <w:rFonts w:cs="Arial"/>
                <w:szCs w:val="24"/>
              </w:rPr>
              <w:t>Leicester and Lincoln: Anecdotal reports that referrals have decreased but no figures to demonstrate this yet.  In 2015, 432 A&amp;G requests were responded to, and 68 patients were subsequently referred into the same specialty.  No analysis has been done yet on A&amp;G requests that did not result in a referral.</w:t>
            </w:r>
          </w:p>
          <w:p w:rsidR="00415AC1" w:rsidRPr="00222A24" w:rsidRDefault="00415AC1" w:rsidP="003B5A25">
            <w:pPr>
              <w:pStyle w:val="ListParagraph"/>
              <w:numPr>
                <w:ilvl w:val="0"/>
                <w:numId w:val="11"/>
              </w:numPr>
              <w:rPr>
                <w:rFonts w:cs="Arial"/>
                <w:b/>
                <w:szCs w:val="24"/>
              </w:rPr>
            </w:pPr>
            <w:r w:rsidRPr="00222A24">
              <w:rPr>
                <w:rFonts w:cs="Arial"/>
                <w:szCs w:val="24"/>
              </w:rPr>
              <w:t xml:space="preserve">Sandwell and West Birmingham report approximately 25% “supported rejections” of endoscopy referrals </w:t>
            </w:r>
          </w:p>
          <w:p w:rsidR="00415AC1" w:rsidRPr="00222A24" w:rsidRDefault="00415AC1" w:rsidP="003B5A25">
            <w:pPr>
              <w:pStyle w:val="ListParagraph"/>
              <w:numPr>
                <w:ilvl w:val="0"/>
                <w:numId w:val="11"/>
              </w:numPr>
              <w:rPr>
                <w:rFonts w:cs="Arial"/>
                <w:b/>
                <w:szCs w:val="24"/>
              </w:rPr>
            </w:pPr>
            <w:r w:rsidRPr="00222A24">
              <w:rPr>
                <w:rFonts w:cs="Arial"/>
                <w:szCs w:val="24"/>
              </w:rPr>
              <w:lastRenderedPageBreak/>
              <w:t>Calderdale and Huddersfield: in 2015, 26% of A&amp;G queries were advised to refer in to secondary care</w:t>
            </w:r>
          </w:p>
          <w:p w:rsidR="00415AC1" w:rsidRDefault="00415AC1" w:rsidP="003B5A25">
            <w:pPr>
              <w:pStyle w:val="ListParagraph"/>
              <w:numPr>
                <w:ilvl w:val="0"/>
                <w:numId w:val="11"/>
              </w:numPr>
              <w:rPr>
                <w:rFonts w:cs="Arial"/>
                <w:szCs w:val="24"/>
              </w:rPr>
            </w:pPr>
            <w:r w:rsidRPr="00415AC1">
              <w:rPr>
                <w:rFonts w:cs="Arial"/>
                <w:szCs w:val="24"/>
              </w:rPr>
              <w:t>Morecambe Bay: Evaluated the usage of bespoke A&amp;G system for the period from 10 May 2013 to 31 January 2014:</w:t>
            </w:r>
          </w:p>
          <w:p w:rsidR="00415AC1" w:rsidRPr="00415AC1" w:rsidRDefault="00415AC1" w:rsidP="003B5A25">
            <w:pPr>
              <w:pStyle w:val="ListParagraph"/>
              <w:numPr>
                <w:ilvl w:val="1"/>
                <w:numId w:val="11"/>
              </w:numPr>
              <w:rPr>
                <w:rFonts w:cs="Arial"/>
                <w:szCs w:val="24"/>
              </w:rPr>
            </w:pPr>
            <w:r w:rsidRPr="00415AC1">
              <w:rPr>
                <w:rFonts w:cs="Arial"/>
                <w:szCs w:val="24"/>
              </w:rPr>
              <w:t>GPs reported a reduction of 70 patients who would have been directly referred to OP prior to A&amp;G (39% reduction)</w:t>
            </w:r>
          </w:p>
          <w:p w:rsidR="00415AC1" w:rsidRDefault="00415AC1" w:rsidP="003B5A25">
            <w:pPr>
              <w:pStyle w:val="ListParagraph"/>
              <w:numPr>
                <w:ilvl w:val="0"/>
                <w:numId w:val="9"/>
              </w:numPr>
              <w:rPr>
                <w:rFonts w:cs="Arial"/>
                <w:szCs w:val="24"/>
              </w:rPr>
            </w:pPr>
            <w:proofErr w:type="spellStart"/>
            <w:r w:rsidRPr="00415AC1">
              <w:rPr>
                <w:rFonts w:cs="Arial"/>
                <w:szCs w:val="24"/>
              </w:rPr>
              <w:t>Wandsworth</w:t>
            </w:r>
            <w:proofErr w:type="spellEnd"/>
            <w:r w:rsidRPr="00415AC1">
              <w:rPr>
                <w:rFonts w:cs="Arial"/>
                <w:szCs w:val="24"/>
              </w:rPr>
              <w:t xml:space="preserve"> CCG implemented “Kinesis” web-based software for asynchronous and synchronous advice in 2012:</w:t>
            </w:r>
          </w:p>
          <w:p w:rsidR="00415AC1" w:rsidRPr="00415AC1" w:rsidRDefault="00415AC1" w:rsidP="003B5A25">
            <w:pPr>
              <w:pStyle w:val="ListParagraph"/>
              <w:numPr>
                <w:ilvl w:val="1"/>
                <w:numId w:val="11"/>
              </w:numPr>
              <w:rPr>
                <w:rFonts w:cs="Arial"/>
                <w:szCs w:val="24"/>
              </w:rPr>
            </w:pPr>
            <w:r w:rsidRPr="00415AC1">
              <w:rPr>
                <w:rFonts w:cs="Arial"/>
                <w:szCs w:val="24"/>
              </w:rPr>
              <w:t xml:space="preserve">74% of queries are answered within 48 hours. </w:t>
            </w:r>
          </w:p>
          <w:p w:rsidR="00415AC1" w:rsidRPr="00222A24" w:rsidRDefault="00415AC1" w:rsidP="003B5A25">
            <w:pPr>
              <w:pStyle w:val="ListParagraph"/>
              <w:numPr>
                <w:ilvl w:val="1"/>
                <w:numId w:val="11"/>
              </w:numPr>
              <w:rPr>
                <w:rFonts w:cs="Arial"/>
                <w:szCs w:val="24"/>
              </w:rPr>
            </w:pPr>
            <w:r w:rsidRPr="00222A24">
              <w:rPr>
                <w:rFonts w:cs="Arial"/>
                <w:szCs w:val="24"/>
              </w:rPr>
              <w:t xml:space="preserve">In 2015/16 </w:t>
            </w:r>
            <w:proofErr w:type="spellStart"/>
            <w:r w:rsidRPr="00222A24">
              <w:rPr>
                <w:rFonts w:cs="Arial"/>
                <w:szCs w:val="24"/>
              </w:rPr>
              <w:t>Wandsworth</w:t>
            </w:r>
            <w:proofErr w:type="spellEnd"/>
            <w:r w:rsidRPr="00222A24">
              <w:rPr>
                <w:rFonts w:cs="Arial"/>
                <w:szCs w:val="24"/>
              </w:rPr>
              <w:t xml:space="preserve"> GPs sent 3993 requests via Kinesis, 48% of which did not lead to a referral</w:t>
            </w:r>
          </w:p>
          <w:p w:rsidR="00415AC1" w:rsidRPr="00222A24" w:rsidRDefault="00415AC1" w:rsidP="00415AC1">
            <w:pPr>
              <w:rPr>
                <w:rFonts w:cs="Arial"/>
                <w:szCs w:val="24"/>
              </w:rPr>
            </w:pPr>
          </w:p>
          <w:p w:rsidR="00415AC1" w:rsidRPr="00222A24" w:rsidRDefault="00415AC1" w:rsidP="003B5A25">
            <w:pPr>
              <w:rPr>
                <w:rFonts w:cs="Arial"/>
                <w:szCs w:val="24"/>
              </w:rPr>
            </w:pPr>
            <w:r w:rsidRPr="00222A24">
              <w:rPr>
                <w:rFonts w:cs="Arial"/>
                <w:szCs w:val="24"/>
              </w:rPr>
              <w:t>Synchronous A&amp;G via a telephony system:</w:t>
            </w:r>
          </w:p>
          <w:p w:rsidR="00415AC1" w:rsidRPr="00222A24" w:rsidRDefault="00415AC1" w:rsidP="003B5A25">
            <w:pPr>
              <w:pStyle w:val="ListParagraph"/>
              <w:numPr>
                <w:ilvl w:val="0"/>
                <w:numId w:val="10"/>
              </w:numPr>
              <w:rPr>
                <w:rFonts w:cs="Arial"/>
                <w:szCs w:val="24"/>
              </w:rPr>
            </w:pPr>
            <w:r w:rsidRPr="00222A24">
              <w:rPr>
                <w:rFonts w:cs="Arial"/>
                <w:szCs w:val="24"/>
              </w:rPr>
              <w:t>Stockport: Use of the Consultant Connect system for immediate advice from consultants over the telephone.  Over the period 22/2/15 – 15/4/16:</w:t>
            </w:r>
          </w:p>
          <w:p w:rsidR="00415AC1" w:rsidRPr="00222A24" w:rsidRDefault="00415AC1" w:rsidP="003B5A25">
            <w:pPr>
              <w:pStyle w:val="ListParagraph"/>
              <w:numPr>
                <w:ilvl w:val="1"/>
                <w:numId w:val="11"/>
              </w:numPr>
              <w:rPr>
                <w:rFonts w:cs="Arial"/>
                <w:szCs w:val="24"/>
              </w:rPr>
            </w:pPr>
            <w:r w:rsidRPr="00222A24">
              <w:rPr>
                <w:rFonts w:cs="Arial"/>
                <w:szCs w:val="24"/>
              </w:rPr>
              <w:t>Call connection rate – 76% (and increasing)</w:t>
            </w:r>
          </w:p>
          <w:p w:rsidR="00415AC1" w:rsidRPr="00222A24" w:rsidRDefault="00415AC1" w:rsidP="003B5A25">
            <w:pPr>
              <w:pStyle w:val="ListParagraph"/>
              <w:numPr>
                <w:ilvl w:val="1"/>
                <w:numId w:val="11"/>
              </w:numPr>
              <w:rPr>
                <w:rFonts w:cs="Arial"/>
                <w:szCs w:val="24"/>
              </w:rPr>
            </w:pPr>
            <w:r w:rsidRPr="00222A24">
              <w:rPr>
                <w:rFonts w:cs="Arial"/>
                <w:szCs w:val="24"/>
              </w:rPr>
              <w:t>Average call answering time – 40 seconds</w:t>
            </w:r>
          </w:p>
          <w:p w:rsidR="00415AC1" w:rsidRPr="00222A24" w:rsidRDefault="00415AC1" w:rsidP="003B5A25">
            <w:pPr>
              <w:pStyle w:val="ListParagraph"/>
              <w:numPr>
                <w:ilvl w:val="1"/>
                <w:numId w:val="11"/>
              </w:numPr>
              <w:rPr>
                <w:rFonts w:cs="Arial"/>
                <w:szCs w:val="24"/>
              </w:rPr>
            </w:pPr>
            <w:r w:rsidRPr="00222A24">
              <w:rPr>
                <w:rFonts w:cs="Arial"/>
                <w:szCs w:val="24"/>
              </w:rPr>
              <w:t>Average call duration – 3 minutes 44 seconds</w:t>
            </w:r>
          </w:p>
          <w:p w:rsidR="00EA0535" w:rsidRPr="00415AC1" w:rsidRDefault="00415AC1" w:rsidP="003B5A25">
            <w:pPr>
              <w:pStyle w:val="ListParagraph"/>
              <w:numPr>
                <w:ilvl w:val="1"/>
                <w:numId w:val="11"/>
              </w:numPr>
              <w:rPr>
                <w:rFonts w:cs="Arial"/>
                <w:szCs w:val="24"/>
              </w:rPr>
            </w:pPr>
            <w:r w:rsidRPr="00222A24">
              <w:rPr>
                <w:rFonts w:cs="Arial"/>
                <w:szCs w:val="24"/>
              </w:rPr>
              <w:t>Percentage of calls avoiding a hospital outpatient appointment 59% (70% if the request for purely diagnostics is included.)</w:t>
            </w:r>
          </w:p>
        </w:tc>
      </w:tr>
      <w:tr w:rsidR="00EA0535" w:rsidRPr="00EA0535" w:rsidTr="00415AC1">
        <w:trPr>
          <w:trHeight w:val="147"/>
        </w:trPr>
        <w:tc>
          <w:tcPr>
            <w:tcW w:w="2476" w:type="dxa"/>
          </w:tcPr>
          <w:p w:rsidR="00EA0535" w:rsidRPr="00415AC1" w:rsidRDefault="00EA0535" w:rsidP="00EA0535">
            <w:pPr>
              <w:rPr>
                <w:rFonts w:cs="Arial"/>
                <w:b/>
              </w:rPr>
            </w:pPr>
            <w:r w:rsidRPr="00415AC1">
              <w:rPr>
                <w:rFonts w:cs="Arial"/>
                <w:b/>
                <w:color w:val="000000"/>
              </w:rPr>
              <w:lastRenderedPageBreak/>
              <w:t>Data source</w:t>
            </w:r>
          </w:p>
        </w:tc>
        <w:tc>
          <w:tcPr>
            <w:tcW w:w="7134" w:type="dxa"/>
          </w:tcPr>
          <w:p w:rsidR="00415AC1" w:rsidRDefault="00415AC1" w:rsidP="00415AC1">
            <w:r>
              <w:t xml:space="preserve">For the purposes of the main indicator denominator, referral data is already captured in the Monthly Activity Return (MAR).  For the numerator, providers will need to report on which specialties are covered by A&amp;G services (this is not already collected) and this will be linked to MAR data to quantify performance. </w:t>
            </w:r>
          </w:p>
          <w:p w:rsidR="00415AC1" w:rsidRDefault="00415AC1" w:rsidP="00415AC1"/>
          <w:p w:rsidR="00EA0535" w:rsidRPr="00B87119" w:rsidRDefault="00415AC1" w:rsidP="00415AC1">
            <w:pPr>
              <w:rPr>
                <w:color w:val="FF0000"/>
              </w:rPr>
            </w:pPr>
            <w:r>
              <w:t xml:space="preserve">Demand on elective specialties covered by A&amp;G should be tracked locally to provide insight on the impact of the service.  </w:t>
            </w:r>
          </w:p>
        </w:tc>
      </w:tr>
      <w:tr w:rsidR="00EA0535" w:rsidRPr="00EA0535" w:rsidTr="00415AC1">
        <w:trPr>
          <w:trHeight w:val="428"/>
        </w:trPr>
        <w:tc>
          <w:tcPr>
            <w:tcW w:w="2476" w:type="dxa"/>
          </w:tcPr>
          <w:p w:rsidR="00EA0535" w:rsidRPr="00415AC1" w:rsidRDefault="00EA0535" w:rsidP="00EA0535">
            <w:pPr>
              <w:rPr>
                <w:rFonts w:cs="Arial"/>
                <w:b/>
              </w:rPr>
            </w:pPr>
            <w:r w:rsidRPr="00415AC1">
              <w:rPr>
                <w:rFonts w:cs="Arial"/>
                <w:b/>
                <w:color w:val="000000"/>
              </w:rPr>
              <w:t>Frequency of data collection</w:t>
            </w:r>
          </w:p>
        </w:tc>
        <w:tc>
          <w:tcPr>
            <w:tcW w:w="7134" w:type="dxa"/>
          </w:tcPr>
          <w:p w:rsidR="00EA0535" w:rsidRPr="00EA0535" w:rsidRDefault="00EA0535" w:rsidP="00B87119">
            <w:pPr>
              <w:rPr>
                <w:rFonts w:cs="Arial"/>
                <w:szCs w:val="24"/>
              </w:rPr>
            </w:pPr>
            <w:r w:rsidRPr="00EA0535">
              <w:rPr>
                <w:rFonts w:cs="Arial"/>
                <w:szCs w:val="24"/>
              </w:rPr>
              <w:t xml:space="preserve">Quarterly. </w:t>
            </w:r>
          </w:p>
        </w:tc>
      </w:tr>
      <w:tr w:rsidR="00EA0535" w:rsidRPr="00EA0535" w:rsidTr="00415AC1">
        <w:trPr>
          <w:trHeight w:val="710"/>
        </w:trPr>
        <w:tc>
          <w:tcPr>
            <w:tcW w:w="2476" w:type="dxa"/>
          </w:tcPr>
          <w:p w:rsidR="00EA0535" w:rsidRPr="00415AC1" w:rsidRDefault="00EA0535" w:rsidP="00EA0535">
            <w:pPr>
              <w:rPr>
                <w:rFonts w:cs="Arial"/>
                <w:b/>
              </w:rPr>
            </w:pPr>
            <w:r w:rsidRPr="00415AC1">
              <w:rPr>
                <w:rFonts w:cs="Arial"/>
                <w:b/>
                <w:color w:val="000000"/>
              </w:rPr>
              <w:t>Organisation responsible for data collection</w:t>
            </w:r>
          </w:p>
        </w:tc>
        <w:tc>
          <w:tcPr>
            <w:tcW w:w="7134" w:type="dxa"/>
          </w:tcPr>
          <w:p w:rsidR="00EA0535" w:rsidRPr="00EA0535" w:rsidRDefault="00EA0535" w:rsidP="002378B0">
            <w:r w:rsidRPr="00EA0535">
              <w:t xml:space="preserve">The numerator and denominator will be collected at Provider level.  </w:t>
            </w:r>
          </w:p>
        </w:tc>
      </w:tr>
      <w:tr w:rsidR="00EA0535" w:rsidRPr="00EA0535" w:rsidTr="00415AC1">
        <w:trPr>
          <w:trHeight w:val="1140"/>
        </w:trPr>
        <w:tc>
          <w:tcPr>
            <w:tcW w:w="2476" w:type="dxa"/>
          </w:tcPr>
          <w:p w:rsidR="00EA0535" w:rsidRPr="00415AC1" w:rsidRDefault="00EA0535" w:rsidP="00EA0535">
            <w:pPr>
              <w:rPr>
                <w:rFonts w:cs="Arial"/>
                <w:b/>
              </w:rPr>
            </w:pPr>
            <w:r w:rsidRPr="00415AC1">
              <w:rPr>
                <w:rFonts w:cs="Arial"/>
                <w:b/>
                <w:color w:val="000000"/>
              </w:rPr>
              <w:t>Frequency of reporting to commissioner</w:t>
            </w:r>
          </w:p>
        </w:tc>
        <w:tc>
          <w:tcPr>
            <w:tcW w:w="7134" w:type="dxa"/>
          </w:tcPr>
          <w:p w:rsidR="00EA0535" w:rsidRPr="00EA0535" w:rsidRDefault="002378B0" w:rsidP="002378B0">
            <w:r w:rsidRPr="002378B0">
              <w:t>The provider will meet with Commissioners at least quarterly, initially to review the implementation of the A&amp;G service and then to monitor impact through the main indicator.  Providers of all levels participating in the scheme will have an incentive to earn the reward and improve, as the target is expressed as a proportion of local referral volumes.</w:t>
            </w:r>
          </w:p>
        </w:tc>
      </w:tr>
      <w:tr w:rsidR="00EA0535" w:rsidRPr="00EA0535" w:rsidTr="003B5A25">
        <w:trPr>
          <w:trHeight w:val="272"/>
        </w:trPr>
        <w:tc>
          <w:tcPr>
            <w:tcW w:w="2476" w:type="dxa"/>
          </w:tcPr>
          <w:p w:rsidR="00EA0535" w:rsidRPr="00415AC1" w:rsidRDefault="00EA0535" w:rsidP="00EA0535">
            <w:pPr>
              <w:rPr>
                <w:rFonts w:cs="Arial"/>
                <w:b/>
              </w:rPr>
            </w:pPr>
            <w:r w:rsidRPr="00415AC1">
              <w:rPr>
                <w:rFonts w:cs="Arial"/>
                <w:b/>
                <w:color w:val="000000"/>
              </w:rPr>
              <w:t>Baseline period/date</w:t>
            </w:r>
          </w:p>
        </w:tc>
        <w:tc>
          <w:tcPr>
            <w:tcW w:w="7134" w:type="dxa"/>
          </w:tcPr>
          <w:p w:rsidR="00EA0535" w:rsidRPr="00EA0535" w:rsidRDefault="00EA0535" w:rsidP="00EA0535">
            <w:pPr>
              <w:rPr>
                <w:rFonts w:cs="Arial"/>
                <w:szCs w:val="24"/>
              </w:rPr>
            </w:pPr>
            <w:r w:rsidRPr="00EA0535">
              <w:rPr>
                <w:rFonts w:cs="Arial"/>
                <w:szCs w:val="24"/>
              </w:rPr>
              <w:t>The target for the main indicator is not relative to a baseline but Q1 2017/18 will provide a picture of A&amp;G coverage prior to CQUIN mobilisation.</w:t>
            </w:r>
          </w:p>
        </w:tc>
      </w:tr>
      <w:tr w:rsidR="00EA0535" w:rsidRPr="00EA0535" w:rsidTr="00415AC1">
        <w:trPr>
          <w:trHeight w:val="408"/>
        </w:trPr>
        <w:tc>
          <w:tcPr>
            <w:tcW w:w="2476" w:type="dxa"/>
          </w:tcPr>
          <w:p w:rsidR="00EA0535" w:rsidRPr="00415AC1" w:rsidRDefault="00EA0535" w:rsidP="00EA0535">
            <w:pPr>
              <w:rPr>
                <w:rFonts w:cs="Arial"/>
                <w:b/>
              </w:rPr>
            </w:pPr>
            <w:r w:rsidRPr="00415AC1">
              <w:rPr>
                <w:rFonts w:cs="Arial"/>
                <w:b/>
                <w:color w:val="000000"/>
              </w:rPr>
              <w:lastRenderedPageBreak/>
              <w:t>Baseline value</w:t>
            </w:r>
          </w:p>
        </w:tc>
        <w:tc>
          <w:tcPr>
            <w:tcW w:w="7134" w:type="dxa"/>
          </w:tcPr>
          <w:p w:rsidR="00EA0535" w:rsidRPr="00EA0535" w:rsidRDefault="00EA0535" w:rsidP="00EA0535">
            <w:pPr>
              <w:keepNext/>
              <w:contextualSpacing/>
              <w:rPr>
                <w:rFonts w:cs="Arial"/>
                <w:szCs w:val="24"/>
              </w:rPr>
            </w:pPr>
            <w:r w:rsidRPr="00EA0535">
              <w:rPr>
                <w:rFonts w:cs="Arial"/>
                <w:szCs w:val="24"/>
              </w:rPr>
              <w:t>Proportion of GP referrals made to elective outpatient specialties which provide access to A&amp;G services.</w:t>
            </w:r>
          </w:p>
        </w:tc>
      </w:tr>
      <w:tr w:rsidR="00EA0535" w:rsidRPr="00EA0535" w:rsidTr="00415AC1">
        <w:trPr>
          <w:trHeight w:val="147"/>
        </w:trPr>
        <w:tc>
          <w:tcPr>
            <w:tcW w:w="2476" w:type="dxa"/>
          </w:tcPr>
          <w:p w:rsidR="00EA0535" w:rsidRPr="00415AC1" w:rsidRDefault="00EA0535" w:rsidP="00EA0535">
            <w:pPr>
              <w:rPr>
                <w:rFonts w:cs="Arial"/>
                <w:b/>
              </w:rPr>
            </w:pPr>
            <w:r w:rsidRPr="00415AC1">
              <w:rPr>
                <w:rFonts w:cs="Arial"/>
                <w:b/>
                <w:color w:val="000000"/>
              </w:rPr>
              <w:t>Final indicator period/date (on which payment is based)</w:t>
            </w:r>
          </w:p>
        </w:tc>
        <w:tc>
          <w:tcPr>
            <w:tcW w:w="7134" w:type="dxa"/>
          </w:tcPr>
          <w:p w:rsidR="00EA0535" w:rsidRPr="00EA0535" w:rsidRDefault="00EA0535" w:rsidP="00EA0535">
            <w:pPr>
              <w:rPr>
                <w:rFonts w:cs="Arial"/>
                <w:szCs w:val="24"/>
              </w:rPr>
            </w:pPr>
            <w:r w:rsidRPr="00EA0535">
              <w:rPr>
                <w:rFonts w:cs="Arial"/>
                <w:szCs w:val="24"/>
              </w:rPr>
              <w:t>Q4 2018/19</w:t>
            </w:r>
          </w:p>
        </w:tc>
      </w:tr>
      <w:tr w:rsidR="00EA0535" w:rsidRPr="00EA0535" w:rsidTr="00415AC1">
        <w:trPr>
          <w:trHeight w:val="147"/>
        </w:trPr>
        <w:tc>
          <w:tcPr>
            <w:tcW w:w="2476" w:type="dxa"/>
          </w:tcPr>
          <w:p w:rsidR="00EA0535" w:rsidRPr="00415AC1" w:rsidRDefault="00EA0535" w:rsidP="00EA0535">
            <w:pPr>
              <w:rPr>
                <w:rFonts w:cs="Arial"/>
                <w:b/>
              </w:rPr>
            </w:pPr>
            <w:r w:rsidRPr="00415AC1">
              <w:rPr>
                <w:rFonts w:cs="Arial"/>
                <w:b/>
                <w:color w:val="000000"/>
              </w:rPr>
              <w:t>Final indicator value (payment threshold)</w:t>
            </w:r>
          </w:p>
        </w:tc>
        <w:tc>
          <w:tcPr>
            <w:tcW w:w="7134" w:type="dxa"/>
          </w:tcPr>
          <w:p w:rsidR="00EA0535" w:rsidRPr="00EA0535" w:rsidRDefault="00EA0535" w:rsidP="00951A77">
            <w:r w:rsidRPr="00951A77">
              <w:t>75% of GP referrals are made to elective outpatient specialties which provide access to A&amp;G services.</w:t>
            </w:r>
          </w:p>
        </w:tc>
      </w:tr>
      <w:tr w:rsidR="00EA0535" w:rsidRPr="00EA0535" w:rsidTr="00415AC1">
        <w:trPr>
          <w:trHeight w:val="446"/>
        </w:trPr>
        <w:tc>
          <w:tcPr>
            <w:tcW w:w="2476" w:type="dxa"/>
          </w:tcPr>
          <w:p w:rsidR="00EA0535" w:rsidRPr="00415AC1" w:rsidRDefault="00EA0535" w:rsidP="00EA0535">
            <w:pPr>
              <w:rPr>
                <w:rFonts w:cs="Arial"/>
                <w:b/>
              </w:rPr>
            </w:pPr>
            <w:r w:rsidRPr="00415AC1">
              <w:rPr>
                <w:rFonts w:cs="Arial"/>
                <w:b/>
                <w:color w:val="000000"/>
              </w:rPr>
              <w:t>Final indicator reporting date</w:t>
            </w:r>
          </w:p>
        </w:tc>
        <w:tc>
          <w:tcPr>
            <w:tcW w:w="7134" w:type="dxa"/>
          </w:tcPr>
          <w:p w:rsidR="00EA0535" w:rsidRPr="00EA0535" w:rsidRDefault="00EA0535" w:rsidP="00EA0535">
            <w:pPr>
              <w:rPr>
                <w:rFonts w:cs="Arial"/>
                <w:szCs w:val="24"/>
              </w:rPr>
            </w:pPr>
            <w:r w:rsidRPr="00EA0535">
              <w:rPr>
                <w:rFonts w:cs="Arial"/>
                <w:szCs w:val="24"/>
              </w:rPr>
              <w:t>30</w:t>
            </w:r>
            <w:r w:rsidRPr="00EA0535">
              <w:rPr>
                <w:rFonts w:cs="Arial"/>
                <w:szCs w:val="24"/>
                <w:vertAlign w:val="superscript"/>
              </w:rPr>
              <w:t>th</w:t>
            </w:r>
            <w:r w:rsidRPr="00EA0535">
              <w:rPr>
                <w:rFonts w:cs="Arial"/>
                <w:szCs w:val="24"/>
              </w:rPr>
              <w:t xml:space="preserve"> April 2019</w:t>
            </w:r>
          </w:p>
        </w:tc>
      </w:tr>
      <w:tr w:rsidR="00EA0535" w:rsidRPr="00EA0535" w:rsidTr="00415AC1">
        <w:trPr>
          <w:trHeight w:val="147"/>
        </w:trPr>
        <w:tc>
          <w:tcPr>
            <w:tcW w:w="2476" w:type="dxa"/>
          </w:tcPr>
          <w:p w:rsidR="00EA0535" w:rsidRPr="00415AC1" w:rsidRDefault="00EA0535" w:rsidP="00EA0535">
            <w:pPr>
              <w:rPr>
                <w:rFonts w:cs="Arial"/>
                <w:b/>
                <w:szCs w:val="24"/>
              </w:rPr>
            </w:pPr>
            <w:r w:rsidRPr="00415AC1">
              <w:rPr>
                <w:rFonts w:cs="Arial"/>
                <w:b/>
                <w:color w:val="000000"/>
                <w:szCs w:val="24"/>
              </w:rPr>
              <w:t>Are there rules for any agreed in-year milestones that result in payment?</w:t>
            </w:r>
          </w:p>
        </w:tc>
        <w:tc>
          <w:tcPr>
            <w:tcW w:w="7134" w:type="dxa"/>
          </w:tcPr>
          <w:p w:rsidR="00EA0535" w:rsidRPr="00EA0535" w:rsidRDefault="00EA0535" w:rsidP="00EA0535">
            <w:pPr>
              <w:spacing w:line="276" w:lineRule="auto"/>
              <w:rPr>
                <w:rFonts w:eastAsiaTheme="minorEastAsia" w:cs="Arial"/>
                <w:szCs w:val="24"/>
              </w:rPr>
            </w:pPr>
            <w:r w:rsidRPr="00EA0535">
              <w:rPr>
                <w:rFonts w:cs="Arial"/>
                <w:szCs w:val="24"/>
              </w:rPr>
              <w:t xml:space="preserve">Payment will be made quarterly over the 2 year scheme, on </w:t>
            </w:r>
            <w:r w:rsidRPr="00EA0535">
              <w:rPr>
                <w:rFonts w:eastAsiaTheme="minorEastAsia" w:cs="Arial"/>
                <w:szCs w:val="24"/>
              </w:rPr>
              <w:t>evidence of milestones in the following table.</w:t>
            </w:r>
          </w:p>
          <w:p w:rsidR="00EA0535" w:rsidRPr="00EA0535" w:rsidRDefault="00EA0535" w:rsidP="00EA0535">
            <w:pPr>
              <w:rPr>
                <w:rFonts w:cs="Arial"/>
                <w:szCs w:val="24"/>
              </w:rPr>
            </w:pPr>
          </w:p>
        </w:tc>
      </w:tr>
      <w:tr w:rsidR="00EA0535" w:rsidRPr="00EA0535" w:rsidTr="00415AC1">
        <w:trPr>
          <w:trHeight w:val="147"/>
        </w:trPr>
        <w:tc>
          <w:tcPr>
            <w:tcW w:w="2476" w:type="dxa"/>
          </w:tcPr>
          <w:p w:rsidR="00EA0535" w:rsidRPr="00415AC1" w:rsidRDefault="00EA0535" w:rsidP="00EA0535">
            <w:pPr>
              <w:rPr>
                <w:rFonts w:cs="Arial"/>
                <w:b/>
                <w:bCs w:val="0"/>
                <w:color w:val="000000"/>
                <w:szCs w:val="24"/>
              </w:rPr>
            </w:pPr>
            <w:r w:rsidRPr="00415AC1">
              <w:rPr>
                <w:rFonts w:cs="Arial"/>
                <w:b/>
                <w:color w:val="000000"/>
                <w:szCs w:val="24"/>
              </w:rPr>
              <w:t>Are there any rules for partial achievement of the indicator at the final indicator period/date?</w:t>
            </w:r>
          </w:p>
        </w:tc>
        <w:tc>
          <w:tcPr>
            <w:tcW w:w="7134" w:type="dxa"/>
          </w:tcPr>
          <w:p w:rsidR="00EA0535" w:rsidRPr="00EA0535" w:rsidRDefault="00EA0535" w:rsidP="00EA0535">
            <w:pPr>
              <w:rPr>
                <w:rFonts w:eastAsia="Calibri" w:cs="Arial"/>
                <w:bCs w:val="0"/>
                <w:szCs w:val="24"/>
              </w:rPr>
            </w:pPr>
            <w:r w:rsidRPr="00EA0535">
              <w:rPr>
                <w:rFonts w:cs="Arial"/>
                <w:szCs w:val="24"/>
              </w:rPr>
              <w:t>Yes</w:t>
            </w:r>
          </w:p>
        </w:tc>
      </w:tr>
    </w:tbl>
    <w:p w:rsidR="00DA1E83" w:rsidRDefault="00DA1E83">
      <w:pPr>
        <w:rPr>
          <w:rFonts w:eastAsiaTheme="majorEastAsia" w:cstheme="majorBidi"/>
          <w:b/>
          <w:bCs w:val="0"/>
          <w:iCs/>
          <w:color w:val="A00054" w:themeColor="accent2"/>
          <w:lang w:eastAsia="en-GB"/>
        </w:rPr>
      </w:pPr>
    </w:p>
    <w:p w:rsidR="00EA0535" w:rsidRPr="00EA0535" w:rsidRDefault="00EA0535" w:rsidP="00EA0535">
      <w:pPr>
        <w:pStyle w:val="Heading4"/>
        <w:rPr>
          <w:lang w:eastAsia="en-GB"/>
        </w:rPr>
      </w:pPr>
      <w:r w:rsidRPr="00EA0535">
        <w:rPr>
          <w:lang w:eastAsia="en-GB"/>
        </w:rPr>
        <w:t>Milestones</w:t>
      </w:r>
      <w:r w:rsidR="002378B0">
        <w:rPr>
          <w:lang w:eastAsia="en-GB"/>
        </w:rPr>
        <w:t xml:space="preserve"> for indicator 6</w:t>
      </w:r>
    </w:p>
    <w:p w:rsidR="00EA0535" w:rsidRPr="00EA0535" w:rsidRDefault="00EA0535" w:rsidP="00EA0535">
      <w:pPr>
        <w:rPr>
          <w:b/>
          <w:iCs/>
          <w:lang w:eastAsia="en-GB"/>
        </w:rPr>
      </w:pPr>
      <w:bookmarkStart w:id="58" w:name="_Toc461714491"/>
      <w:bookmarkStart w:id="59" w:name="_Toc462224341"/>
      <w:bookmarkStart w:id="60" w:name="_Toc462303933"/>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76"/>
        <w:gridCol w:w="3762"/>
        <w:gridCol w:w="1728"/>
        <w:gridCol w:w="1948"/>
      </w:tblGrid>
      <w:tr w:rsidR="00EA0535" w:rsidRPr="00EA0535" w:rsidTr="00567305">
        <w:trPr>
          <w:cantSplit/>
          <w:trHeight w:val="771"/>
          <w:tblHeader/>
        </w:trPr>
        <w:tc>
          <w:tcPr>
            <w:tcW w:w="1776" w:type="dxa"/>
            <w:shd w:val="clear" w:color="auto" w:fill="0070C0"/>
            <w:noWrap/>
          </w:tcPr>
          <w:bookmarkEnd w:id="58"/>
          <w:bookmarkEnd w:id="59"/>
          <w:bookmarkEnd w:id="60"/>
          <w:p w:rsidR="00EA0535" w:rsidRPr="00EA0535" w:rsidRDefault="00EA0535" w:rsidP="00EA0535">
            <w:pPr>
              <w:rPr>
                <w:rFonts w:cs="Arial"/>
                <w:b/>
                <w:bCs w:val="0"/>
                <w:color w:val="FFFFFF" w:themeColor="background1"/>
                <w:szCs w:val="24"/>
                <w:lang w:eastAsia="en-GB"/>
              </w:rPr>
            </w:pPr>
            <w:r w:rsidRPr="00EA0535">
              <w:rPr>
                <w:rFonts w:cs="Arial"/>
                <w:b/>
                <w:color w:val="FFFFFF" w:themeColor="background1"/>
                <w:szCs w:val="24"/>
                <w:lang w:eastAsia="en-GB"/>
              </w:rPr>
              <w:t>Date/period milestone relates to</w:t>
            </w:r>
          </w:p>
        </w:tc>
        <w:tc>
          <w:tcPr>
            <w:tcW w:w="3762" w:type="dxa"/>
            <w:shd w:val="clear" w:color="auto" w:fill="0070C0"/>
          </w:tcPr>
          <w:p w:rsidR="00EA0535" w:rsidRPr="00EA0535" w:rsidRDefault="00EA0535" w:rsidP="00EA0535">
            <w:pPr>
              <w:rPr>
                <w:rFonts w:cs="Arial"/>
                <w:b/>
                <w:bCs w:val="0"/>
                <w:color w:val="FFFFFF" w:themeColor="background1"/>
                <w:szCs w:val="24"/>
                <w:lang w:eastAsia="en-GB"/>
              </w:rPr>
            </w:pPr>
            <w:r w:rsidRPr="00EA0535">
              <w:rPr>
                <w:rFonts w:cs="Arial"/>
                <w:b/>
                <w:color w:val="FFFFFF" w:themeColor="background1"/>
                <w:szCs w:val="24"/>
                <w:lang w:eastAsia="en-GB"/>
              </w:rPr>
              <w:t>Rules for achievement of milestones (including evidence to be supplied to commissioner)</w:t>
            </w:r>
          </w:p>
        </w:tc>
        <w:tc>
          <w:tcPr>
            <w:tcW w:w="1728" w:type="dxa"/>
            <w:shd w:val="clear" w:color="auto" w:fill="0070C0"/>
          </w:tcPr>
          <w:p w:rsidR="00EA0535" w:rsidRPr="00EA0535" w:rsidRDefault="00EA0535" w:rsidP="00EA0535">
            <w:pPr>
              <w:rPr>
                <w:rFonts w:cs="Arial"/>
                <w:b/>
                <w:bCs w:val="0"/>
                <w:color w:val="FFFFFF" w:themeColor="background1"/>
                <w:szCs w:val="24"/>
                <w:lang w:eastAsia="en-GB"/>
              </w:rPr>
            </w:pPr>
            <w:r w:rsidRPr="00EA0535">
              <w:rPr>
                <w:rFonts w:cs="Arial"/>
                <w:b/>
                <w:color w:val="FFFFFF" w:themeColor="background1"/>
                <w:szCs w:val="24"/>
                <w:lang w:eastAsia="en-GB"/>
              </w:rPr>
              <w:t>Date milestone to be reported</w:t>
            </w:r>
          </w:p>
        </w:tc>
        <w:tc>
          <w:tcPr>
            <w:tcW w:w="1948" w:type="dxa"/>
            <w:shd w:val="clear" w:color="auto" w:fill="0070C0"/>
          </w:tcPr>
          <w:p w:rsidR="00EA0535" w:rsidRPr="00EA0535" w:rsidRDefault="00EA0535" w:rsidP="00EA0535">
            <w:pPr>
              <w:rPr>
                <w:rFonts w:cs="Arial"/>
                <w:b/>
                <w:bCs w:val="0"/>
                <w:color w:val="FFFFFF" w:themeColor="background1"/>
                <w:szCs w:val="24"/>
                <w:lang w:eastAsia="en-GB"/>
              </w:rPr>
            </w:pPr>
            <w:r w:rsidRPr="00EA0535">
              <w:rPr>
                <w:rFonts w:cs="Arial"/>
                <w:b/>
                <w:color w:val="FFFFFF" w:themeColor="background1"/>
                <w:szCs w:val="24"/>
                <w:lang w:eastAsia="en-GB"/>
              </w:rPr>
              <w:t>Milestone weighting (% of CQUIN scheme available)</w:t>
            </w:r>
          </w:p>
        </w:tc>
      </w:tr>
      <w:tr w:rsidR="00EA0535" w:rsidRPr="00EA0535" w:rsidTr="00567305">
        <w:trPr>
          <w:cantSplit/>
          <w:trHeight w:val="2431"/>
        </w:trPr>
        <w:tc>
          <w:tcPr>
            <w:tcW w:w="1776" w:type="dxa"/>
          </w:tcPr>
          <w:p w:rsidR="00EA0535" w:rsidRPr="002378B0" w:rsidRDefault="00EA0535" w:rsidP="00EA0535">
            <w:pPr>
              <w:rPr>
                <w:rFonts w:cs="Arial"/>
                <w:b/>
                <w:bCs w:val="0"/>
                <w:szCs w:val="24"/>
              </w:rPr>
            </w:pPr>
            <w:r w:rsidRPr="002378B0">
              <w:rPr>
                <w:rFonts w:cs="Arial"/>
                <w:b/>
                <w:szCs w:val="24"/>
              </w:rPr>
              <w:t>Q1 2017/18</w:t>
            </w:r>
          </w:p>
        </w:tc>
        <w:tc>
          <w:tcPr>
            <w:tcW w:w="3762" w:type="dxa"/>
          </w:tcPr>
          <w:p w:rsidR="002378B0" w:rsidRPr="00222A24" w:rsidRDefault="002378B0" w:rsidP="002378B0">
            <w:pPr>
              <w:pStyle w:val="ListParagraph"/>
              <w:numPr>
                <w:ilvl w:val="0"/>
                <w:numId w:val="8"/>
              </w:numPr>
              <w:rPr>
                <w:rFonts w:eastAsiaTheme="minorEastAsia" w:cs="Arial"/>
                <w:szCs w:val="24"/>
              </w:rPr>
            </w:pPr>
            <w:r w:rsidRPr="00222A24">
              <w:rPr>
                <w:rFonts w:eastAsiaTheme="minorEastAsia" w:cs="Arial"/>
                <w:szCs w:val="24"/>
              </w:rPr>
              <w:t>Agree specialties with highest volume of GP referrals for A&amp;G implementation</w:t>
            </w:r>
          </w:p>
          <w:p w:rsidR="002378B0" w:rsidRPr="003C2C9D" w:rsidRDefault="002378B0" w:rsidP="002378B0">
            <w:pPr>
              <w:pStyle w:val="ListParagraph"/>
              <w:numPr>
                <w:ilvl w:val="0"/>
                <w:numId w:val="8"/>
              </w:numPr>
              <w:rPr>
                <w:rFonts w:eastAsiaTheme="minorEastAsia" w:cs="Arial"/>
                <w:szCs w:val="24"/>
              </w:rPr>
            </w:pPr>
            <w:r w:rsidRPr="00222A24">
              <w:rPr>
                <w:rFonts w:eastAsiaTheme="minorEastAsia" w:cs="Arial"/>
                <w:szCs w:val="24"/>
              </w:rPr>
              <w:t xml:space="preserve">Agree trajectory for A&amp;G services to cover a group of specialties responsible for at least </w:t>
            </w:r>
            <w:r w:rsidRPr="003C2C9D">
              <w:rPr>
                <w:rFonts w:eastAsiaTheme="minorEastAsia" w:cs="Arial"/>
                <w:szCs w:val="24"/>
              </w:rPr>
              <w:t>35% of GP referrals by Q4 2017/18</w:t>
            </w:r>
          </w:p>
          <w:p w:rsidR="002378B0" w:rsidRPr="003C2C9D" w:rsidRDefault="002378B0" w:rsidP="002378B0">
            <w:pPr>
              <w:pStyle w:val="ListParagraph"/>
              <w:numPr>
                <w:ilvl w:val="0"/>
                <w:numId w:val="8"/>
              </w:numPr>
              <w:rPr>
                <w:rFonts w:eastAsiaTheme="minorEastAsia" w:cs="Arial"/>
                <w:szCs w:val="24"/>
              </w:rPr>
            </w:pPr>
            <w:r w:rsidRPr="003C2C9D">
              <w:rPr>
                <w:rFonts w:eastAsiaTheme="minorEastAsia" w:cs="Arial"/>
                <w:szCs w:val="24"/>
              </w:rPr>
              <w:t>Agree timetable and implementation plan for introduction of A&amp;G to these specialties during the remainder of 2017/18</w:t>
            </w:r>
          </w:p>
          <w:p w:rsidR="00EA0535" w:rsidRPr="00EA0535" w:rsidRDefault="002378B0" w:rsidP="002378B0">
            <w:pPr>
              <w:numPr>
                <w:ilvl w:val="0"/>
                <w:numId w:val="8"/>
              </w:numPr>
              <w:contextualSpacing/>
              <w:rPr>
                <w:rFonts w:eastAsiaTheme="minorEastAsia" w:cs="Arial"/>
                <w:szCs w:val="24"/>
              </w:rPr>
            </w:pPr>
            <w:r w:rsidRPr="003C2C9D">
              <w:rPr>
                <w:rFonts w:eastAsiaTheme="minorEastAsia" w:cs="Arial"/>
                <w:szCs w:val="24"/>
              </w:rPr>
              <w:t xml:space="preserve">Agree local quality standard for provision of A&amp;G, including that 80% of asynchronous responses are provided within 2 working </w:t>
            </w:r>
            <w:r w:rsidRPr="00222A24">
              <w:rPr>
                <w:rFonts w:eastAsiaTheme="minorEastAsia" w:cs="Arial"/>
                <w:szCs w:val="24"/>
              </w:rPr>
              <w:t>days</w:t>
            </w:r>
          </w:p>
        </w:tc>
        <w:tc>
          <w:tcPr>
            <w:tcW w:w="1728" w:type="dxa"/>
          </w:tcPr>
          <w:p w:rsidR="00EA0535" w:rsidRPr="00EA0535" w:rsidRDefault="00EA0535" w:rsidP="00DA1E83">
            <w:pPr>
              <w:rPr>
                <w:rFonts w:cs="Arial"/>
                <w:bCs w:val="0"/>
                <w:szCs w:val="24"/>
              </w:rPr>
            </w:pPr>
            <w:r w:rsidRPr="00EA0535">
              <w:rPr>
                <w:rFonts w:cs="Arial"/>
                <w:szCs w:val="24"/>
              </w:rPr>
              <w:t>30 July 2017</w:t>
            </w:r>
          </w:p>
        </w:tc>
        <w:tc>
          <w:tcPr>
            <w:tcW w:w="1948" w:type="dxa"/>
          </w:tcPr>
          <w:p w:rsidR="00EA0535" w:rsidRPr="00EA0535" w:rsidRDefault="00EA0535" w:rsidP="00DA1E83">
            <w:pPr>
              <w:rPr>
                <w:rFonts w:cs="Arial"/>
                <w:bCs w:val="0"/>
                <w:szCs w:val="24"/>
              </w:rPr>
            </w:pPr>
            <w:r w:rsidRPr="00EA0535">
              <w:rPr>
                <w:rFonts w:cs="Arial"/>
                <w:szCs w:val="24"/>
              </w:rPr>
              <w:t>25% of year 1 reward</w:t>
            </w:r>
          </w:p>
        </w:tc>
      </w:tr>
      <w:tr w:rsidR="00EA0535" w:rsidRPr="00EA0535" w:rsidTr="00567305">
        <w:trPr>
          <w:cantSplit/>
          <w:trHeight w:val="1361"/>
        </w:trPr>
        <w:tc>
          <w:tcPr>
            <w:tcW w:w="1776" w:type="dxa"/>
          </w:tcPr>
          <w:p w:rsidR="00EA0535" w:rsidRPr="002378B0" w:rsidRDefault="00EA0535" w:rsidP="00EA0535">
            <w:pPr>
              <w:rPr>
                <w:rFonts w:cs="Arial"/>
                <w:b/>
                <w:bCs w:val="0"/>
                <w:szCs w:val="24"/>
              </w:rPr>
            </w:pPr>
            <w:r w:rsidRPr="002378B0">
              <w:rPr>
                <w:rFonts w:cs="Arial"/>
                <w:b/>
                <w:szCs w:val="24"/>
              </w:rPr>
              <w:lastRenderedPageBreak/>
              <w:t>Q2 2017/18</w:t>
            </w:r>
          </w:p>
        </w:tc>
        <w:tc>
          <w:tcPr>
            <w:tcW w:w="3762" w:type="dxa"/>
          </w:tcPr>
          <w:p w:rsidR="002378B0" w:rsidRPr="00222A24" w:rsidRDefault="002378B0" w:rsidP="002378B0">
            <w:pPr>
              <w:pStyle w:val="ListParagraph"/>
              <w:numPr>
                <w:ilvl w:val="0"/>
                <w:numId w:val="8"/>
              </w:numPr>
              <w:rPr>
                <w:rFonts w:eastAsiaTheme="minorEastAsia" w:cs="Arial"/>
                <w:szCs w:val="24"/>
              </w:rPr>
            </w:pPr>
            <w:r w:rsidRPr="00222A24">
              <w:rPr>
                <w:rFonts w:eastAsiaTheme="minorEastAsia" w:cs="Arial"/>
                <w:szCs w:val="24"/>
              </w:rPr>
              <w:t>A&amp;G services mobilised for first agreed tranche of specialties in line with implementation plan and trajectory</w:t>
            </w:r>
          </w:p>
          <w:p w:rsidR="002378B0" w:rsidRPr="00222A24" w:rsidRDefault="002378B0" w:rsidP="002378B0">
            <w:pPr>
              <w:pStyle w:val="ListParagraph"/>
              <w:numPr>
                <w:ilvl w:val="0"/>
                <w:numId w:val="8"/>
              </w:numPr>
              <w:rPr>
                <w:rFonts w:eastAsiaTheme="minorEastAsia" w:cs="Arial"/>
                <w:szCs w:val="24"/>
              </w:rPr>
            </w:pPr>
            <w:r w:rsidRPr="00222A24">
              <w:rPr>
                <w:rFonts w:eastAsiaTheme="minorEastAsia" w:cs="Arial"/>
                <w:szCs w:val="24"/>
              </w:rPr>
              <w:t>Local quality standard for provision of A&amp;G finalised</w:t>
            </w:r>
          </w:p>
          <w:p w:rsidR="00EA0535" w:rsidRPr="00EA0535" w:rsidRDefault="002378B0" w:rsidP="00403186">
            <w:pPr>
              <w:numPr>
                <w:ilvl w:val="0"/>
                <w:numId w:val="8"/>
              </w:numPr>
              <w:contextualSpacing/>
              <w:rPr>
                <w:rFonts w:eastAsiaTheme="minorEastAsia" w:cs="Arial"/>
                <w:szCs w:val="24"/>
              </w:rPr>
            </w:pPr>
            <w:r w:rsidRPr="00222A24">
              <w:rPr>
                <w:rFonts w:eastAsiaTheme="minorEastAsia" w:cs="Arial"/>
                <w:szCs w:val="24"/>
              </w:rPr>
              <w:t>Baseline data for main indicator provided</w:t>
            </w:r>
          </w:p>
        </w:tc>
        <w:tc>
          <w:tcPr>
            <w:tcW w:w="1728" w:type="dxa"/>
          </w:tcPr>
          <w:p w:rsidR="00EA0535" w:rsidRPr="00EA0535" w:rsidRDefault="00EA0535" w:rsidP="00EA0535">
            <w:pPr>
              <w:rPr>
                <w:rFonts w:cs="Arial"/>
                <w:bCs w:val="0"/>
                <w:szCs w:val="24"/>
              </w:rPr>
            </w:pPr>
            <w:r w:rsidRPr="00EA0535">
              <w:rPr>
                <w:rFonts w:cs="Arial"/>
                <w:szCs w:val="24"/>
              </w:rPr>
              <w:t>31 October 2017</w:t>
            </w:r>
          </w:p>
        </w:tc>
        <w:tc>
          <w:tcPr>
            <w:tcW w:w="1948" w:type="dxa"/>
          </w:tcPr>
          <w:p w:rsidR="00EA0535" w:rsidRPr="00EA0535" w:rsidRDefault="00EA0535" w:rsidP="00EA0535">
            <w:pPr>
              <w:rPr>
                <w:rFonts w:cs="Arial"/>
                <w:bCs w:val="0"/>
                <w:szCs w:val="24"/>
              </w:rPr>
            </w:pPr>
            <w:r w:rsidRPr="00EA0535">
              <w:rPr>
                <w:rFonts w:cs="Arial"/>
                <w:szCs w:val="24"/>
              </w:rPr>
              <w:t>25% of year 1 reward</w:t>
            </w:r>
          </w:p>
        </w:tc>
      </w:tr>
      <w:tr w:rsidR="00EA0535" w:rsidRPr="00EA0535" w:rsidTr="00567305">
        <w:trPr>
          <w:cantSplit/>
          <w:trHeight w:val="1662"/>
        </w:trPr>
        <w:tc>
          <w:tcPr>
            <w:tcW w:w="1776" w:type="dxa"/>
          </w:tcPr>
          <w:p w:rsidR="00EA0535" w:rsidRPr="002378B0" w:rsidRDefault="00EA0535" w:rsidP="00EA0535">
            <w:pPr>
              <w:rPr>
                <w:rFonts w:cs="Arial"/>
                <w:b/>
                <w:bCs w:val="0"/>
                <w:szCs w:val="24"/>
              </w:rPr>
            </w:pPr>
            <w:r w:rsidRPr="002378B0">
              <w:rPr>
                <w:rFonts w:cs="Arial"/>
                <w:b/>
                <w:szCs w:val="24"/>
              </w:rPr>
              <w:t>Q3 2017/18</w:t>
            </w:r>
          </w:p>
        </w:tc>
        <w:tc>
          <w:tcPr>
            <w:tcW w:w="3762" w:type="dxa"/>
          </w:tcPr>
          <w:p w:rsidR="002378B0" w:rsidRPr="002378B0" w:rsidRDefault="002378B0" w:rsidP="00DF18AB">
            <w:pPr>
              <w:pStyle w:val="ListParagraph"/>
              <w:numPr>
                <w:ilvl w:val="0"/>
                <w:numId w:val="91"/>
              </w:numPr>
              <w:rPr>
                <w:rFonts w:eastAsiaTheme="minorEastAsia"/>
              </w:rPr>
            </w:pPr>
            <w:r w:rsidRPr="002378B0">
              <w:rPr>
                <w:rFonts w:eastAsiaTheme="minorEastAsia"/>
              </w:rPr>
              <w:t>A&amp;G services operational for first agreed tranche of specialties</w:t>
            </w:r>
          </w:p>
          <w:p w:rsidR="002378B0" w:rsidRPr="002378B0" w:rsidRDefault="002378B0" w:rsidP="00DF18AB">
            <w:pPr>
              <w:pStyle w:val="ListParagraph"/>
              <w:numPr>
                <w:ilvl w:val="0"/>
                <w:numId w:val="91"/>
              </w:numPr>
              <w:rPr>
                <w:rFonts w:eastAsiaTheme="minorEastAsia"/>
              </w:rPr>
            </w:pPr>
            <w:r w:rsidRPr="002378B0">
              <w:rPr>
                <w:rFonts w:eastAsiaTheme="minorEastAsia"/>
              </w:rPr>
              <w:t>Quality standards for provision of A&amp;G met</w:t>
            </w:r>
          </w:p>
          <w:p w:rsidR="002378B0" w:rsidRPr="002378B0" w:rsidRDefault="002378B0" w:rsidP="00DF18AB">
            <w:pPr>
              <w:pStyle w:val="ListParagraph"/>
              <w:numPr>
                <w:ilvl w:val="0"/>
                <w:numId w:val="91"/>
              </w:numPr>
              <w:rPr>
                <w:rFonts w:eastAsiaTheme="minorEastAsia"/>
              </w:rPr>
            </w:pPr>
            <w:r w:rsidRPr="002378B0">
              <w:rPr>
                <w:rFonts w:eastAsiaTheme="minorEastAsia"/>
              </w:rPr>
              <w:t xml:space="preserve">Data for main </w:t>
            </w:r>
            <w:proofErr w:type="spellStart"/>
            <w:r w:rsidRPr="002378B0">
              <w:rPr>
                <w:rFonts w:eastAsiaTheme="minorEastAsia"/>
              </w:rPr>
              <w:t>indicatos</w:t>
            </w:r>
            <w:proofErr w:type="spellEnd"/>
            <w:r w:rsidRPr="002378B0">
              <w:rPr>
                <w:rFonts w:eastAsiaTheme="minorEastAsia"/>
              </w:rPr>
              <w:t xml:space="preserve"> provided</w:t>
            </w:r>
          </w:p>
          <w:p w:rsidR="00EA0535" w:rsidRPr="002378B0" w:rsidRDefault="002378B0" w:rsidP="00DF18AB">
            <w:pPr>
              <w:pStyle w:val="ListParagraph"/>
              <w:numPr>
                <w:ilvl w:val="0"/>
                <w:numId w:val="91"/>
              </w:numPr>
              <w:rPr>
                <w:rFonts w:eastAsiaTheme="minorEastAsia"/>
              </w:rPr>
            </w:pPr>
            <w:r w:rsidRPr="002378B0">
              <w:rPr>
                <w:rFonts w:eastAsiaTheme="minorEastAsia"/>
              </w:rPr>
              <w:t>Timetable, implementation plan and trajectory agreed for rollout of A&amp;G services to cover a group of specialties responsible for at least 75% of GP referrals by Q4 2018/19</w:t>
            </w:r>
          </w:p>
        </w:tc>
        <w:tc>
          <w:tcPr>
            <w:tcW w:w="1728" w:type="dxa"/>
          </w:tcPr>
          <w:p w:rsidR="00EA0535" w:rsidRPr="00EA0535" w:rsidRDefault="00EA0535" w:rsidP="00EA0535">
            <w:pPr>
              <w:rPr>
                <w:rFonts w:cs="Arial"/>
                <w:bCs w:val="0"/>
                <w:szCs w:val="24"/>
              </w:rPr>
            </w:pPr>
            <w:r w:rsidRPr="00EA0535">
              <w:rPr>
                <w:rFonts w:cs="Arial"/>
                <w:szCs w:val="24"/>
              </w:rPr>
              <w:t>31 January 2018</w:t>
            </w:r>
          </w:p>
        </w:tc>
        <w:tc>
          <w:tcPr>
            <w:tcW w:w="1948" w:type="dxa"/>
          </w:tcPr>
          <w:p w:rsidR="00EA0535" w:rsidRPr="00EA0535" w:rsidRDefault="00EA0535" w:rsidP="00EA0535">
            <w:pPr>
              <w:rPr>
                <w:rFonts w:cs="Arial"/>
                <w:bCs w:val="0"/>
                <w:szCs w:val="24"/>
              </w:rPr>
            </w:pPr>
            <w:r w:rsidRPr="00EA0535">
              <w:rPr>
                <w:rFonts w:cs="Arial"/>
                <w:szCs w:val="24"/>
              </w:rPr>
              <w:t>25% of year 1 reward</w:t>
            </w:r>
          </w:p>
        </w:tc>
      </w:tr>
      <w:tr w:rsidR="00EA0535" w:rsidRPr="00EA0535" w:rsidTr="00567305">
        <w:trPr>
          <w:cantSplit/>
          <w:trHeight w:val="1654"/>
        </w:trPr>
        <w:tc>
          <w:tcPr>
            <w:tcW w:w="1776" w:type="dxa"/>
          </w:tcPr>
          <w:p w:rsidR="00EA0535" w:rsidRPr="002378B0" w:rsidRDefault="00EA0535" w:rsidP="00EA0535">
            <w:pPr>
              <w:rPr>
                <w:rFonts w:cs="Arial"/>
                <w:b/>
                <w:bCs w:val="0"/>
              </w:rPr>
            </w:pPr>
            <w:r w:rsidRPr="002378B0">
              <w:rPr>
                <w:rFonts w:cs="Arial"/>
                <w:b/>
              </w:rPr>
              <w:t>Q4 2017/18</w:t>
            </w:r>
          </w:p>
        </w:tc>
        <w:tc>
          <w:tcPr>
            <w:tcW w:w="3762" w:type="dxa"/>
          </w:tcPr>
          <w:p w:rsidR="00EA0535" w:rsidRPr="00EA0535" w:rsidRDefault="00EA0535" w:rsidP="00F45A60">
            <w:pPr>
              <w:numPr>
                <w:ilvl w:val="0"/>
                <w:numId w:val="8"/>
              </w:numPr>
              <w:contextualSpacing/>
              <w:rPr>
                <w:rFonts w:eastAsiaTheme="minorEastAsia" w:cs="Arial"/>
                <w:szCs w:val="24"/>
              </w:rPr>
            </w:pPr>
            <w:r w:rsidRPr="00EA0535">
              <w:rPr>
                <w:rFonts w:eastAsiaTheme="minorEastAsia" w:cs="Arial"/>
                <w:szCs w:val="24"/>
              </w:rPr>
              <w:t xml:space="preserve">A&amp;G services operational for specialties covering at least </w:t>
            </w:r>
            <w:r w:rsidRPr="00951A77">
              <w:rPr>
                <w:rFonts w:eastAsiaTheme="minorEastAsia"/>
              </w:rPr>
              <w:t>35%</w:t>
            </w:r>
            <w:r w:rsidRPr="00EA0535">
              <w:rPr>
                <w:rFonts w:eastAsiaTheme="minorEastAsia" w:cs="Arial"/>
                <w:szCs w:val="24"/>
              </w:rPr>
              <w:t xml:space="preserve"> of total GP referrals by start of Q4 and sustained across the quarter</w:t>
            </w:r>
          </w:p>
          <w:p w:rsidR="00EA0535" w:rsidRPr="00EA0535" w:rsidRDefault="00EA0535" w:rsidP="00F45A60">
            <w:pPr>
              <w:numPr>
                <w:ilvl w:val="0"/>
                <w:numId w:val="8"/>
              </w:numPr>
              <w:contextualSpacing/>
              <w:rPr>
                <w:rFonts w:eastAsiaTheme="minorEastAsia" w:cs="Arial"/>
                <w:szCs w:val="24"/>
              </w:rPr>
            </w:pPr>
            <w:r w:rsidRPr="00EA0535">
              <w:rPr>
                <w:rFonts w:eastAsiaTheme="minorEastAsia" w:cs="Arial"/>
                <w:szCs w:val="24"/>
              </w:rPr>
              <w:t>Quality standards for provision of A&amp;G met</w:t>
            </w:r>
          </w:p>
          <w:p w:rsidR="00EA0535" w:rsidRPr="00EA0535" w:rsidRDefault="00EA0535" w:rsidP="00403186">
            <w:pPr>
              <w:numPr>
                <w:ilvl w:val="0"/>
                <w:numId w:val="8"/>
              </w:numPr>
              <w:contextualSpacing/>
              <w:rPr>
                <w:rFonts w:eastAsiaTheme="minorEastAsia" w:cs="Arial"/>
                <w:szCs w:val="24"/>
              </w:rPr>
            </w:pPr>
            <w:r w:rsidRPr="00EA0535">
              <w:rPr>
                <w:rFonts w:eastAsiaTheme="minorEastAsia" w:cs="Arial"/>
                <w:szCs w:val="24"/>
              </w:rPr>
              <w:t>Data for main indicator provided</w:t>
            </w:r>
          </w:p>
        </w:tc>
        <w:tc>
          <w:tcPr>
            <w:tcW w:w="1728" w:type="dxa"/>
          </w:tcPr>
          <w:p w:rsidR="00EA0535" w:rsidRPr="00EA0535" w:rsidRDefault="00EA0535" w:rsidP="00EA0535">
            <w:pPr>
              <w:rPr>
                <w:rFonts w:cs="Arial"/>
                <w:bCs w:val="0"/>
                <w:szCs w:val="24"/>
              </w:rPr>
            </w:pPr>
            <w:r w:rsidRPr="00EA0535">
              <w:rPr>
                <w:rFonts w:cs="Arial"/>
                <w:szCs w:val="24"/>
              </w:rPr>
              <w:t>31 May 2018</w:t>
            </w:r>
          </w:p>
        </w:tc>
        <w:tc>
          <w:tcPr>
            <w:tcW w:w="1948" w:type="dxa"/>
          </w:tcPr>
          <w:p w:rsidR="00EA0535" w:rsidRPr="00EA0535" w:rsidRDefault="00EA0535" w:rsidP="00EA0535">
            <w:pPr>
              <w:rPr>
                <w:rFonts w:cs="Arial"/>
                <w:bCs w:val="0"/>
                <w:szCs w:val="24"/>
              </w:rPr>
            </w:pPr>
            <w:r w:rsidRPr="00EA0535">
              <w:rPr>
                <w:rFonts w:cs="Arial"/>
                <w:szCs w:val="24"/>
              </w:rPr>
              <w:t>25% of year 1 reward</w:t>
            </w:r>
          </w:p>
        </w:tc>
      </w:tr>
      <w:tr w:rsidR="00EA0535" w:rsidRPr="00EA0535" w:rsidTr="00567305">
        <w:trPr>
          <w:cantSplit/>
          <w:trHeight w:val="295"/>
        </w:trPr>
        <w:tc>
          <w:tcPr>
            <w:tcW w:w="1776" w:type="dxa"/>
          </w:tcPr>
          <w:p w:rsidR="00EA0535" w:rsidRPr="002378B0" w:rsidRDefault="00EA0535" w:rsidP="00EA0535">
            <w:pPr>
              <w:rPr>
                <w:rFonts w:cs="Arial"/>
                <w:b/>
                <w:bCs w:val="0"/>
              </w:rPr>
            </w:pPr>
            <w:r w:rsidRPr="002378B0">
              <w:rPr>
                <w:rFonts w:cs="Arial"/>
                <w:b/>
              </w:rPr>
              <w:t>Q1 2018/19</w:t>
            </w:r>
          </w:p>
        </w:tc>
        <w:tc>
          <w:tcPr>
            <w:tcW w:w="3762" w:type="dxa"/>
          </w:tcPr>
          <w:p w:rsidR="00EA0535" w:rsidRPr="00EA0535" w:rsidRDefault="00EA0535" w:rsidP="00F45A60">
            <w:pPr>
              <w:numPr>
                <w:ilvl w:val="0"/>
                <w:numId w:val="8"/>
              </w:numPr>
              <w:contextualSpacing/>
              <w:rPr>
                <w:rFonts w:eastAsiaTheme="minorEastAsia" w:cs="Arial"/>
                <w:szCs w:val="24"/>
              </w:rPr>
            </w:pPr>
            <w:r w:rsidRPr="00EA0535">
              <w:rPr>
                <w:rFonts w:eastAsiaTheme="minorEastAsia" w:cs="Arial"/>
                <w:szCs w:val="24"/>
              </w:rPr>
              <w:t>A&amp;G services introduced in line with Q1 trajectory and implementation plan</w:t>
            </w:r>
          </w:p>
          <w:p w:rsidR="00EA0535" w:rsidRPr="00EA0535" w:rsidRDefault="00EA0535" w:rsidP="00F45A60">
            <w:pPr>
              <w:numPr>
                <w:ilvl w:val="0"/>
                <w:numId w:val="8"/>
              </w:numPr>
              <w:contextualSpacing/>
              <w:rPr>
                <w:rFonts w:eastAsiaTheme="minorEastAsia" w:cs="Arial"/>
                <w:szCs w:val="24"/>
              </w:rPr>
            </w:pPr>
            <w:r w:rsidRPr="00EA0535">
              <w:rPr>
                <w:rFonts w:eastAsiaTheme="minorEastAsia" w:cs="Arial"/>
                <w:szCs w:val="24"/>
              </w:rPr>
              <w:t>Quality standards for provision of A&amp;G met</w:t>
            </w:r>
          </w:p>
          <w:p w:rsidR="00EA0535" w:rsidRPr="00EA0535" w:rsidRDefault="00EA0535" w:rsidP="00403186">
            <w:pPr>
              <w:numPr>
                <w:ilvl w:val="0"/>
                <w:numId w:val="8"/>
              </w:numPr>
              <w:contextualSpacing/>
              <w:rPr>
                <w:rFonts w:eastAsiaTheme="minorEastAsia" w:cs="Arial"/>
                <w:szCs w:val="24"/>
              </w:rPr>
            </w:pPr>
            <w:r w:rsidRPr="00EA0535">
              <w:rPr>
                <w:rFonts w:eastAsiaTheme="minorEastAsia" w:cs="Arial"/>
                <w:szCs w:val="24"/>
              </w:rPr>
              <w:t>Data for main indicator provided</w:t>
            </w:r>
          </w:p>
        </w:tc>
        <w:tc>
          <w:tcPr>
            <w:tcW w:w="1728" w:type="dxa"/>
          </w:tcPr>
          <w:p w:rsidR="00EA0535" w:rsidRPr="00EA0535" w:rsidRDefault="00EA0535" w:rsidP="00EA0535">
            <w:pPr>
              <w:rPr>
                <w:rFonts w:cs="Arial"/>
                <w:bCs w:val="0"/>
                <w:szCs w:val="24"/>
              </w:rPr>
            </w:pPr>
            <w:r w:rsidRPr="00EA0535">
              <w:rPr>
                <w:rFonts w:cs="Arial"/>
                <w:szCs w:val="24"/>
              </w:rPr>
              <w:t>31 July 2018</w:t>
            </w:r>
          </w:p>
        </w:tc>
        <w:tc>
          <w:tcPr>
            <w:tcW w:w="1948" w:type="dxa"/>
          </w:tcPr>
          <w:p w:rsidR="00EA0535" w:rsidRPr="00EA0535" w:rsidRDefault="00EA0535" w:rsidP="00EA0535">
            <w:pPr>
              <w:rPr>
                <w:rFonts w:cs="Arial"/>
                <w:bCs w:val="0"/>
                <w:szCs w:val="24"/>
              </w:rPr>
            </w:pPr>
            <w:r w:rsidRPr="00EA0535">
              <w:rPr>
                <w:rFonts w:cs="Arial"/>
                <w:szCs w:val="24"/>
              </w:rPr>
              <w:t>15% of year 2 reward</w:t>
            </w:r>
          </w:p>
        </w:tc>
      </w:tr>
      <w:tr w:rsidR="00EA0535" w:rsidRPr="00EA0535" w:rsidTr="00567305">
        <w:trPr>
          <w:cantSplit/>
          <w:trHeight w:val="295"/>
        </w:trPr>
        <w:tc>
          <w:tcPr>
            <w:tcW w:w="1776" w:type="dxa"/>
          </w:tcPr>
          <w:p w:rsidR="00EA0535" w:rsidRPr="002378B0" w:rsidRDefault="00EA0535" w:rsidP="00EA0535">
            <w:pPr>
              <w:rPr>
                <w:rFonts w:cs="Arial"/>
                <w:b/>
                <w:bCs w:val="0"/>
              </w:rPr>
            </w:pPr>
            <w:r w:rsidRPr="002378B0">
              <w:rPr>
                <w:rFonts w:cs="Arial"/>
                <w:b/>
              </w:rPr>
              <w:lastRenderedPageBreak/>
              <w:t>Q2 2018/19</w:t>
            </w:r>
          </w:p>
        </w:tc>
        <w:tc>
          <w:tcPr>
            <w:tcW w:w="3762" w:type="dxa"/>
          </w:tcPr>
          <w:p w:rsidR="00EA0535" w:rsidRPr="00EA0535" w:rsidRDefault="00EA0535" w:rsidP="00F45A60">
            <w:pPr>
              <w:numPr>
                <w:ilvl w:val="0"/>
                <w:numId w:val="8"/>
              </w:numPr>
              <w:contextualSpacing/>
              <w:rPr>
                <w:rFonts w:eastAsiaTheme="minorEastAsia" w:cs="Arial"/>
                <w:szCs w:val="24"/>
              </w:rPr>
            </w:pPr>
            <w:r w:rsidRPr="00EA0535">
              <w:rPr>
                <w:rFonts w:eastAsiaTheme="minorEastAsia" w:cs="Arial"/>
                <w:szCs w:val="24"/>
              </w:rPr>
              <w:t>A&amp;G services introduced in line with Q1 trajectory and implementation plan</w:t>
            </w:r>
          </w:p>
          <w:p w:rsidR="00EA0535" w:rsidRPr="00EA0535" w:rsidRDefault="00EA0535" w:rsidP="00F45A60">
            <w:pPr>
              <w:numPr>
                <w:ilvl w:val="0"/>
                <w:numId w:val="8"/>
              </w:numPr>
              <w:contextualSpacing/>
              <w:rPr>
                <w:rFonts w:eastAsiaTheme="minorEastAsia" w:cs="Arial"/>
                <w:szCs w:val="24"/>
              </w:rPr>
            </w:pPr>
            <w:r w:rsidRPr="00EA0535">
              <w:rPr>
                <w:rFonts w:eastAsiaTheme="minorEastAsia" w:cs="Arial"/>
                <w:szCs w:val="24"/>
              </w:rPr>
              <w:t>Quality standards for provision of A&amp;G met</w:t>
            </w:r>
          </w:p>
          <w:p w:rsidR="00EA0535" w:rsidRPr="00EA0535" w:rsidRDefault="00EA0535" w:rsidP="00403186">
            <w:pPr>
              <w:numPr>
                <w:ilvl w:val="0"/>
                <w:numId w:val="8"/>
              </w:numPr>
              <w:contextualSpacing/>
              <w:rPr>
                <w:rFonts w:eastAsiaTheme="minorEastAsia" w:cs="Arial"/>
                <w:szCs w:val="24"/>
              </w:rPr>
            </w:pPr>
            <w:r w:rsidRPr="00EA0535">
              <w:rPr>
                <w:rFonts w:eastAsiaTheme="minorEastAsia" w:cs="Arial"/>
                <w:szCs w:val="24"/>
              </w:rPr>
              <w:t>Data for main indicator provided</w:t>
            </w:r>
          </w:p>
        </w:tc>
        <w:tc>
          <w:tcPr>
            <w:tcW w:w="1728" w:type="dxa"/>
          </w:tcPr>
          <w:p w:rsidR="00EA0535" w:rsidRPr="00EA0535" w:rsidRDefault="00EA0535" w:rsidP="00EA0535">
            <w:pPr>
              <w:rPr>
                <w:rFonts w:cs="Arial"/>
                <w:bCs w:val="0"/>
                <w:szCs w:val="24"/>
              </w:rPr>
            </w:pPr>
            <w:r w:rsidRPr="00EA0535">
              <w:rPr>
                <w:rFonts w:cs="Arial"/>
                <w:szCs w:val="24"/>
              </w:rPr>
              <w:t>31 October 2018</w:t>
            </w:r>
          </w:p>
        </w:tc>
        <w:tc>
          <w:tcPr>
            <w:tcW w:w="1948" w:type="dxa"/>
          </w:tcPr>
          <w:p w:rsidR="00EA0535" w:rsidRPr="00EA0535" w:rsidRDefault="00EA0535" w:rsidP="00EA0535">
            <w:pPr>
              <w:rPr>
                <w:rFonts w:cs="Arial"/>
                <w:bCs w:val="0"/>
                <w:szCs w:val="24"/>
              </w:rPr>
            </w:pPr>
            <w:r w:rsidRPr="00EA0535">
              <w:rPr>
                <w:rFonts w:cs="Arial"/>
                <w:szCs w:val="24"/>
              </w:rPr>
              <w:t>15% of year 2 reward</w:t>
            </w:r>
          </w:p>
        </w:tc>
      </w:tr>
      <w:tr w:rsidR="00EA0535" w:rsidRPr="00EA0535" w:rsidTr="00567305">
        <w:trPr>
          <w:cantSplit/>
          <w:trHeight w:val="295"/>
        </w:trPr>
        <w:tc>
          <w:tcPr>
            <w:tcW w:w="1776" w:type="dxa"/>
          </w:tcPr>
          <w:p w:rsidR="00EA0535" w:rsidRPr="002378B0" w:rsidRDefault="00EA0535" w:rsidP="00EA0535">
            <w:pPr>
              <w:rPr>
                <w:rFonts w:cs="Arial"/>
                <w:b/>
                <w:bCs w:val="0"/>
              </w:rPr>
            </w:pPr>
            <w:r w:rsidRPr="002378B0">
              <w:rPr>
                <w:rFonts w:cs="Arial"/>
                <w:b/>
              </w:rPr>
              <w:t>Q3 2018/19</w:t>
            </w:r>
          </w:p>
        </w:tc>
        <w:tc>
          <w:tcPr>
            <w:tcW w:w="3762" w:type="dxa"/>
          </w:tcPr>
          <w:p w:rsidR="00EA0535" w:rsidRPr="00EA0535" w:rsidRDefault="00EA0535" w:rsidP="00F45A60">
            <w:pPr>
              <w:numPr>
                <w:ilvl w:val="0"/>
                <w:numId w:val="8"/>
              </w:numPr>
              <w:contextualSpacing/>
              <w:rPr>
                <w:rFonts w:eastAsiaTheme="minorEastAsia" w:cs="Arial"/>
                <w:szCs w:val="24"/>
              </w:rPr>
            </w:pPr>
            <w:r w:rsidRPr="00EA0535">
              <w:rPr>
                <w:rFonts w:eastAsiaTheme="minorEastAsia" w:cs="Arial"/>
                <w:szCs w:val="24"/>
              </w:rPr>
              <w:t>A&amp;G services introduced in line with Q1 trajectory and implementation plan</w:t>
            </w:r>
          </w:p>
          <w:p w:rsidR="00EA0535" w:rsidRPr="00EA0535" w:rsidRDefault="00EA0535" w:rsidP="00F45A60">
            <w:pPr>
              <w:numPr>
                <w:ilvl w:val="0"/>
                <w:numId w:val="8"/>
              </w:numPr>
              <w:contextualSpacing/>
              <w:rPr>
                <w:rFonts w:eastAsiaTheme="minorEastAsia" w:cs="Arial"/>
                <w:szCs w:val="24"/>
              </w:rPr>
            </w:pPr>
            <w:r w:rsidRPr="00EA0535">
              <w:rPr>
                <w:rFonts w:eastAsiaTheme="minorEastAsia" w:cs="Arial"/>
                <w:szCs w:val="24"/>
              </w:rPr>
              <w:t>Quality standards for provision of A&amp;G met</w:t>
            </w:r>
          </w:p>
          <w:p w:rsidR="00EA0535" w:rsidRPr="00EA0535" w:rsidRDefault="00EA0535" w:rsidP="00403186">
            <w:pPr>
              <w:numPr>
                <w:ilvl w:val="0"/>
                <w:numId w:val="8"/>
              </w:numPr>
              <w:contextualSpacing/>
              <w:rPr>
                <w:rFonts w:eastAsiaTheme="minorEastAsia" w:cs="Arial"/>
                <w:szCs w:val="24"/>
              </w:rPr>
            </w:pPr>
            <w:r w:rsidRPr="00EA0535">
              <w:rPr>
                <w:rFonts w:eastAsiaTheme="minorEastAsia" w:cs="Arial"/>
                <w:szCs w:val="24"/>
              </w:rPr>
              <w:t>Data for main indicator provided</w:t>
            </w:r>
          </w:p>
        </w:tc>
        <w:tc>
          <w:tcPr>
            <w:tcW w:w="1728" w:type="dxa"/>
          </w:tcPr>
          <w:p w:rsidR="00EA0535" w:rsidRPr="00EA0535" w:rsidRDefault="00EA0535" w:rsidP="00EA0535">
            <w:pPr>
              <w:rPr>
                <w:rFonts w:cs="Arial"/>
                <w:bCs w:val="0"/>
                <w:szCs w:val="24"/>
              </w:rPr>
            </w:pPr>
            <w:r w:rsidRPr="00EA0535">
              <w:rPr>
                <w:rFonts w:cs="Arial"/>
                <w:szCs w:val="24"/>
              </w:rPr>
              <w:t>31 January 2019</w:t>
            </w:r>
          </w:p>
        </w:tc>
        <w:tc>
          <w:tcPr>
            <w:tcW w:w="1948" w:type="dxa"/>
          </w:tcPr>
          <w:p w:rsidR="00EA0535" w:rsidRPr="00EA0535" w:rsidRDefault="00EA0535" w:rsidP="00EA0535">
            <w:pPr>
              <w:rPr>
                <w:rFonts w:cs="Arial"/>
                <w:bCs w:val="0"/>
                <w:szCs w:val="24"/>
              </w:rPr>
            </w:pPr>
            <w:r w:rsidRPr="00EA0535">
              <w:rPr>
                <w:rFonts w:cs="Arial"/>
                <w:szCs w:val="24"/>
              </w:rPr>
              <w:t>15% of year 2 reward</w:t>
            </w:r>
          </w:p>
        </w:tc>
      </w:tr>
      <w:tr w:rsidR="00EA0535" w:rsidRPr="00EA0535" w:rsidTr="00567305">
        <w:trPr>
          <w:cantSplit/>
          <w:trHeight w:val="295"/>
        </w:trPr>
        <w:tc>
          <w:tcPr>
            <w:tcW w:w="1776" w:type="dxa"/>
          </w:tcPr>
          <w:p w:rsidR="00EA0535" w:rsidRPr="002378B0" w:rsidRDefault="00EA0535" w:rsidP="00EA0535">
            <w:pPr>
              <w:rPr>
                <w:rFonts w:cs="Arial"/>
                <w:b/>
                <w:bCs w:val="0"/>
              </w:rPr>
            </w:pPr>
            <w:r w:rsidRPr="002378B0">
              <w:rPr>
                <w:rFonts w:cs="Arial"/>
                <w:b/>
              </w:rPr>
              <w:t>Q4 2018/19</w:t>
            </w:r>
          </w:p>
        </w:tc>
        <w:tc>
          <w:tcPr>
            <w:tcW w:w="3762" w:type="dxa"/>
          </w:tcPr>
          <w:p w:rsidR="00EA0535" w:rsidRPr="00EA0535" w:rsidRDefault="00EA0535" w:rsidP="00F45A60">
            <w:pPr>
              <w:numPr>
                <w:ilvl w:val="0"/>
                <w:numId w:val="8"/>
              </w:numPr>
              <w:contextualSpacing/>
              <w:rPr>
                <w:rFonts w:eastAsiaTheme="minorEastAsia" w:cs="Arial"/>
                <w:szCs w:val="24"/>
              </w:rPr>
            </w:pPr>
            <w:r w:rsidRPr="00EA0535">
              <w:rPr>
                <w:rFonts w:eastAsiaTheme="minorEastAsia" w:cs="Arial"/>
                <w:szCs w:val="24"/>
              </w:rPr>
              <w:t xml:space="preserve">A&amp;G services in place for a group of specialties responsible for </w:t>
            </w:r>
            <w:r w:rsidRPr="00951A77">
              <w:rPr>
                <w:rFonts w:eastAsiaTheme="minorEastAsia"/>
              </w:rPr>
              <w:t>receiving 75%</w:t>
            </w:r>
            <w:r w:rsidRPr="00EA0535">
              <w:rPr>
                <w:rFonts w:eastAsiaTheme="minorEastAsia" w:cs="Arial"/>
                <w:szCs w:val="24"/>
              </w:rPr>
              <w:t xml:space="preserve"> of total GP referrals by start of Q4 a</w:t>
            </w:r>
            <w:r w:rsidR="00AD31D1">
              <w:rPr>
                <w:rFonts w:eastAsiaTheme="minorEastAsia" w:cs="Arial"/>
                <w:szCs w:val="24"/>
              </w:rPr>
              <w:t>nd sustained across the quarter</w:t>
            </w:r>
          </w:p>
          <w:p w:rsidR="00EA0535" w:rsidRPr="00EA0535" w:rsidRDefault="00EA0535" w:rsidP="00F45A60">
            <w:pPr>
              <w:numPr>
                <w:ilvl w:val="0"/>
                <w:numId w:val="8"/>
              </w:numPr>
              <w:contextualSpacing/>
              <w:rPr>
                <w:rFonts w:eastAsiaTheme="minorEastAsia" w:cs="Arial"/>
                <w:szCs w:val="24"/>
              </w:rPr>
            </w:pPr>
            <w:r w:rsidRPr="00EA0535">
              <w:rPr>
                <w:rFonts w:eastAsiaTheme="minorEastAsia" w:cs="Arial"/>
                <w:szCs w:val="24"/>
              </w:rPr>
              <w:t>Local quality standards met</w:t>
            </w:r>
          </w:p>
          <w:p w:rsidR="00EA0535" w:rsidRPr="00EA0535" w:rsidRDefault="00EA0535" w:rsidP="00403186">
            <w:pPr>
              <w:numPr>
                <w:ilvl w:val="0"/>
                <w:numId w:val="8"/>
              </w:numPr>
              <w:contextualSpacing/>
              <w:rPr>
                <w:rFonts w:eastAsiaTheme="minorEastAsia" w:cs="Arial"/>
                <w:szCs w:val="24"/>
              </w:rPr>
            </w:pPr>
            <w:r w:rsidRPr="00EA0535">
              <w:rPr>
                <w:rFonts w:eastAsiaTheme="minorEastAsia" w:cs="Arial"/>
                <w:szCs w:val="24"/>
              </w:rPr>
              <w:t>Data for main indicator provided</w:t>
            </w:r>
          </w:p>
        </w:tc>
        <w:tc>
          <w:tcPr>
            <w:tcW w:w="1728" w:type="dxa"/>
          </w:tcPr>
          <w:p w:rsidR="00EA0535" w:rsidRPr="00EA0535" w:rsidRDefault="00EA0535" w:rsidP="00EA0535">
            <w:pPr>
              <w:rPr>
                <w:rFonts w:cs="Arial"/>
                <w:bCs w:val="0"/>
                <w:szCs w:val="24"/>
              </w:rPr>
            </w:pPr>
            <w:r w:rsidRPr="00EA0535">
              <w:rPr>
                <w:rFonts w:cs="Arial"/>
                <w:szCs w:val="24"/>
              </w:rPr>
              <w:t>30 May 2019</w:t>
            </w:r>
          </w:p>
        </w:tc>
        <w:tc>
          <w:tcPr>
            <w:tcW w:w="1948" w:type="dxa"/>
          </w:tcPr>
          <w:p w:rsidR="00EA0535" w:rsidRPr="00EA0535" w:rsidRDefault="00EA0535" w:rsidP="00EA0535">
            <w:pPr>
              <w:rPr>
                <w:rFonts w:cs="Arial"/>
                <w:bCs w:val="0"/>
                <w:szCs w:val="24"/>
              </w:rPr>
            </w:pPr>
            <w:r w:rsidRPr="00EA0535">
              <w:rPr>
                <w:rFonts w:cs="Arial"/>
                <w:szCs w:val="24"/>
              </w:rPr>
              <w:t>55% of year 2 reward</w:t>
            </w:r>
          </w:p>
        </w:tc>
      </w:tr>
    </w:tbl>
    <w:p w:rsidR="00AD31D1" w:rsidRDefault="00AD31D1">
      <w:pPr>
        <w:rPr>
          <w:rFonts w:eastAsiaTheme="majorEastAsia" w:cstheme="majorBidi"/>
          <w:b/>
          <w:bCs w:val="0"/>
          <w:iCs/>
          <w:color w:val="A00054" w:themeColor="accent2"/>
          <w:lang w:eastAsia="en-GB"/>
        </w:rPr>
      </w:pPr>
      <w:bookmarkStart w:id="61" w:name="_Toc461714492"/>
      <w:bookmarkStart w:id="62" w:name="_Toc462224342"/>
      <w:bookmarkStart w:id="63" w:name="_Toc462303934"/>
    </w:p>
    <w:p w:rsidR="00EA0535" w:rsidRPr="00EA0535" w:rsidRDefault="00EA0535" w:rsidP="00EA0535">
      <w:pPr>
        <w:pStyle w:val="Heading4"/>
        <w:rPr>
          <w:lang w:eastAsia="en-GB"/>
        </w:rPr>
      </w:pPr>
      <w:r w:rsidRPr="00EA0535">
        <w:rPr>
          <w:lang w:eastAsia="en-GB"/>
        </w:rPr>
        <w:t>Rules for partial achievement</w:t>
      </w:r>
      <w:bookmarkEnd w:id="61"/>
      <w:bookmarkEnd w:id="62"/>
      <w:bookmarkEnd w:id="63"/>
      <w:r w:rsidRPr="00EA0535">
        <w:rPr>
          <w:lang w:eastAsia="en-GB"/>
        </w:rPr>
        <w:t xml:space="preserve"> </w:t>
      </w:r>
      <w:r>
        <w:rPr>
          <w:lang w:eastAsia="en-GB"/>
        </w:rPr>
        <w:t>of indicator 6</w:t>
      </w:r>
    </w:p>
    <w:p w:rsidR="00EA0535" w:rsidRDefault="00EA0535" w:rsidP="00EA0535">
      <w:pPr>
        <w:rPr>
          <w:b/>
          <w:lang w:eastAsia="en-GB"/>
        </w:rPr>
      </w:pP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2"/>
        <w:gridCol w:w="4733"/>
      </w:tblGrid>
      <w:tr w:rsidR="00EA0535" w:rsidRPr="00EA0535" w:rsidTr="00CB65F3">
        <w:trPr>
          <w:trHeight w:val="386"/>
          <w:tblHeader/>
        </w:trPr>
        <w:tc>
          <w:tcPr>
            <w:tcW w:w="4462" w:type="dxa"/>
            <w:shd w:val="clear" w:color="auto" w:fill="0070C0"/>
            <w:noWrap/>
            <w:vAlign w:val="center"/>
          </w:tcPr>
          <w:p w:rsidR="00EA0535" w:rsidRPr="00EA0535" w:rsidRDefault="00EA0535" w:rsidP="00EA0535">
            <w:pPr>
              <w:rPr>
                <w:rFonts w:cs="Arial"/>
                <w:b/>
                <w:color w:val="FFFFFF" w:themeColor="background1"/>
                <w:lang w:eastAsia="en-GB"/>
              </w:rPr>
            </w:pPr>
            <w:r w:rsidRPr="00EA0535">
              <w:rPr>
                <w:rFonts w:cs="Arial"/>
                <w:b/>
                <w:color w:val="FFFFFF" w:themeColor="background1"/>
                <w:lang w:eastAsia="en-GB"/>
              </w:rPr>
              <w:t>Final indicator value for the partial achievement threshold</w:t>
            </w:r>
          </w:p>
        </w:tc>
        <w:tc>
          <w:tcPr>
            <w:tcW w:w="4733" w:type="dxa"/>
            <w:shd w:val="clear" w:color="auto" w:fill="0070C0"/>
            <w:vAlign w:val="center"/>
          </w:tcPr>
          <w:p w:rsidR="00EA0535" w:rsidRPr="00EA0535" w:rsidRDefault="00EA0535" w:rsidP="00EA0535">
            <w:pPr>
              <w:rPr>
                <w:rFonts w:cs="Arial"/>
                <w:b/>
                <w:color w:val="FFFFFF" w:themeColor="background1"/>
                <w:lang w:eastAsia="en-GB"/>
              </w:rPr>
            </w:pPr>
            <w:r w:rsidRPr="00EA0535">
              <w:rPr>
                <w:rFonts w:cs="Arial"/>
                <w:b/>
                <w:color w:val="FFFFFF" w:themeColor="background1"/>
                <w:lang w:eastAsia="en-GB"/>
              </w:rPr>
              <w:t>% of CQUIN scheme available for meeting final indicator value</w:t>
            </w:r>
          </w:p>
        </w:tc>
      </w:tr>
      <w:tr w:rsidR="00AD31D1" w:rsidRPr="00EA0535" w:rsidTr="00CB65F3">
        <w:trPr>
          <w:trHeight w:val="383"/>
        </w:trPr>
        <w:tc>
          <w:tcPr>
            <w:tcW w:w="4462" w:type="dxa"/>
            <w:vAlign w:val="center"/>
          </w:tcPr>
          <w:p w:rsidR="00AD31D1" w:rsidRPr="00EA0535" w:rsidRDefault="00AD31D1" w:rsidP="00EA0535">
            <w:pPr>
              <w:rPr>
                <w:rFonts w:cs="Arial"/>
                <w:b/>
                <w:bCs w:val="0"/>
              </w:rPr>
            </w:pPr>
            <w:r w:rsidRPr="00E66267">
              <w:rPr>
                <w:rFonts w:cs="Arial"/>
                <w:b/>
              </w:rPr>
              <w:t>≥</w:t>
            </w:r>
            <w:r>
              <w:rPr>
                <w:rFonts w:cs="Arial"/>
                <w:b/>
              </w:rPr>
              <w:t>35</w:t>
            </w:r>
            <w:r w:rsidRPr="00E66267">
              <w:rPr>
                <w:rFonts w:cs="Arial"/>
                <w:b/>
              </w:rPr>
              <w:t>%</w:t>
            </w:r>
          </w:p>
        </w:tc>
        <w:tc>
          <w:tcPr>
            <w:tcW w:w="4733" w:type="dxa"/>
            <w:vAlign w:val="center"/>
          </w:tcPr>
          <w:p w:rsidR="00AD31D1" w:rsidRPr="00EA0535" w:rsidRDefault="00AD31D1" w:rsidP="00EA0535">
            <w:pPr>
              <w:rPr>
                <w:rFonts w:cs="Arial"/>
                <w:b/>
                <w:bCs w:val="0"/>
              </w:rPr>
            </w:pPr>
            <w:r w:rsidRPr="00E66267">
              <w:rPr>
                <w:rFonts w:cs="Arial"/>
                <w:b/>
              </w:rPr>
              <w:t xml:space="preserve">100% of Q4 </w:t>
            </w:r>
            <w:r>
              <w:rPr>
                <w:rFonts w:cs="Arial"/>
                <w:b/>
              </w:rPr>
              <w:t>2017/18</w:t>
            </w:r>
            <w:r w:rsidRPr="00E66267">
              <w:rPr>
                <w:rFonts w:cs="Arial"/>
                <w:b/>
              </w:rPr>
              <w:t xml:space="preserve"> reward</w:t>
            </w:r>
          </w:p>
        </w:tc>
      </w:tr>
      <w:tr w:rsidR="00AD31D1" w:rsidRPr="00EA0535" w:rsidTr="00CB65F3">
        <w:trPr>
          <w:trHeight w:val="383"/>
        </w:trPr>
        <w:tc>
          <w:tcPr>
            <w:tcW w:w="4462" w:type="dxa"/>
            <w:vAlign w:val="center"/>
          </w:tcPr>
          <w:p w:rsidR="00AD31D1" w:rsidRPr="00EA0535" w:rsidRDefault="00AD31D1" w:rsidP="00EA0535">
            <w:pPr>
              <w:rPr>
                <w:rFonts w:cs="Arial"/>
                <w:b/>
                <w:bCs w:val="0"/>
              </w:rPr>
            </w:pPr>
            <w:r>
              <w:rPr>
                <w:rFonts w:cs="Arial"/>
                <w:b/>
              </w:rPr>
              <w:t>30</w:t>
            </w:r>
            <w:r w:rsidRPr="00E66267">
              <w:rPr>
                <w:rFonts w:cs="Arial"/>
                <w:b/>
              </w:rPr>
              <w:t>%</w:t>
            </w:r>
            <w:r>
              <w:rPr>
                <w:rFonts w:cs="Arial"/>
                <w:b/>
              </w:rPr>
              <w:t xml:space="preserve"> - &lt;35%</w:t>
            </w:r>
          </w:p>
        </w:tc>
        <w:tc>
          <w:tcPr>
            <w:tcW w:w="4733" w:type="dxa"/>
            <w:vAlign w:val="center"/>
          </w:tcPr>
          <w:p w:rsidR="00AD31D1" w:rsidRPr="00EA0535" w:rsidRDefault="00AD31D1" w:rsidP="00EA0535">
            <w:pPr>
              <w:rPr>
                <w:rFonts w:cs="Arial"/>
                <w:b/>
                <w:bCs w:val="0"/>
              </w:rPr>
            </w:pPr>
            <w:r>
              <w:rPr>
                <w:rFonts w:cs="Arial"/>
              </w:rPr>
              <w:t xml:space="preserve">80% of Q4 2017/18 </w:t>
            </w:r>
            <w:r w:rsidRPr="00E66267">
              <w:rPr>
                <w:rFonts w:cs="Arial"/>
              </w:rPr>
              <w:t>reward</w:t>
            </w:r>
          </w:p>
        </w:tc>
      </w:tr>
      <w:tr w:rsidR="00AD31D1" w:rsidRPr="00EA0535" w:rsidTr="00CB65F3">
        <w:trPr>
          <w:trHeight w:val="383"/>
        </w:trPr>
        <w:tc>
          <w:tcPr>
            <w:tcW w:w="4462" w:type="dxa"/>
            <w:vAlign w:val="center"/>
          </w:tcPr>
          <w:p w:rsidR="00AD31D1" w:rsidRPr="00EA0535" w:rsidRDefault="00AD31D1" w:rsidP="00EA0535">
            <w:pPr>
              <w:rPr>
                <w:rFonts w:cs="Arial"/>
                <w:b/>
                <w:bCs w:val="0"/>
              </w:rPr>
            </w:pPr>
            <w:r>
              <w:rPr>
                <w:rFonts w:cs="Arial"/>
                <w:b/>
              </w:rPr>
              <w:t>25% - &lt;30%</w:t>
            </w:r>
          </w:p>
        </w:tc>
        <w:tc>
          <w:tcPr>
            <w:tcW w:w="4733" w:type="dxa"/>
            <w:vAlign w:val="center"/>
          </w:tcPr>
          <w:p w:rsidR="00AD31D1" w:rsidRPr="00EA0535" w:rsidRDefault="00AD31D1" w:rsidP="00EA0535">
            <w:pPr>
              <w:rPr>
                <w:rFonts w:cs="Arial"/>
                <w:b/>
                <w:bCs w:val="0"/>
              </w:rPr>
            </w:pPr>
            <w:r>
              <w:rPr>
                <w:rFonts w:cs="Arial"/>
              </w:rPr>
              <w:t>60% of Q4 2017/18</w:t>
            </w:r>
            <w:r w:rsidRPr="00E66267">
              <w:rPr>
                <w:rFonts w:cs="Arial"/>
              </w:rPr>
              <w:t xml:space="preserve"> reward</w:t>
            </w:r>
          </w:p>
        </w:tc>
      </w:tr>
      <w:tr w:rsidR="00AD31D1" w:rsidRPr="00EA0535" w:rsidTr="00CB65F3">
        <w:trPr>
          <w:trHeight w:val="383"/>
        </w:trPr>
        <w:tc>
          <w:tcPr>
            <w:tcW w:w="4462" w:type="dxa"/>
            <w:vAlign w:val="center"/>
          </w:tcPr>
          <w:p w:rsidR="00AD31D1" w:rsidRPr="00EA0535" w:rsidRDefault="008D7C96" w:rsidP="008D7C96">
            <w:pPr>
              <w:rPr>
                <w:rFonts w:cs="Arial"/>
                <w:b/>
                <w:bCs w:val="0"/>
              </w:rPr>
            </w:pPr>
            <w:r>
              <w:rPr>
                <w:rFonts w:cs="Arial"/>
                <w:b/>
              </w:rPr>
              <w:t>20</w:t>
            </w:r>
            <w:r w:rsidR="00AD31D1" w:rsidRPr="00E66267">
              <w:rPr>
                <w:rFonts w:cs="Arial"/>
                <w:b/>
              </w:rPr>
              <w:t>%</w:t>
            </w:r>
            <w:r w:rsidR="00AD31D1">
              <w:rPr>
                <w:rFonts w:cs="Arial"/>
                <w:b/>
              </w:rPr>
              <w:t xml:space="preserve"> - &lt;</w:t>
            </w:r>
            <w:r>
              <w:rPr>
                <w:rFonts w:cs="Arial"/>
                <w:b/>
              </w:rPr>
              <w:t>25</w:t>
            </w:r>
            <w:r w:rsidR="00AD31D1">
              <w:rPr>
                <w:rFonts w:cs="Arial"/>
                <w:b/>
              </w:rPr>
              <w:t>%</w:t>
            </w:r>
          </w:p>
        </w:tc>
        <w:tc>
          <w:tcPr>
            <w:tcW w:w="4733" w:type="dxa"/>
            <w:vAlign w:val="center"/>
          </w:tcPr>
          <w:p w:rsidR="00AD31D1" w:rsidRPr="00EA0535" w:rsidRDefault="00AD31D1" w:rsidP="00EA0535">
            <w:pPr>
              <w:rPr>
                <w:rFonts w:cs="Arial"/>
                <w:b/>
                <w:bCs w:val="0"/>
              </w:rPr>
            </w:pPr>
            <w:r>
              <w:rPr>
                <w:rFonts w:cs="Arial"/>
              </w:rPr>
              <w:t>40% of Q4 2017/18</w:t>
            </w:r>
            <w:r w:rsidRPr="00E66267">
              <w:rPr>
                <w:rFonts w:cs="Arial"/>
              </w:rPr>
              <w:t xml:space="preserve"> reward</w:t>
            </w:r>
          </w:p>
        </w:tc>
      </w:tr>
      <w:tr w:rsidR="00AD31D1" w:rsidRPr="00EA0535" w:rsidTr="00CB65F3">
        <w:trPr>
          <w:trHeight w:val="383"/>
        </w:trPr>
        <w:tc>
          <w:tcPr>
            <w:tcW w:w="4462" w:type="dxa"/>
            <w:vAlign w:val="center"/>
          </w:tcPr>
          <w:p w:rsidR="00AD31D1" w:rsidRPr="00EA0535" w:rsidRDefault="00AD31D1" w:rsidP="00EA0535">
            <w:pPr>
              <w:rPr>
                <w:rFonts w:cs="Arial"/>
                <w:b/>
                <w:bCs w:val="0"/>
              </w:rPr>
            </w:pPr>
            <w:r>
              <w:rPr>
                <w:rFonts w:cs="Arial"/>
                <w:b/>
              </w:rPr>
              <w:t>≥75</w:t>
            </w:r>
            <w:r w:rsidRPr="00E66267">
              <w:rPr>
                <w:rFonts w:cs="Arial"/>
                <w:b/>
              </w:rPr>
              <w:t>%</w:t>
            </w:r>
          </w:p>
        </w:tc>
        <w:tc>
          <w:tcPr>
            <w:tcW w:w="4733" w:type="dxa"/>
            <w:vAlign w:val="center"/>
          </w:tcPr>
          <w:p w:rsidR="00AD31D1" w:rsidRPr="00EA0535" w:rsidRDefault="00AD31D1" w:rsidP="00EA0535">
            <w:pPr>
              <w:rPr>
                <w:rFonts w:cs="Arial"/>
                <w:b/>
                <w:bCs w:val="0"/>
              </w:rPr>
            </w:pPr>
            <w:r w:rsidRPr="00E66267">
              <w:rPr>
                <w:rFonts w:cs="Arial"/>
                <w:b/>
              </w:rPr>
              <w:t>100% of Q4 2018/19 reward</w:t>
            </w:r>
          </w:p>
        </w:tc>
      </w:tr>
      <w:tr w:rsidR="00AD31D1" w:rsidRPr="00EA0535" w:rsidTr="00CB65F3">
        <w:trPr>
          <w:trHeight w:val="383"/>
        </w:trPr>
        <w:tc>
          <w:tcPr>
            <w:tcW w:w="4462" w:type="dxa"/>
            <w:vAlign w:val="center"/>
          </w:tcPr>
          <w:p w:rsidR="00AD31D1" w:rsidRPr="00EA0535" w:rsidRDefault="00AD31D1" w:rsidP="00EA0535">
            <w:pPr>
              <w:rPr>
                <w:rFonts w:cs="Arial"/>
                <w:b/>
                <w:bCs w:val="0"/>
              </w:rPr>
            </w:pPr>
            <w:r>
              <w:rPr>
                <w:rFonts w:cs="Arial"/>
                <w:b/>
              </w:rPr>
              <w:t>65</w:t>
            </w:r>
            <w:r w:rsidRPr="00E66267">
              <w:rPr>
                <w:rFonts w:cs="Arial"/>
                <w:b/>
              </w:rPr>
              <w:t>%</w:t>
            </w:r>
            <w:r>
              <w:rPr>
                <w:rFonts w:cs="Arial"/>
                <w:b/>
              </w:rPr>
              <w:t xml:space="preserve"> - &lt;75%</w:t>
            </w:r>
          </w:p>
        </w:tc>
        <w:tc>
          <w:tcPr>
            <w:tcW w:w="4733" w:type="dxa"/>
            <w:vAlign w:val="center"/>
          </w:tcPr>
          <w:p w:rsidR="00AD31D1" w:rsidRPr="00EA0535" w:rsidRDefault="00AD31D1" w:rsidP="00EA0535">
            <w:pPr>
              <w:rPr>
                <w:rFonts w:cs="Arial"/>
                <w:b/>
                <w:bCs w:val="0"/>
              </w:rPr>
            </w:pPr>
            <w:r w:rsidRPr="00E66267">
              <w:rPr>
                <w:rFonts w:cs="Arial"/>
              </w:rPr>
              <w:t>80% of Q4 2018/19 reward</w:t>
            </w:r>
          </w:p>
        </w:tc>
      </w:tr>
      <w:tr w:rsidR="00AD31D1" w:rsidRPr="00EA0535" w:rsidTr="00CB65F3">
        <w:trPr>
          <w:trHeight w:val="383"/>
        </w:trPr>
        <w:tc>
          <w:tcPr>
            <w:tcW w:w="4462" w:type="dxa"/>
            <w:vAlign w:val="center"/>
          </w:tcPr>
          <w:p w:rsidR="00AD31D1" w:rsidRPr="00EA0535" w:rsidRDefault="00AD31D1" w:rsidP="00EA0535">
            <w:pPr>
              <w:rPr>
                <w:rFonts w:cs="Arial"/>
                <w:b/>
                <w:bCs w:val="0"/>
              </w:rPr>
            </w:pPr>
            <w:r>
              <w:rPr>
                <w:rFonts w:cs="Arial"/>
                <w:b/>
              </w:rPr>
              <w:t>55</w:t>
            </w:r>
            <w:r w:rsidRPr="00E66267">
              <w:rPr>
                <w:rFonts w:cs="Arial"/>
                <w:b/>
              </w:rPr>
              <w:t>%</w:t>
            </w:r>
            <w:r>
              <w:rPr>
                <w:rFonts w:cs="Arial"/>
                <w:b/>
              </w:rPr>
              <w:t xml:space="preserve"> - &lt;65%</w:t>
            </w:r>
          </w:p>
        </w:tc>
        <w:tc>
          <w:tcPr>
            <w:tcW w:w="4733" w:type="dxa"/>
            <w:vAlign w:val="center"/>
          </w:tcPr>
          <w:p w:rsidR="00AD31D1" w:rsidRPr="00EA0535" w:rsidRDefault="00AD31D1" w:rsidP="00EA0535">
            <w:pPr>
              <w:rPr>
                <w:rFonts w:cs="Arial"/>
                <w:b/>
                <w:bCs w:val="0"/>
              </w:rPr>
            </w:pPr>
            <w:r w:rsidRPr="00E66267">
              <w:rPr>
                <w:rFonts w:cs="Arial"/>
              </w:rPr>
              <w:t>60% of Q4 2018/19 reward</w:t>
            </w:r>
          </w:p>
        </w:tc>
      </w:tr>
      <w:tr w:rsidR="00AD31D1" w:rsidRPr="00EA0535" w:rsidTr="00CB65F3">
        <w:trPr>
          <w:trHeight w:val="383"/>
        </w:trPr>
        <w:tc>
          <w:tcPr>
            <w:tcW w:w="4462" w:type="dxa"/>
            <w:vAlign w:val="center"/>
          </w:tcPr>
          <w:p w:rsidR="00AD31D1" w:rsidRPr="00EA0535" w:rsidRDefault="00AD31D1" w:rsidP="00EA0535">
            <w:pPr>
              <w:rPr>
                <w:rFonts w:cs="Arial"/>
                <w:b/>
                <w:bCs w:val="0"/>
              </w:rPr>
            </w:pPr>
            <w:r>
              <w:rPr>
                <w:rFonts w:cs="Arial"/>
                <w:b/>
              </w:rPr>
              <w:t>45</w:t>
            </w:r>
            <w:r w:rsidRPr="00E66267">
              <w:rPr>
                <w:rFonts w:cs="Arial"/>
                <w:b/>
              </w:rPr>
              <w:t>%</w:t>
            </w:r>
            <w:r>
              <w:rPr>
                <w:rFonts w:cs="Arial"/>
                <w:b/>
              </w:rPr>
              <w:t xml:space="preserve"> - &lt;55%</w:t>
            </w:r>
          </w:p>
        </w:tc>
        <w:tc>
          <w:tcPr>
            <w:tcW w:w="4733" w:type="dxa"/>
            <w:vAlign w:val="center"/>
          </w:tcPr>
          <w:p w:rsidR="00AD31D1" w:rsidRPr="00EA0535" w:rsidRDefault="00AD31D1" w:rsidP="00EA0535">
            <w:pPr>
              <w:rPr>
                <w:rFonts w:cs="Arial"/>
                <w:b/>
                <w:bCs w:val="0"/>
              </w:rPr>
            </w:pPr>
            <w:r w:rsidRPr="00E66267">
              <w:rPr>
                <w:rFonts w:cs="Arial"/>
              </w:rPr>
              <w:t>40% of Q4 2018/19 reward</w:t>
            </w:r>
          </w:p>
        </w:tc>
      </w:tr>
    </w:tbl>
    <w:p w:rsidR="00EA0535" w:rsidRPr="00EA0535" w:rsidRDefault="00EA0535" w:rsidP="00EA0535">
      <w:pPr>
        <w:rPr>
          <w:b/>
          <w:lang w:eastAsia="en-GB"/>
        </w:rPr>
      </w:pPr>
    </w:p>
    <w:p w:rsidR="00DA1E83" w:rsidRDefault="00DA1E83">
      <w:pPr>
        <w:rPr>
          <w:rFonts w:cs="Arial"/>
          <w:b/>
          <w:color w:val="0072C6"/>
          <w:kern w:val="32"/>
          <w:sz w:val="32"/>
          <w:szCs w:val="32"/>
          <w:lang w:eastAsia="en-GB"/>
        </w:rPr>
      </w:pPr>
      <w:r>
        <w:rPr>
          <w:lang w:eastAsia="en-GB"/>
        </w:rPr>
        <w:br w:type="page"/>
      </w:r>
    </w:p>
    <w:p w:rsidR="00C02AC7" w:rsidRDefault="001F3C54" w:rsidP="00C02AC7">
      <w:pPr>
        <w:pStyle w:val="Heading1"/>
        <w:rPr>
          <w:lang w:eastAsia="en-GB"/>
        </w:rPr>
      </w:pPr>
      <w:bookmarkStart w:id="64" w:name="_Toc466290255"/>
      <w:r>
        <w:rPr>
          <w:lang w:eastAsia="en-GB"/>
        </w:rPr>
        <w:lastRenderedPageBreak/>
        <w:t>NHS e</w:t>
      </w:r>
      <w:r w:rsidR="00C02AC7" w:rsidRPr="00C02AC7">
        <w:rPr>
          <w:lang w:eastAsia="en-GB"/>
        </w:rPr>
        <w:t>-Referrals</w:t>
      </w:r>
      <w:bookmarkEnd w:id="64"/>
    </w:p>
    <w:p w:rsidR="00C02AC7" w:rsidRDefault="00C02AC7" w:rsidP="00C02AC7">
      <w:pPr>
        <w:rPr>
          <w:lang w:eastAsia="en-GB"/>
        </w:rPr>
      </w:pPr>
    </w:p>
    <w:tbl>
      <w:tblPr>
        <w:tblStyle w:val="TableGrid"/>
        <w:tblW w:w="0" w:type="auto"/>
        <w:tblLook w:val="04A0" w:firstRow="1" w:lastRow="0" w:firstColumn="1" w:lastColumn="0" w:noHBand="0" w:noVBand="1"/>
        <w:tblCaption w:val="Indicator 7"/>
        <w:tblDescription w:val="Indicator 7 detail"/>
      </w:tblPr>
      <w:tblGrid>
        <w:gridCol w:w="3510"/>
        <w:gridCol w:w="5770"/>
      </w:tblGrid>
      <w:tr w:rsidR="009D3748" w:rsidRPr="00E71417" w:rsidTr="00EB6EC2">
        <w:trPr>
          <w:tblHeader/>
        </w:trPr>
        <w:tc>
          <w:tcPr>
            <w:tcW w:w="9280" w:type="dxa"/>
            <w:gridSpan w:val="2"/>
            <w:shd w:val="clear" w:color="auto" w:fill="0072C6" w:themeFill="accent1"/>
          </w:tcPr>
          <w:p w:rsidR="009D3748" w:rsidRPr="00E71417" w:rsidRDefault="00E71417" w:rsidP="00AD69B8">
            <w:pPr>
              <w:jc w:val="center"/>
              <w:rPr>
                <w:rFonts w:cs="Arial"/>
                <w:b/>
                <w:color w:val="FFFFFF" w:themeColor="background1"/>
              </w:rPr>
            </w:pPr>
            <w:r w:rsidRPr="00E71417">
              <w:rPr>
                <w:rFonts w:cs="Arial"/>
                <w:b/>
                <w:color w:val="FFFFFF" w:themeColor="background1"/>
              </w:rPr>
              <w:t>Indicator  7</w:t>
            </w:r>
          </w:p>
        </w:tc>
      </w:tr>
      <w:tr w:rsidR="00E71417" w:rsidTr="00E71417">
        <w:tc>
          <w:tcPr>
            <w:tcW w:w="3510" w:type="dxa"/>
          </w:tcPr>
          <w:p w:rsidR="00E71417" w:rsidRPr="00E43065" w:rsidRDefault="00E71417" w:rsidP="00E71417">
            <w:pPr>
              <w:rPr>
                <w:rFonts w:cs="Arial"/>
                <w:b/>
                <w:color w:val="FFFFFF" w:themeColor="background1"/>
              </w:rPr>
            </w:pPr>
            <w:r w:rsidRPr="00E43065">
              <w:rPr>
                <w:b/>
              </w:rPr>
              <w:t>Indicator name</w:t>
            </w:r>
          </w:p>
        </w:tc>
        <w:tc>
          <w:tcPr>
            <w:tcW w:w="5770" w:type="dxa"/>
          </w:tcPr>
          <w:p w:rsidR="00E71417" w:rsidRDefault="001F3C54" w:rsidP="001F3C54">
            <w:pPr>
              <w:rPr>
                <w:lang w:eastAsia="en-GB"/>
              </w:rPr>
            </w:pPr>
            <w:r>
              <w:t xml:space="preserve">NHS e-Referrals </w:t>
            </w:r>
            <w:r w:rsidR="00E71417" w:rsidRPr="0047156F">
              <w:t>CQUIN</w:t>
            </w:r>
          </w:p>
        </w:tc>
      </w:tr>
      <w:tr w:rsidR="00E71417" w:rsidTr="00E71417">
        <w:tc>
          <w:tcPr>
            <w:tcW w:w="3510" w:type="dxa"/>
          </w:tcPr>
          <w:p w:rsidR="00E71417" w:rsidRPr="00E43065" w:rsidRDefault="00E71417" w:rsidP="00E71417">
            <w:pPr>
              <w:rPr>
                <w:b/>
                <w:lang w:eastAsia="en-GB"/>
              </w:rPr>
            </w:pPr>
            <w:r w:rsidRPr="00E43065">
              <w:rPr>
                <w:rFonts w:cs="Arial"/>
                <w:b/>
                <w:color w:val="000000"/>
              </w:rPr>
              <w:t xml:space="preserve">Indicator weighting </w:t>
            </w:r>
            <w:r w:rsidRPr="00E43065">
              <w:rPr>
                <w:rFonts w:cs="Arial"/>
                <w:b/>
                <w:color w:val="000000"/>
              </w:rPr>
              <w:br/>
              <w:t>(% of CQUIN scheme available)</w:t>
            </w:r>
          </w:p>
        </w:tc>
        <w:tc>
          <w:tcPr>
            <w:tcW w:w="5770" w:type="dxa"/>
          </w:tcPr>
          <w:p w:rsidR="00E71417" w:rsidRDefault="00E71417" w:rsidP="00E43065">
            <w:pPr>
              <w:rPr>
                <w:lang w:eastAsia="en-GB"/>
              </w:rPr>
            </w:pPr>
            <w:r w:rsidRPr="00322A00">
              <w:rPr>
                <w:rFonts w:cs="Arial"/>
                <w:color w:val="000000"/>
              </w:rPr>
              <w:t>0.25%</w:t>
            </w:r>
            <w:r w:rsidR="00EC02B9">
              <w:rPr>
                <w:rFonts w:cs="Arial"/>
                <w:color w:val="000000"/>
              </w:rPr>
              <w:t xml:space="preserve"> </w:t>
            </w:r>
          </w:p>
        </w:tc>
      </w:tr>
      <w:tr w:rsidR="00E71417" w:rsidTr="00E71417">
        <w:trPr>
          <w:trHeight w:val="2463"/>
        </w:trPr>
        <w:tc>
          <w:tcPr>
            <w:tcW w:w="3510" w:type="dxa"/>
          </w:tcPr>
          <w:p w:rsidR="00E71417" w:rsidRPr="00E43065" w:rsidRDefault="00E71417" w:rsidP="00C02AC7">
            <w:pPr>
              <w:rPr>
                <w:b/>
                <w:lang w:eastAsia="en-GB"/>
              </w:rPr>
            </w:pPr>
            <w:r w:rsidRPr="00E43065">
              <w:rPr>
                <w:b/>
              </w:rPr>
              <w:t>Description of indicator</w:t>
            </w:r>
          </w:p>
        </w:tc>
        <w:tc>
          <w:tcPr>
            <w:tcW w:w="5770" w:type="dxa"/>
          </w:tcPr>
          <w:p w:rsidR="00E71417" w:rsidRDefault="00E71417" w:rsidP="00E43065">
            <w:r w:rsidRPr="00A435E5">
              <w:t>This indicator relates to GP referrals to consultant-led 1</w:t>
            </w:r>
            <w:r w:rsidRPr="00E43065">
              <w:rPr>
                <w:vertAlign w:val="superscript"/>
              </w:rPr>
              <w:t>st</w:t>
            </w:r>
            <w:r w:rsidR="00E43065">
              <w:t xml:space="preserve"> </w:t>
            </w:r>
            <w:r w:rsidRPr="00A435E5">
              <w:t>outpatient services only and the availability of services and appointments on the NHS e-Referral Service. It is not looking at percentage utilisation of the system.</w:t>
            </w:r>
          </w:p>
          <w:p w:rsidR="00E71417" w:rsidRDefault="00E71417" w:rsidP="00E43065"/>
          <w:p w:rsidR="00E71417" w:rsidRDefault="00E43065" w:rsidP="00E43065">
            <w:pPr>
              <w:rPr>
                <w:lang w:eastAsia="en-GB"/>
              </w:rPr>
            </w:pPr>
            <w:r>
              <w:rPr>
                <w:lang w:eastAsia="en-GB"/>
              </w:rPr>
              <w:t xml:space="preserve">All providers to publish ALL </w:t>
            </w:r>
            <w:r w:rsidR="00E71417">
              <w:rPr>
                <w:lang w:eastAsia="en-GB"/>
              </w:rPr>
              <w:t xml:space="preserve">such services and make ALL of their First Outpatient Appointment slots available </w:t>
            </w:r>
            <w:r w:rsidR="00E71417" w:rsidRPr="00AD69B8">
              <w:rPr>
                <w:lang w:eastAsia="en-GB"/>
              </w:rPr>
              <w:t xml:space="preserve">on </w:t>
            </w:r>
            <w:r w:rsidRPr="00AD69B8">
              <w:rPr>
                <w:lang w:eastAsia="en-GB"/>
              </w:rPr>
              <w:t>NHS e-Referral Service (</w:t>
            </w:r>
            <w:r w:rsidR="00E71417" w:rsidRPr="000E28AE">
              <w:rPr>
                <w:lang w:eastAsia="en-GB"/>
              </w:rPr>
              <w:t>e</w:t>
            </w:r>
            <w:r w:rsidR="009A4CD9" w:rsidRPr="000E28AE">
              <w:rPr>
                <w:lang w:eastAsia="en-GB"/>
              </w:rPr>
              <w:t>-</w:t>
            </w:r>
            <w:r w:rsidR="00E71417" w:rsidRPr="000E28AE">
              <w:rPr>
                <w:lang w:eastAsia="en-GB"/>
              </w:rPr>
              <w:t>RS</w:t>
            </w:r>
            <w:r w:rsidRPr="000E28AE">
              <w:rPr>
                <w:lang w:eastAsia="en-GB"/>
              </w:rPr>
              <w:t>)</w:t>
            </w:r>
            <w:r w:rsidR="00E71417">
              <w:rPr>
                <w:lang w:eastAsia="en-GB"/>
              </w:rPr>
              <w:t xml:space="preserve"> by 31 March 2018</w:t>
            </w:r>
            <w:r>
              <w:rPr>
                <w:lang w:eastAsia="en-GB"/>
              </w:rPr>
              <w:t xml:space="preserve"> following the trajectory below.</w:t>
            </w:r>
          </w:p>
          <w:p w:rsidR="00E71417" w:rsidRDefault="00E71417" w:rsidP="00E43065">
            <w:pPr>
              <w:rPr>
                <w:lang w:eastAsia="en-GB"/>
              </w:rPr>
            </w:pPr>
          </w:p>
          <w:p w:rsidR="00E71417" w:rsidRDefault="00E71417" w:rsidP="00E43065">
            <w:pPr>
              <w:rPr>
                <w:lang w:eastAsia="en-GB"/>
              </w:rPr>
            </w:pPr>
            <w:r>
              <w:rPr>
                <w:lang w:eastAsia="en-GB"/>
              </w:rPr>
              <w:t>Undertake required work on their Directory of Services to publish ALL services on the NHS e-Referral Service.</w:t>
            </w:r>
          </w:p>
          <w:p w:rsidR="00E71417" w:rsidRDefault="00E71417" w:rsidP="00E43065">
            <w:pPr>
              <w:rPr>
                <w:lang w:eastAsia="en-GB"/>
              </w:rPr>
            </w:pPr>
          </w:p>
          <w:p w:rsidR="00E71417" w:rsidRDefault="00114E58" w:rsidP="00E43065">
            <w:pPr>
              <w:rPr>
                <w:lang w:eastAsia="en-GB"/>
              </w:rPr>
            </w:pPr>
            <w:r>
              <w:t>The guidance below sets out the practical steps for delivery in support of this scheme.</w:t>
            </w:r>
          </w:p>
        </w:tc>
      </w:tr>
      <w:tr w:rsidR="00E71417" w:rsidTr="00E71417">
        <w:tc>
          <w:tcPr>
            <w:tcW w:w="3510" w:type="dxa"/>
          </w:tcPr>
          <w:p w:rsidR="00E71417" w:rsidRPr="00E43065" w:rsidRDefault="00E71417" w:rsidP="00C02AC7">
            <w:pPr>
              <w:rPr>
                <w:b/>
                <w:lang w:eastAsia="en-GB"/>
              </w:rPr>
            </w:pPr>
            <w:r w:rsidRPr="00E43065">
              <w:rPr>
                <w:b/>
                <w:lang w:eastAsia="en-GB"/>
              </w:rPr>
              <w:t>Numerator</w:t>
            </w:r>
          </w:p>
        </w:tc>
        <w:tc>
          <w:tcPr>
            <w:tcW w:w="5770" w:type="dxa"/>
          </w:tcPr>
          <w:p w:rsidR="00E71417" w:rsidRPr="00E71417" w:rsidRDefault="00E71417" w:rsidP="00E71417">
            <w:pPr>
              <w:rPr>
                <w:lang w:eastAsia="en-GB"/>
              </w:rPr>
            </w:pPr>
            <w:r w:rsidRPr="00E71417">
              <w:rPr>
                <w:lang w:eastAsia="en-GB"/>
              </w:rPr>
              <w:t xml:space="preserve">For Q1: </w:t>
            </w:r>
          </w:p>
          <w:p w:rsidR="00E71417" w:rsidRPr="00E71417" w:rsidRDefault="00E71417" w:rsidP="002378B0">
            <w:pPr>
              <w:numPr>
                <w:ilvl w:val="0"/>
                <w:numId w:val="12"/>
              </w:numPr>
              <w:rPr>
                <w:lang w:eastAsia="en-GB"/>
              </w:rPr>
            </w:pPr>
            <w:r w:rsidRPr="00E71417">
              <w:rPr>
                <w:lang w:eastAsia="en-GB"/>
              </w:rPr>
              <w:t>Submit a baseline plan to deliver Q2, Q3 and Q4 targets</w:t>
            </w:r>
            <w:r w:rsidR="00E43065">
              <w:rPr>
                <w:lang w:eastAsia="en-GB"/>
              </w:rPr>
              <w:t>.</w:t>
            </w:r>
            <w:r w:rsidRPr="00E71417">
              <w:rPr>
                <w:lang w:eastAsia="en-GB"/>
              </w:rPr>
              <w:t xml:space="preserve"> </w:t>
            </w:r>
          </w:p>
          <w:p w:rsidR="00F62C73" w:rsidRDefault="00F62C73" w:rsidP="00E71417">
            <w:pPr>
              <w:rPr>
                <w:lang w:eastAsia="en-GB"/>
              </w:rPr>
            </w:pPr>
          </w:p>
          <w:p w:rsidR="00E71417" w:rsidRPr="00E71417" w:rsidRDefault="00E71417" w:rsidP="00E71417">
            <w:pPr>
              <w:rPr>
                <w:lang w:eastAsia="en-GB"/>
              </w:rPr>
            </w:pPr>
            <w:r w:rsidRPr="00E71417">
              <w:rPr>
                <w:lang w:eastAsia="en-GB"/>
              </w:rPr>
              <w:t xml:space="preserve">For Q2 to Q4 providers will be required to evidence that:  </w:t>
            </w:r>
          </w:p>
          <w:p w:rsidR="00E43065" w:rsidRPr="00E43065" w:rsidRDefault="00E71417" w:rsidP="00E43065">
            <w:pPr>
              <w:pStyle w:val="ListParagraph"/>
              <w:numPr>
                <w:ilvl w:val="0"/>
                <w:numId w:val="13"/>
              </w:numPr>
              <w:rPr>
                <w:lang w:eastAsia="en-GB"/>
              </w:rPr>
            </w:pPr>
            <w:r w:rsidRPr="00E71417">
              <w:rPr>
                <w:lang w:eastAsia="en-GB"/>
              </w:rPr>
              <w:t xml:space="preserve">Services are published </w:t>
            </w:r>
            <w:r w:rsidR="00E43065" w:rsidRPr="00E71417">
              <w:rPr>
                <w:lang w:eastAsia="en-GB"/>
              </w:rPr>
              <w:t>and available</w:t>
            </w:r>
            <w:r w:rsidRPr="00E71417">
              <w:rPr>
                <w:lang w:eastAsia="en-GB"/>
              </w:rPr>
              <w:t xml:space="preserve"> to </w:t>
            </w:r>
            <w:r w:rsidR="00E43065" w:rsidRPr="00E71417">
              <w:rPr>
                <w:lang w:eastAsia="en-GB"/>
              </w:rPr>
              <w:t>receive referrals</w:t>
            </w:r>
            <w:r w:rsidRPr="00E71417">
              <w:rPr>
                <w:lang w:eastAsia="en-GB"/>
              </w:rPr>
              <w:t xml:space="preserve"> through NHS e-Referral Service</w:t>
            </w:r>
            <w:r w:rsidR="00E43065">
              <w:rPr>
                <w:lang w:eastAsia="en-GB"/>
              </w:rPr>
              <w:t xml:space="preserve"> </w:t>
            </w:r>
            <w:r w:rsidR="00E43065" w:rsidRPr="00E43065">
              <w:rPr>
                <w:lang w:eastAsia="en-GB"/>
              </w:rPr>
              <w:t>as set out in the Milestones below. The numerator  will be the count of published first outpatient services listed on the  Directory of Services e-RS extract EBSX05</w:t>
            </w:r>
            <w:r w:rsidR="005C350B">
              <w:rPr>
                <w:lang w:eastAsia="en-GB"/>
              </w:rPr>
              <w:t>; and</w:t>
            </w:r>
          </w:p>
          <w:p w:rsidR="00E71417" w:rsidRDefault="00E71417" w:rsidP="002378B0">
            <w:pPr>
              <w:pStyle w:val="ListParagraph"/>
              <w:numPr>
                <w:ilvl w:val="0"/>
                <w:numId w:val="13"/>
              </w:numPr>
              <w:rPr>
                <w:lang w:eastAsia="en-GB"/>
              </w:rPr>
            </w:pPr>
            <w:r w:rsidRPr="00E71417">
              <w:rPr>
                <w:lang w:eastAsia="en-GB"/>
              </w:rPr>
              <w:t>Adequate slot polling is taking place to allow patients to book appointments evidenced by a reduction in ‘Appointment Slot Is</w:t>
            </w:r>
            <w:r w:rsidR="00F62C73">
              <w:rPr>
                <w:lang w:eastAsia="en-GB"/>
              </w:rPr>
              <w:t xml:space="preserve">sues’ to a rate of 4% or less. </w:t>
            </w:r>
            <w:r w:rsidR="00F62C73" w:rsidRPr="00F62C73">
              <w:rPr>
                <w:lang w:eastAsia="en-GB"/>
              </w:rPr>
              <w:t>The numerator for this measure will be the number of Appointment Slot Issues received by provider</w:t>
            </w:r>
            <w:r w:rsidR="00F62C73">
              <w:rPr>
                <w:lang w:eastAsia="en-GB"/>
              </w:rPr>
              <w:t>.</w:t>
            </w:r>
          </w:p>
        </w:tc>
      </w:tr>
      <w:tr w:rsidR="00E71417" w:rsidTr="00E71417">
        <w:tc>
          <w:tcPr>
            <w:tcW w:w="3510" w:type="dxa"/>
          </w:tcPr>
          <w:p w:rsidR="00E71417" w:rsidRPr="00E43065" w:rsidRDefault="00E71417" w:rsidP="00C02AC7">
            <w:pPr>
              <w:rPr>
                <w:b/>
                <w:lang w:eastAsia="en-GB"/>
              </w:rPr>
            </w:pPr>
            <w:r w:rsidRPr="00E43065">
              <w:rPr>
                <w:b/>
              </w:rPr>
              <w:t>Denominator</w:t>
            </w:r>
          </w:p>
        </w:tc>
        <w:tc>
          <w:tcPr>
            <w:tcW w:w="5770" w:type="dxa"/>
          </w:tcPr>
          <w:p w:rsidR="00E71417" w:rsidRDefault="00E71417" w:rsidP="00C02AC7">
            <w:r w:rsidRPr="00552F3E">
              <w:t xml:space="preserve">To assess that all services are published on the NHS e-Referral </w:t>
            </w:r>
            <w:r w:rsidRPr="00AD69B8">
              <w:t>Service</w:t>
            </w:r>
            <w:r w:rsidR="008938AF" w:rsidRPr="00AD69B8">
              <w:t xml:space="preserve"> (e</w:t>
            </w:r>
            <w:r w:rsidR="009A4CD9" w:rsidRPr="00AD69B8">
              <w:t>-</w:t>
            </w:r>
            <w:r w:rsidR="008938AF" w:rsidRPr="00AD69B8">
              <w:t>RS)</w:t>
            </w:r>
            <w:r w:rsidRPr="00AD69B8">
              <w:t xml:space="preserve">, providers will be required to evidence a definitive list of all services/clinics accepting 1st O/P referrals and details of the </w:t>
            </w:r>
            <w:r w:rsidR="008938AF" w:rsidRPr="00AD69B8">
              <w:t>e</w:t>
            </w:r>
            <w:r w:rsidR="009A4CD9" w:rsidRPr="00AD69B8">
              <w:t>-</w:t>
            </w:r>
            <w:r w:rsidR="008938AF" w:rsidRPr="00AD69B8">
              <w:t>RS</w:t>
            </w:r>
            <w:r w:rsidRPr="00AD69B8">
              <w:t xml:space="preserve"> </w:t>
            </w:r>
            <w:r w:rsidR="006641BA">
              <w:t xml:space="preserve">services </w:t>
            </w:r>
            <w:r w:rsidRPr="00AD69B8">
              <w:t>they are</w:t>
            </w:r>
            <w:r w:rsidRPr="00552F3E">
              <w:t xml:space="preserve"> mapped to.</w:t>
            </w:r>
          </w:p>
          <w:p w:rsidR="001C7FB3" w:rsidRDefault="001C7FB3" w:rsidP="00C02AC7"/>
          <w:p w:rsidR="008938AF" w:rsidRDefault="001C7FB3" w:rsidP="008938AF">
            <w:pPr>
              <w:rPr>
                <w:lang w:eastAsia="en-GB"/>
              </w:rPr>
            </w:pPr>
            <w:r w:rsidRPr="001C7FB3">
              <w:rPr>
                <w:lang w:eastAsia="en-GB"/>
              </w:rPr>
              <w:t xml:space="preserve">For Q2 – Q4 point </w:t>
            </w:r>
            <w:proofErr w:type="spellStart"/>
            <w:r w:rsidRPr="001C7FB3">
              <w:rPr>
                <w:lang w:eastAsia="en-GB"/>
              </w:rPr>
              <w:t>i</w:t>
            </w:r>
            <w:proofErr w:type="spellEnd"/>
            <w:r w:rsidRPr="001C7FB3">
              <w:rPr>
                <w:lang w:eastAsia="en-GB"/>
              </w:rPr>
              <w:t xml:space="preserve">) The denominator will be the </w:t>
            </w:r>
            <w:r w:rsidRPr="001C7FB3">
              <w:rPr>
                <w:lang w:eastAsia="en-GB"/>
              </w:rPr>
              <w:lastRenderedPageBreak/>
              <w:t xml:space="preserve">number of first outpatient services, which receive GP referrals, as identified in the Q1 baseline plan. </w:t>
            </w:r>
          </w:p>
          <w:p w:rsidR="008938AF" w:rsidRDefault="008938AF" w:rsidP="008938AF">
            <w:pPr>
              <w:rPr>
                <w:lang w:eastAsia="en-GB"/>
              </w:rPr>
            </w:pPr>
          </w:p>
          <w:p w:rsidR="001C7FB3" w:rsidRDefault="001C7FB3" w:rsidP="008938AF">
            <w:pPr>
              <w:rPr>
                <w:lang w:eastAsia="en-GB"/>
              </w:rPr>
            </w:pPr>
            <w:r w:rsidRPr="001C7FB3">
              <w:rPr>
                <w:lang w:eastAsia="en-GB"/>
              </w:rPr>
              <w:t xml:space="preserve">For point ii) it will be the total number of first outpatient bookings received </w:t>
            </w:r>
            <w:r w:rsidRPr="00AD69B8">
              <w:rPr>
                <w:lang w:eastAsia="en-GB"/>
              </w:rPr>
              <w:t xml:space="preserve">through </w:t>
            </w:r>
            <w:r w:rsidR="008938AF" w:rsidRPr="00AD69B8">
              <w:rPr>
                <w:lang w:eastAsia="en-GB"/>
              </w:rPr>
              <w:t>e</w:t>
            </w:r>
            <w:r w:rsidR="009A4CD9" w:rsidRPr="00AD69B8">
              <w:rPr>
                <w:lang w:eastAsia="en-GB"/>
              </w:rPr>
              <w:t>-</w:t>
            </w:r>
            <w:r w:rsidR="008938AF" w:rsidRPr="00AD69B8">
              <w:rPr>
                <w:lang w:eastAsia="en-GB"/>
              </w:rPr>
              <w:t>RS.</w:t>
            </w:r>
            <w:r w:rsidR="008938AF">
              <w:rPr>
                <w:lang w:eastAsia="en-GB"/>
              </w:rPr>
              <w:t xml:space="preserve"> </w:t>
            </w:r>
          </w:p>
        </w:tc>
      </w:tr>
      <w:tr w:rsidR="00E71417" w:rsidTr="00E71417">
        <w:tc>
          <w:tcPr>
            <w:tcW w:w="3510" w:type="dxa"/>
          </w:tcPr>
          <w:p w:rsidR="00E71417" w:rsidRPr="00E43065" w:rsidRDefault="001218B0" w:rsidP="00C02AC7">
            <w:pPr>
              <w:rPr>
                <w:b/>
                <w:lang w:eastAsia="en-GB"/>
              </w:rPr>
            </w:pPr>
            <w:r w:rsidRPr="00E43065">
              <w:rPr>
                <w:rFonts w:cs="Arial"/>
                <w:b/>
                <w:color w:val="000000"/>
              </w:rPr>
              <w:lastRenderedPageBreak/>
              <w:t>Rationale for inclusion</w:t>
            </w:r>
          </w:p>
        </w:tc>
        <w:tc>
          <w:tcPr>
            <w:tcW w:w="5770" w:type="dxa"/>
          </w:tcPr>
          <w:p w:rsidR="001218B0" w:rsidRDefault="001218B0" w:rsidP="001218B0">
            <w:pPr>
              <w:rPr>
                <w:lang w:eastAsia="en-GB"/>
              </w:rPr>
            </w:pPr>
            <w:r>
              <w:rPr>
                <w:lang w:eastAsia="en-GB"/>
              </w:rPr>
              <w:t xml:space="preserve">This incentive is designed to encourage a move away from any paper based processes in line with the target for Q4 but recognising that each trust will need to decide how their services are configured and this may include  referral only services (further information in the guidance). </w:t>
            </w:r>
          </w:p>
          <w:p w:rsidR="001218B0" w:rsidRDefault="001218B0" w:rsidP="001218B0">
            <w:pPr>
              <w:rPr>
                <w:lang w:eastAsia="en-GB"/>
              </w:rPr>
            </w:pPr>
          </w:p>
          <w:p w:rsidR="00E71417" w:rsidRDefault="001218B0" w:rsidP="001218B0">
            <w:pPr>
              <w:rPr>
                <w:lang w:eastAsia="en-GB"/>
              </w:rPr>
            </w:pPr>
            <w:r>
              <w:rPr>
                <w:lang w:eastAsia="en-GB"/>
              </w:rPr>
              <w:t>For bookable services providers should adjust their e</w:t>
            </w:r>
            <w:r w:rsidR="009A4CD9">
              <w:rPr>
                <w:lang w:eastAsia="en-GB"/>
              </w:rPr>
              <w:t>-</w:t>
            </w:r>
            <w:r>
              <w:rPr>
                <w:lang w:eastAsia="en-GB"/>
              </w:rPr>
              <w:t xml:space="preserve">RS slot polling range, in line with </w:t>
            </w:r>
            <w:r w:rsidR="008938AF">
              <w:rPr>
                <w:lang w:eastAsia="en-GB"/>
              </w:rPr>
              <w:t>their actual</w:t>
            </w:r>
            <w:r>
              <w:rPr>
                <w:lang w:eastAsia="en-GB"/>
              </w:rPr>
              <w:t xml:space="preserve"> waiting time and based on their available capacity and operating model for each service but ensure a transition away from paper based referrals.   </w:t>
            </w:r>
          </w:p>
        </w:tc>
      </w:tr>
      <w:tr w:rsidR="001218B0" w:rsidTr="00E71417">
        <w:tc>
          <w:tcPr>
            <w:tcW w:w="3510" w:type="dxa"/>
          </w:tcPr>
          <w:p w:rsidR="001218B0" w:rsidRPr="00E43065" w:rsidRDefault="001218B0" w:rsidP="00C02AC7">
            <w:pPr>
              <w:rPr>
                <w:b/>
                <w:lang w:eastAsia="en-GB"/>
              </w:rPr>
            </w:pPr>
            <w:r w:rsidRPr="00E43065">
              <w:rPr>
                <w:b/>
              </w:rPr>
              <w:t>Data source</w:t>
            </w:r>
          </w:p>
        </w:tc>
        <w:tc>
          <w:tcPr>
            <w:tcW w:w="5770" w:type="dxa"/>
          </w:tcPr>
          <w:p w:rsidR="008938AF" w:rsidRDefault="001218B0" w:rsidP="008938AF">
            <w:r w:rsidRPr="00B05BD7">
              <w:t>e-RS System and Providers</w:t>
            </w:r>
            <w:r w:rsidR="001C7FB3">
              <w:t xml:space="preserve">. </w:t>
            </w:r>
            <w:r w:rsidR="001C7FB3" w:rsidRPr="001C7FB3">
              <w:t>Fo</w:t>
            </w:r>
            <w:r w:rsidR="008938AF">
              <w:t>r Q2-Q4 measures detailed above:</w:t>
            </w:r>
            <w:r w:rsidR="008938AF">
              <w:br/>
            </w:r>
            <w:proofErr w:type="spellStart"/>
            <w:r w:rsidR="001C7FB3" w:rsidRPr="001C7FB3">
              <w:t>i</w:t>
            </w:r>
            <w:proofErr w:type="spellEnd"/>
            <w:r w:rsidR="001C7FB3" w:rsidRPr="001C7FB3">
              <w:t>. will use data from the Directory of Services e-RS extract EBSX05;</w:t>
            </w:r>
            <w:r w:rsidR="008938AF">
              <w:t xml:space="preserve"> and</w:t>
            </w:r>
          </w:p>
          <w:p w:rsidR="008938AF" w:rsidRDefault="008938AF" w:rsidP="008938AF"/>
          <w:p w:rsidR="001218B0" w:rsidRDefault="001C7FB3" w:rsidP="008938AF">
            <w:pPr>
              <w:rPr>
                <w:lang w:eastAsia="en-GB"/>
              </w:rPr>
            </w:pPr>
            <w:r w:rsidRPr="001C7FB3">
              <w:t>ii will use the monthly e-RS Appointment Slot Issues report</w:t>
            </w:r>
            <w:r w:rsidR="008938AF">
              <w:t>.</w:t>
            </w:r>
            <w:r w:rsidR="001218B0" w:rsidRPr="00B05BD7">
              <w:t xml:space="preserve"> </w:t>
            </w:r>
          </w:p>
        </w:tc>
      </w:tr>
      <w:tr w:rsidR="001218B0" w:rsidTr="00E71417">
        <w:tc>
          <w:tcPr>
            <w:tcW w:w="3510" w:type="dxa"/>
          </w:tcPr>
          <w:p w:rsidR="001218B0" w:rsidRPr="00E43065" w:rsidRDefault="001218B0" w:rsidP="00C02AC7">
            <w:pPr>
              <w:rPr>
                <w:b/>
                <w:lang w:eastAsia="en-GB"/>
              </w:rPr>
            </w:pPr>
            <w:r w:rsidRPr="00E43065">
              <w:rPr>
                <w:b/>
              </w:rPr>
              <w:t>Frequency of data collection</w:t>
            </w:r>
          </w:p>
        </w:tc>
        <w:tc>
          <w:tcPr>
            <w:tcW w:w="5770" w:type="dxa"/>
          </w:tcPr>
          <w:p w:rsidR="001218B0" w:rsidRDefault="001218B0" w:rsidP="00C02AC7">
            <w:pPr>
              <w:rPr>
                <w:lang w:eastAsia="en-GB"/>
              </w:rPr>
            </w:pPr>
            <w:r w:rsidRPr="00D07EB3">
              <w:t xml:space="preserve">Quarterly </w:t>
            </w:r>
          </w:p>
        </w:tc>
      </w:tr>
      <w:tr w:rsidR="001218B0" w:rsidTr="00E71417">
        <w:tc>
          <w:tcPr>
            <w:tcW w:w="3510" w:type="dxa"/>
          </w:tcPr>
          <w:p w:rsidR="001218B0" w:rsidRPr="00E43065" w:rsidRDefault="001218B0" w:rsidP="00C02AC7">
            <w:pPr>
              <w:rPr>
                <w:b/>
                <w:lang w:eastAsia="en-GB"/>
              </w:rPr>
            </w:pPr>
            <w:r w:rsidRPr="00E43065">
              <w:rPr>
                <w:b/>
              </w:rPr>
              <w:t>Organisation responsible for data collection</w:t>
            </w:r>
          </w:p>
        </w:tc>
        <w:tc>
          <w:tcPr>
            <w:tcW w:w="5770" w:type="dxa"/>
          </w:tcPr>
          <w:p w:rsidR="001218B0" w:rsidRDefault="001218B0" w:rsidP="00C02AC7">
            <w:pPr>
              <w:rPr>
                <w:lang w:eastAsia="en-GB"/>
              </w:rPr>
            </w:pPr>
            <w:r w:rsidRPr="00D07EB3">
              <w:t xml:space="preserve">Providers </w:t>
            </w:r>
          </w:p>
        </w:tc>
      </w:tr>
      <w:tr w:rsidR="001218B0" w:rsidTr="00E71417">
        <w:tc>
          <w:tcPr>
            <w:tcW w:w="3510" w:type="dxa"/>
          </w:tcPr>
          <w:p w:rsidR="001218B0" w:rsidRPr="00E43065" w:rsidRDefault="001218B0" w:rsidP="00C02AC7">
            <w:pPr>
              <w:rPr>
                <w:b/>
                <w:lang w:eastAsia="en-GB"/>
              </w:rPr>
            </w:pPr>
            <w:r w:rsidRPr="00E43065">
              <w:rPr>
                <w:b/>
              </w:rPr>
              <w:t>Frequency of reporting to commissioner</w:t>
            </w:r>
          </w:p>
        </w:tc>
        <w:tc>
          <w:tcPr>
            <w:tcW w:w="5770" w:type="dxa"/>
          </w:tcPr>
          <w:p w:rsidR="001218B0" w:rsidRDefault="001218B0" w:rsidP="00C02AC7">
            <w:pPr>
              <w:rPr>
                <w:lang w:eastAsia="en-GB"/>
              </w:rPr>
            </w:pPr>
            <w:r w:rsidRPr="00D07EB3">
              <w:t xml:space="preserve">Monthly </w:t>
            </w:r>
          </w:p>
        </w:tc>
      </w:tr>
      <w:tr w:rsidR="001218B0" w:rsidTr="00E71417">
        <w:tc>
          <w:tcPr>
            <w:tcW w:w="3510" w:type="dxa"/>
          </w:tcPr>
          <w:p w:rsidR="001218B0" w:rsidRPr="00E43065" w:rsidRDefault="001218B0" w:rsidP="00C02AC7">
            <w:pPr>
              <w:rPr>
                <w:b/>
                <w:lang w:eastAsia="en-GB"/>
              </w:rPr>
            </w:pPr>
            <w:r w:rsidRPr="00E43065">
              <w:rPr>
                <w:b/>
              </w:rPr>
              <w:t>Baseline period/date</w:t>
            </w:r>
          </w:p>
        </w:tc>
        <w:tc>
          <w:tcPr>
            <w:tcW w:w="5770" w:type="dxa"/>
          </w:tcPr>
          <w:p w:rsidR="001218B0" w:rsidRDefault="001218B0" w:rsidP="00C02AC7">
            <w:pPr>
              <w:rPr>
                <w:lang w:eastAsia="en-GB"/>
              </w:rPr>
            </w:pPr>
            <w:r w:rsidRPr="00D07EB3">
              <w:t xml:space="preserve">April 2017 </w:t>
            </w:r>
          </w:p>
        </w:tc>
      </w:tr>
      <w:tr w:rsidR="001218B0" w:rsidTr="00E71417">
        <w:tc>
          <w:tcPr>
            <w:tcW w:w="3510" w:type="dxa"/>
          </w:tcPr>
          <w:p w:rsidR="001218B0" w:rsidRPr="00E43065" w:rsidRDefault="001218B0" w:rsidP="00C02AC7">
            <w:pPr>
              <w:rPr>
                <w:b/>
                <w:lang w:eastAsia="en-GB"/>
              </w:rPr>
            </w:pPr>
            <w:r w:rsidRPr="00E43065">
              <w:rPr>
                <w:b/>
              </w:rPr>
              <w:t>Baseline value</w:t>
            </w:r>
          </w:p>
        </w:tc>
        <w:tc>
          <w:tcPr>
            <w:tcW w:w="5770" w:type="dxa"/>
          </w:tcPr>
          <w:p w:rsidR="001218B0" w:rsidRDefault="001218B0" w:rsidP="00C02AC7">
            <w:pPr>
              <w:rPr>
                <w:lang w:eastAsia="en-GB"/>
              </w:rPr>
            </w:pPr>
            <w:r w:rsidRPr="00D07EB3">
              <w:t xml:space="preserve">Varies by Provider </w:t>
            </w:r>
          </w:p>
        </w:tc>
      </w:tr>
      <w:tr w:rsidR="001218B0" w:rsidTr="00E71417">
        <w:tc>
          <w:tcPr>
            <w:tcW w:w="3510" w:type="dxa"/>
          </w:tcPr>
          <w:p w:rsidR="001218B0" w:rsidRPr="00E43065" w:rsidRDefault="001218B0" w:rsidP="00C02AC7">
            <w:pPr>
              <w:rPr>
                <w:b/>
                <w:lang w:eastAsia="en-GB"/>
              </w:rPr>
            </w:pPr>
            <w:r w:rsidRPr="00E43065">
              <w:rPr>
                <w:b/>
              </w:rPr>
              <w:t>Final indicator period/date (on which payment is based)</w:t>
            </w:r>
          </w:p>
        </w:tc>
        <w:tc>
          <w:tcPr>
            <w:tcW w:w="5770" w:type="dxa"/>
          </w:tcPr>
          <w:p w:rsidR="001218B0" w:rsidRDefault="001218B0" w:rsidP="00C02AC7">
            <w:pPr>
              <w:rPr>
                <w:lang w:eastAsia="en-GB"/>
              </w:rPr>
            </w:pPr>
            <w:r w:rsidRPr="00D07EB3">
              <w:t>March 2018</w:t>
            </w:r>
          </w:p>
        </w:tc>
      </w:tr>
      <w:tr w:rsidR="001218B0" w:rsidTr="00E71417">
        <w:tc>
          <w:tcPr>
            <w:tcW w:w="3510" w:type="dxa"/>
          </w:tcPr>
          <w:p w:rsidR="001218B0" w:rsidRPr="00E43065" w:rsidRDefault="001218B0" w:rsidP="00C02AC7">
            <w:pPr>
              <w:rPr>
                <w:b/>
                <w:lang w:eastAsia="en-GB"/>
              </w:rPr>
            </w:pPr>
            <w:r w:rsidRPr="00E43065">
              <w:rPr>
                <w:b/>
              </w:rPr>
              <w:t>Final indicator value (payment threshold)</w:t>
            </w:r>
          </w:p>
        </w:tc>
        <w:tc>
          <w:tcPr>
            <w:tcW w:w="5770" w:type="dxa"/>
          </w:tcPr>
          <w:p w:rsidR="001218B0" w:rsidRDefault="001218B0" w:rsidP="00C02AC7">
            <w:pPr>
              <w:rPr>
                <w:lang w:eastAsia="en-GB"/>
              </w:rPr>
            </w:pPr>
            <w:r w:rsidRPr="00D07EB3">
              <w:t xml:space="preserve">Enabling all referrals into the Provider Trust through e-RS. </w:t>
            </w:r>
          </w:p>
        </w:tc>
      </w:tr>
      <w:tr w:rsidR="001218B0" w:rsidTr="00E71417">
        <w:tc>
          <w:tcPr>
            <w:tcW w:w="3510" w:type="dxa"/>
          </w:tcPr>
          <w:p w:rsidR="001218B0" w:rsidRPr="00E43065" w:rsidRDefault="001218B0" w:rsidP="00C02AC7">
            <w:pPr>
              <w:rPr>
                <w:b/>
                <w:lang w:eastAsia="en-GB"/>
              </w:rPr>
            </w:pPr>
            <w:r w:rsidRPr="00E43065">
              <w:rPr>
                <w:b/>
              </w:rPr>
              <w:t>Final indicator reporting date</w:t>
            </w:r>
          </w:p>
        </w:tc>
        <w:tc>
          <w:tcPr>
            <w:tcW w:w="5770" w:type="dxa"/>
          </w:tcPr>
          <w:p w:rsidR="001218B0" w:rsidRDefault="001218B0" w:rsidP="00C02AC7">
            <w:pPr>
              <w:rPr>
                <w:lang w:eastAsia="en-GB"/>
              </w:rPr>
            </w:pPr>
            <w:r w:rsidRPr="00D07EB3">
              <w:t xml:space="preserve">31 March 2018 </w:t>
            </w:r>
          </w:p>
        </w:tc>
      </w:tr>
      <w:tr w:rsidR="001218B0" w:rsidTr="00E71417">
        <w:tc>
          <w:tcPr>
            <w:tcW w:w="3510" w:type="dxa"/>
          </w:tcPr>
          <w:p w:rsidR="001218B0" w:rsidRPr="00E43065" w:rsidRDefault="001218B0" w:rsidP="00C02AC7">
            <w:pPr>
              <w:rPr>
                <w:b/>
                <w:lang w:eastAsia="en-GB"/>
              </w:rPr>
            </w:pPr>
            <w:r w:rsidRPr="00E43065">
              <w:rPr>
                <w:b/>
              </w:rPr>
              <w:t>Are there rules for any agreed in-year milestones that result in payment?</w:t>
            </w:r>
          </w:p>
        </w:tc>
        <w:tc>
          <w:tcPr>
            <w:tcW w:w="5770" w:type="dxa"/>
          </w:tcPr>
          <w:p w:rsidR="001218B0" w:rsidRDefault="001218B0" w:rsidP="001C7FB3">
            <w:pPr>
              <w:rPr>
                <w:lang w:eastAsia="en-GB"/>
              </w:rPr>
            </w:pPr>
            <w:r w:rsidRPr="00D07EB3">
              <w:t xml:space="preserve">Quarterly milestones </w:t>
            </w:r>
            <w:r w:rsidRPr="001C7FB3">
              <w:t xml:space="preserve">as </w:t>
            </w:r>
            <w:r w:rsidR="001C7FB3" w:rsidRPr="001C7FB3">
              <w:t>below.</w:t>
            </w:r>
            <w:r w:rsidRPr="00D07EB3">
              <w:t xml:space="preserve"> </w:t>
            </w:r>
          </w:p>
        </w:tc>
      </w:tr>
      <w:tr w:rsidR="001218B0" w:rsidTr="00E71417">
        <w:tc>
          <w:tcPr>
            <w:tcW w:w="3510" w:type="dxa"/>
          </w:tcPr>
          <w:p w:rsidR="001218B0" w:rsidRPr="00E43065" w:rsidRDefault="001218B0" w:rsidP="00C02AC7">
            <w:pPr>
              <w:rPr>
                <w:b/>
                <w:lang w:eastAsia="en-GB"/>
              </w:rPr>
            </w:pPr>
            <w:r w:rsidRPr="00E43065">
              <w:rPr>
                <w:b/>
              </w:rPr>
              <w:t>Are there any rules for partial achievement of the indicator at the final indicator period/date?</w:t>
            </w:r>
          </w:p>
        </w:tc>
        <w:tc>
          <w:tcPr>
            <w:tcW w:w="5770" w:type="dxa"/>
          </w:tcPr>
          <w:p w:rsidR="001218B0" w:rsidRDefault="001218B0" w:rsidP="00C02AC7">
            <w:r w:rsidRPr="00D07EB3">
              <w:t xml:space="preserve">As this is a staged CQUIN payments will be made for attainment of the thresholds set out at each quarter. </w:t>
            </w:r>
          </w:p>
          <w:p w:rsidR="001218B0" w:rsidRDefault="001218B0" w:rsidP="00C02AC7"/>
          <w:p w:rsidR="001218B0" w:rsidRDefault="001218B0" w:rsidP="00C02AC7">
            <w:r w:rsidRPr="001218B0">
              <w:t>There will be no payment for partial achievement outside of this staged approach.</w:t>
            </w:r>
          </w:p>
        </w:tc>
      </w:tr>
    </w:tbl>
    <w:p w:rsidR="00E71417" w:rsidRDefault="00E71417" w:rsidP="00577D7F">
      <w:pPr>
        <w:rPr>
          <w:lang w:eastAsia="en-GB"/>
        </w:rPr>
      </w:pPr>
    </w:p>
    <w:p w:rsidR="008938AF" w:rsidRDefault="008938AF">
      <w:pPr>
        <w:rPr>
          <w:rFonts w:eastAsiaTheme="majorEastAsia" w:cstheme="majorBidi"/>
          <w:b/>
          <w:bCs w:val="0"/>
          <w:iCs/>
          <w:color w:val="A00054" w:themeColor="accent2"/>
          <w:lang w:eastAsia="en-GB"/>
        </w:rPr>
      </w:pPr>
      <w:r>
        <w:rPr>
          <w:lang w:eastAsia="en-GB"/>
        </w:rPr>
        <w:br w:type="page"/>
      </w:r>
    </w:p>
    <w:p w:rsidR="009D451F" w:rsidRDefault="009D451F" w:rsidP="009D451F">
      <w:pPr>
        <w:pStyle w:val="Heading4"/>
        <w:rPr>
          <w:lang w:eastAsia="en-GB"/>
        </w:rPr>
      </w:pPr>
      <w:r w:rsidRPr="009D451F">
        <w:rPr>
          <w:lang w:eastAsia="en-GB"/>
        </w:rPr>
        <w:lastRenderedPageBreak/>
        <w:t>Milestones</w:t>
      </w:r>
      <w:r w:rsidR="00E43065">
        <w:rPr>
          <w:lang w:eastAsia="en-GB"/>
        </w:rPr>
        <w:t xml:space="preserve"> for indicator 7</w:t>
      </w:r>
    </w:p>
    <w:p w:rsidR="009D451F" w:rsidRDefault="009D451F" w:rsidP="00C02AC7">
      <w:pPr>
        <w:rPr>
          <w:lang w:eastAsia="en-GB"/>
        </w:rPr>
      </w:pPr>
    </w:p>
    <w:tbl>
      <w:tblPr>
        <w:tblStyle w:val="TableGrid"/>
        <w:tblW w:w="0" w:type="auto"/>
        <w:tblLook w:val="04A0" w:firstRow="1" w:lastRow="0" w:firstColumn="1" w:lastColumn="0" w:noHBand="0" w:noVBand="1"/>
        <w:tblCaption w:val="Indicator 7 milestones"/>
        <w:tblDescription w:val="Indicator 7 milestones detail"/>
      </w:tblPr>
      <w:tblGrid>
        <w:gridCol w:w="2320"/>
        <w:gridCol w:w="2750"/>
        <w:gridCol w:w="1890"/>
        <w:gridCol w:w="2320"/>
      </w:tblGrid>
      <w:tr w:rsidR="007850A5" w:rsidRPr="007850A5" w:rsidTr="00EB6EC2">
        <w:trPr>
          <w:tblHeader/>
        </w:trPr>
        <w:tc>
          <w:tcPr>
            <w:tcW w:w="2320" w:type="dxa"/>
            <w:shd w:val="clear" w:color="auto" w:fill="0072C6" w:themeFill="accent1"/>
          </w:tcPr>
          <w:p w:rsidR="007850A5" w:rsidRPr="007850A5" w:rsidRDefault="007850A5" w:rsidP="007850A5">
            <w:pPr>
              <w:rPr>
                <w:rFonts w:cs="Arial"/>
                <w:b/>
                <w:color w:val="FFFFFF" w:themeColor="background1"/>
              </w:rPr>
            </w:pPr>
            <w:r w:rsidRPr="007850A5">
              <w:rPr>
                <w:rFonts w:cs="Arial"/>
                <w:b/>
                <w:color w:val="FFFFFF" w:themeColor="background1"/>
              </w:rPr>
              <w:t>Date/period milestone relates to</w:t>
            </w:r>
          </w:p>
        </w:tc>
        <w:tc>
          <w:tcPr>
            <w:tcW w:w="2750" w:type="dxa"/>
            <w:shd w:val="clear" w:color="auto" w:fill="0072C6" w:themeFill="accent1"/>
          </w:tcPr>
          <w:p w:rsidR="007850A5" w:rsidRPr="007850A5" w:rsidRDefault="007850A5" w:rsidP="007850A5">
            <w:pPr>
              <w:rPr>
                <w:rFonts w:cs="Arial"/>
                <w:b/>
                <w:color w:val="FFFFFF" w:themeColor="background1"/>
              </w:rPr>
            </w:pPr>
            <w:r w:rsidRPr="007850A5">
              <w:rPr>
                <w:rFonts w:cs="Arial"/>
                <w:b/>
                <w:color w:val="FFFFFF" w:themeColor="background1"/>
              </w:rPr>
              <w:t>Rules for achievement of milestones (including evidence to be supplied to commissioner)</w:t>
            </w:r>
          </w:p>
        </w:tc>
        <w:tc>
          <w:tcPr>
            <w:tcW w:w="1890" w:type="dxa"/>
            <w:shd w:val="clear" w:color="auto" w:fill="0072C6" w:themeFill="accent1"/>
          </w:tcPr>
          <w:p w:rsidR="007850A5" w:rsidRPr="007850A5" w:rsidRDefault="007850A5" w:rsidP="007850A5">
            <w:pPr>
              <w:rPr>
                <w:rFonts w:cs="Arial"/>
                <w:b/>
                <w:color w:val="FFFFFF" w:themeColor="background1"/>
              </w:rPr>
            </w:pPr>
            <w:r w:rsidRPr="007850A5">
              <w:rPr>
                <w:rFonts w:cs="Arial"/>
                <w:b/>
                <w:color w:val="FFFFFF" w:themeColor="background1"/>
              </w:rPr>
              <w:t>Date milestone to be reported</w:t>
            </w:r>
          </w:p>
        </w:tc>
        <w:tc>
          <w:tcPr>
            <w:tcW w:w="2320" w:type="dxa"/>
            <w:shd w:val="clear" w:color="auto" w:fill="0072C6" w:themeFill="accent1"/>
          </w:tcPr>
          <w:p w:rsidR="007850A5" w:rsidRPr="007850A5" w:rsidRDefault="007850A5" w:rsidP="007850A5">
            <w:pPr>
              <w:rPr>
                <w:rFonts w:cs="Arial"/>
                <w:b/>
                <w:color w:val="FFFFFF" w:themeColor="background1"/>
              </w:rPr>
            </w:pPr>
            <w:r w:rsidRPr="007850A5">
              <w:rPr>
                <w:rFonts w:cs="Arial"/>
                <w:b/>
                <w:color w:val="FFFFFF" w:themeColor="background1"/>
              </w:rPr>
              <w:t>Milestone weighting (% of CQUIN scheme available)</w:t>
            </w:r>
          </w:p>
        </w:tc>
      </w:tr>
      <w:tr w:rsidR="007850A5" w:rsidTr="008938AF">
        <w:tc>
          <w:tcPr>
            <w:tcW w:w="2320" w:type="dxa"/>
          </w:tcPr>
          <w:p w:rsidR="008938AF" w:rsidRDefault="008938AF" w:rsidP="009D451F">
            <w:pPr>
              <w:rPr>
                <w:rFonts w:cs="Arial"/>
                <w:b/>
              </w:rPr>
            </w:pPr>
            <w:r>
              <w:rPr>
                <w:rFonts w:cs="Arial"/>
                <w:b/>
              </w:rPr>
              <w:t>Q1</w:t>
            </w:r>
          </w:p>
          <w:p w:rsidR="007850A5" w:rsidRPr="008938AF" w:rsidRDefault="007850A5" w:rsidP="009D451F">
            <w:pPr>
              <w:rPr>
                <w:b/>
                <w:lang w:eastAsia="en-GB"/>
              </w:rPr>
            </w:pPr>
            <w:r w:rsidRPr="008938AF">
              <w:rPr>
                <w:rFonts w:cs="Arial"/>
                <w:b/>
              </w:rPr>
              <w:t xml:space="preserve">01/04/2017 to 30/06/2017 </w:t>
            </w:r>
          </w:p>
        </w:tc>
        <w:tc>
          <w:tcPr>
            <w:tcW w:w="2750" w:type="dxa"/>
          </w:tcPr>
          <w:p w:rsidR="007850A5" w:rsidRPr="008938AF" w:rsidRDefault="007850A5" w:rsidP="008938AF">
            <w:pPr>
              <w:autoSpaceDE w:val="0"/>
              <w:autoSpaceDN w:val="0"/>
              <w:adjustRightInd w:val="0"/>
              <w:rPr>
                <w:rFonts w:cs="Arial"/>
              </w:rPr>
            </w:pPr>
            <w:r w:rsidRPr="008938AF">
              <w:rPr>
                <w:rFonts w:cs="Arial"/>
              </w:rPr>
              <w:t xml:space="preserve">Providers should supply a plan to deliver Q2, Q3 and Q4 targets </w:t>
            </w:r>
            <w:r w:rsidR="001C7FB3" w:rsidRPr="008938AF">
              <w:rPr>
                <w:rFonts w:cs="Arial"/>
              </w:rPr>
              <w:t>to include:</w:t>
            </w:r>
          </w:p>
          <w:p w:rsidR="007850A5" w:rsidRPr="001C7FB3" w:rsidRDefault="007850A5" w:rsidP="002378B0">
            <w:pPr>
              <w:pStyle w:val="ListParagraph"/>
              <w:numPr>
                <w:ilvl w:val="0"/>
                <w:numId w:val="14"/>
              </w:numPr>
              <w:rPr>
                <w:b/>
                <w:lang w:eastAsia="en-GB"/>
              </w:rPr>
            </w:pPr>
            <w:r w:rsidRPr="001C7FB3">
              <w:rPr>
                <w:rFonts w:cs="Arial"/>
              </w:rPr>
              <w:t>a definitive list of all services/clinics accepting 1</w:t>
            </w:r>
            <w:r w:rsidRPr="001C7FB3">
              <w:rPr>
                <w:rFonts w:cs="Arial"/>
                <w:vertAlign w:val="superscript"/>
              </w:rPr>
              <w:t>st</w:t>
            </w:r>
            <w:r w:rsidRPr="001C7FB3">
              <w:rPr>
                <w:rFonts w:cs="Arial"/>
              </w:rPr>
              <w:t xml:space="preserve"> O/P referrals and details of the NHS e-RS services they are mapped to</w:t>
            </w:r>
            <w:r w:rsidR="001C7FB3">
              <w:rPr>
                <w:rFonts w:cs="Arial"/>
              </w:rPr>
              <w:t xml:space="preserve">, </w:t>
            </w:r>
            <w:r w:rsidR="001C7FB3" w:rsidRPr="001C7FB3">
              <w:rPr>
                <w:rFonts w:cs="Arial"/>
              </w:rPr>
              <w:t>identifying any gaps to be addressed through this CQUIN</w:t>
            </w:r>
            <w:r w:rsidR="008938AF">
              <w:rPr>
                <w:rFonts w:cs="Arial"/>
              </w:rPr>
              <w:t>.</w:t>
            </w:r>
          </w:p>
          <w:p w:rsidR="001C7FB3" w:rsidRPr="001C7FB3" w:rsidRDefault="001C7FB3" w:rsidP="001C7FB3">
            <w:pPr>
              <w:pStyle w:val="ListParagraph"/>
              <w:rPr>
                <w:b/>
                <w:lang w:eastAsia="en-GB"/>
              </w:rPr>
            </w:pPr>
          </w:p>
          <w:p w:rsidR="001C7FB3" w:rsidRPr="001C7FB3" w:rsidRDefault="001C7FB3" w:rsidP="002378B0">
            <w:pPr>
              <w:pStyle w:val="ListParagraph"/>
              <w:numPr>
                <w:ilvl w:val="0"/>
                <w:numId w:val="14"/>
              </w:numPr>
              <w:rPr>
                <w:lang w:eastAsia="en-GB"/>
              </w:rPr>
            </w:pPr>
            <w:r w:rsidRPr="001C7FB3">
              <w:rPr>
                <w:lang w:eastAsia="en-GB"/>
              </w:rPr>
              <w:t>a trajectory to reduce Appointment Slot Issues to a level of 4%, or less, over Q2, Q3 and Q4</w:t>
            </w:r>
            <w:r w:rsidR="008938AF">
              <w:rPr>
                <w:lang w:eastAsia="en-GB"/>
              </w:rPr>
              <w:t>.</w:t>
            </w:r>
          </w:p>
        </w:tc>
        <w:tc>
          <w:tcPr>
            <w:tcW w:w="1890" w:type="dxa"/>
          </w:tcPr>
          <w:p w:rsidR="007850A5" w:rsidRDefault="007850A5" w:rsidP="009D451F">
            <w:pPr>
              <w:rPr>
                <w:b/>
                <w:lang w:eastAsia="en-GB"/>
              </w:rPr>
            </w:pPr>
            <w:r w:rsidRPr="00E66267">
              <w:rPr>
                <w:rFonts w:cs="Arial"/>
              </w:rPr>
              <w:t xml:space="preserve">01/07/2017 </w:t>
            </w:r>
          </w:p>
        </w:tc>
        <w:tc>
          <w:tcPr>
            <w:tcW w:w="2320" w:type="dxa"/>
          </w:tcPr>
          <w:p w:rsidR="007850A5" w:rsidRDefault="007850A5" w:rsidP="009D451F">
            <w:pPr>
              <w:rPr>
                <w:b/>
                <w:lang w:eastAsia="en-GB"/>
              </w:rPr>
            </w:pPr>
            <w:r w:rsidRPr="00E66267">
              <w:rPr>
                <w:rFonts w:cs="Arial"/>
              </w:rPr>
              <w:t xml:space="preserve">25% </w:t>
            </w:r>
          </w:p>
        </w:tc>
      </w:tr>
      <w:tr w:rsidR="007850A5" w:rsidTr="008938AF">
        <w:tc>
          <w:tcPr>
            <w:tcW w:w="2320" w:type="dxa"/>
          </w:tcPr>
          <w:p w:rsidR="001C7FB3" w:rsidRPr="008938AF" w:rsidRDefault="001C7FB3" w:rsidP="009D451F">
            <w:pPr>
              <w:rPr>
                <w:rFonts w:cs="Arial"/>
                <w:b/>
              </w:rPr>
            </w:pPr>
            <w:r w:rsidRPr="008938AF">
              <w:rPr>
                <w:rFonts w:cs="Arial"/>
                <w:b/>
              </w:rPr>
              <w:t>Q2</w:t>
            </w:r>
          </w:p>
          <w:p w:rsidR="007850A5" w:rsidRDefault="007850A5" w:rsidP="009D451F">
            <w:pPr>
              <w:rPr>
                <w:b/>
                <w:lang w:eastAsia="en-GB"/>
              </w:rPr>
            </w:pPr>
            <w:r w:rsidRPr="008938AF">
              <w:rPr>
                <w:rFonts w:cs="Arial"/>
                <w:b/>
              </w:rPr>
              <w:t>01/07/2017 to 30/09/2017</w:t>
            </w:r>
          </w:p>
        </w:tc>
        <w:tc>
          <w:tcPr>
            <w:tcW w:w="2750" w:type="dxa"/>
          </w:tcPr>
          <w:p w:rsidR="007850A5" w:rsidRPr="00E66267" w:rsidRDefault="007850A5" w:rsidP="002378B0">
            <w:pPr>
              <w:pStyle w:val="ListParagraph"/>
              <w:numPr>
                <w:ilvl w:val="0"/>
                <w:numId w:val="15"/>
              </w:numPr>
              <w:autoSpaceDE w:val="0"/>
              <w:autoSpaceDN w:val="0"/>
              <w:adjustRightInd w:val="0"/>
              <w:rPr>
                <w:rFonts w:cs="Arial"/>
              </w:rPr>
            </w:pPr>
            <w:r w:rsidRPr="00E66267">
              <w:rPr>
                <w:rFonts w:cs="Arial"/>
              </w:rPr>
              <w:t>80% of Referrals to 1</w:t>
            </w:r>
            <w:r w:rsidRPr="00E66267">
              <w:rPr>
                <w:rFonts w:cs="Arial"/>
                <w:vertAlign w:val="superscript"/>
              </w:rPr>
              <w:t>st</w:t>
            </w:r>
            <w:r w:rsidRPr="00E66267">
              <w:rPr>
                <w:rFonts w:cs="Arial"/>
              </w:rPr>
              <w:t xml:space="preserve"> O/P Services able to be received through e-RS. </w:t>
            </w:r>
          </w:p>
          <w:p w:rsidR="007850A5" w:rsidRPr="00E66267" w:rsidRDefault="007850A5" w:rsidP="004E2A87">
            <w:pPr>
              <w:pStyle w:val="ListParagraph"/>
              <w:autoSpaceDE w:val="0"/>
              <w:autoSpaceDN w:val="0"/>
              <w:adjustRightInd w:val="0"/>
              <w:ind w:left="360"/>
              <w:rPr>
                <w:rFonts w:cs="Arial"/>
              </w:rPr>
            </w:pPr>
          </w:p>
          <w:p w:rsidR="007850A5" w:rsidRPr="006E228F" w:rsidRDefault="008938AF" w:rsidP="008938AF">
            <w:pPr>
              <w:pStyle w:val="ListParagraph"/>
              <w:numPr>
                <w:ilvl w:val="0"/>
                <w:numId w:val="15"/>
              </w:numPr>
              <w:rPr>
                <w:b/>
                <w:lang w:eastAsia="en-GB"/>
              </w:rPr>
            </w:pPr>
            <w:r w:rsidRPr="008938AF">
              <w:rPr>
                <w:rFonts w:cs="Arial"/>
              </w:rPr>
              <w:t>Evidence that slot polling ranges for directly bookable services match or exceed waits for paper referrals - details of slot polling ranges (as recorded on EBSX05) and Appointment Slot Issues by service reducing to 4% or less in line with the agreed trajectory set in Q1</w:t>
            </w:r>
            <w:r w:rsidR="007850A5" w:rsidRPr="001C7FB3">
              <w:rPr>
                <w:rFonts w:cs="Arial"/>
              </w:rPr>
              <w:t xml:space="preserve">.  </w:t>
            </w:r>
          </w:p>
          <w:p w:rsidR="006E228F" w:rsidRPr="006E228F" w:rsidRDefault="006E228F" w:rsidP="006E228F">
            <w:pPr>
              <w:rPr>
                <w:b/>
                <w:lang w:eastAsia="en-GB"/>
              </w:rPr>
            </w:pPr>
          </w:p>
        </w:tc>
        <w:tc>
          <w:tcPr>
            <w:tcW w:w="1890" w:type="dxa"/>
          </w:tcPr>
          <w:p w:rsidR="007850A5" w:rsidRDefault="007850A5" w:rsidP="009D451F">
            <w:pPr>
              <w:rPr>
                <w:b/>
                <w:lang w:eastAsia="en-GB"/>
              </w:rPr>
            </w:pPr>
            <w:r w:rsidRPr="00E66267">
              <w:rPr>
                <w:rFonts w:cs="Arial"/>
              </w:rPr>
              <w:t>01/10/2017</w:t>
            </w:r>
          </w:p>
        </w:tc>
        <w:tc>
          <w:tcPr>
            <w:tcW w:w="2320" w:type="dxa"/>
          </w:tcPr>
          <w:p w:rsidR="007850A5" w:rsidRDefault="007850A5" w:rsidP="009D451F">
            <w:pPr>
              <w:rPr>
                <w:b/>
                <w:lang w:eastAsia="en-GB"/>
              </w:rPr>
            </w:pPr>
            <w:r w:rsidRPr="00E66267">
              <w:rPr>
                <w:rFonts w:cs="Arial"/>
              </w:rPr>
              <w:t>25%</w:t>
            </w:r>
          </w:p>
        </w:tc>
      </w:tr>
      <w:tr w:rsidR="007850A5" w:rsidTr="008938AF">
        <w:tc>
          <w:tcPr>
            <w:tcW w:w="2320" w:type="dxa"/>
          </w:tcPr>
          <w:p w:rsidR="001C7FB3" w:rsidRPr="008938AF" w:rsidRDefault="001C7FB3" w:rsidP="009D451F">
            <w:pPr>
              <w:rPr>
                <w:rFonts w:cs="Arial"/>
                <w:b/>
              </w:rPr>
            </w:pPr>
            <w:r w:rsidRPr="008938AF">
              <w:rPr>
                <w:rFonts w:cs="Arial"/>
                <w:b/>
              </w:rPr>
              <w:lastRenderedPageBreak/>
              <w:t>Q3</w:t>
            </w:r>
          </w:p>
          <w:p w:rsidR="007850A5" w:rsidRDefault="007850A5" w:rsidP="009D451F">
            <w:pPr>
              <w:rPr>
                <w:b/>
                <w:lang w:eastAsia="en-GB"/>
              </w:rPr>
            </w:pPr>
            <w:r w:rsidRPr="008938AF">
              <w:rPr>
                <w:rFonts w:cs="Arial"/>
                <w:b/>
              </w:rPr>
              <w:t>01/10/2017 to 31/12/2017</w:t>
            </w:r>
          </w:p>
        </w:tc>
        <w:tc>
          <w:tcPr>
            <w:tcW w:w="2750" w:type="dxa"/>
          </w:tcPr>
          <w:p w:rsidR="007850A5" w:rsidRPr="00E66267" w:rsidRDefault="007850A5" w:rsidP="002378B0">
            <w:pPr>
              <w:pStyle w:val="ListParagraph"/>
              <w:numPr>
                <w:ilvl w:val="0"/>
                <w:numId w:val="16"/>
              </w:numPr>
              <w:autoSpaceDE w:val="0"/>
              <w:autoSpaceDN w:val="0"/>
              <w:adjustRightInd w:val="0"/>
              <w:rPr>
                <w:rFonts w:cs="Arial"/>
              </w:rPr>
            </w:pPr>
            <w:r w:rsidRPr="00E66267">
              <w:rPr>
                <w:rFonts w:cs="Arial"/>
              </w:rPr>
              <w:t>90% of Referrals to 1</w:t>
            </w:r>
            <w:r w:rsidRPr="00E66267">
              <w:rPr>
                <w:rFonts w:cs="Arial"/>
                <w:vertAlign w:val="superscript"/>
              </w:rPr>
              <w:t>st</w:t>
            </w:r>
            <w:r w:rsidRPr="00E66267">
              <w:rPr>
                <w:rFonts w:cs="Arial"/>
              </w:rPr>
              <w:t xml:space="preserve"> O/P Services able to be received through e-RS. </w:t>
            </w:r>
          </w:p>
          <w:p w:rsidR="007850A5" w:rsidRPr="00E66267" w:rsidRDefault="007850A5" w:rsidP="004E2A87">
            <w:pPr>
              <w:pStyle w:val="ListParagraph"/>
              <w:autoSpaceDE w:val="0"/>
              <w:autoSpaceDN w:val="0"/>
              <w:adjustRightInd w:val="0"/>
              <w:ind w:left="360"/>
              <w:rPr>
                <w:rFonts w:cs="Arial"/>
              </w:rPr>
            </w:pPr>
          </w:p>
          <w:p w:rsidR="007850A5" w:rsidRPr="001C7FB3" w:rsidRDefault="008938AF" w:rsidP="008938AF">
            <w:pPr>
              <w:pStyle w:val="ListParagraph"/>
              <w:numPr>
                <w:ilvl w:val="0"/>
                <w:numId w:val="16"/>
              </w:numPr>
              <w:rPr>
                <w:b/>
                <w:lang w:eastAsia="en-GB"/>
              </w:rPr>
            </w:pPr>
            <w:r w:rsidRPr="008938AF">
              <w:rPr>
                <w:rFonts w:cs="Arial"/>
              </w:rPr>
              <w:t>Evidence that slot polling ranges for directly bookable services match or exceed waits for paper referrals - details of slot polling ranges (as recorded on EBSX05) and Appointment Slot Issues by service reducing to 4% or less in line with the agreed trajectory set in Q1</w:t>
            </w:r>
            <w:r>
              <w:rPr>
                <w:rFonts w:cs="Arial"/>
              </w:rPr>
              <w:t>.</w:t>
            </w:r>
          </w:p>
        </w:tc>
        <w:tc>
          <w:tcPr>
            <w:tcW w:w="1890" w:type="dxa"/>
          </w:tcPr>
          <w:p w:rsidR="007850A5" w:rsidRDefault="007850A5" w:rsidP="009D451F">
            <w:pPr>
              <w:rPr>
                <w:b/>
                <w:lang w:eastAsia="en-GB"/>
              </w:rPr>
            </w:pPr>
            <w:r w:rsidRPr="00E66267">
              <w:rPr>
                <w:rFonts w:cs="Arial"/>
              </w:rPr>
              <w:t>02/01/2018</w:t>
            </w:r>
          </w:p>
        </w:tc>
        <w:tc>
          <w:tcPr>
            <w:tcW w:w="2320" w:type="dxa"/>
          </w:tcPr>
          <w:p w:rsidR="007850A5" w:rsidRDefault="007850A5" w:rsidP="009D451F">
            <w:pPr>
              <w:rPr>
                <w:b/>
                <w:lang w:eastAsia="en-GB"/>
              </w:rPr>
            </w:pPr>
            <w:r w:rsidRPr="00E66267">
              <w:rPr>
                <w:rFonts w:cs="Arial"/>
              </w:rPr>
              <w:t>25%</w:t>
            </w:r>
          </w:p>
        </w:tc>
      </w:tr>
      <w:tr w:rsidR="007850A5" w:rsidTr="008938AF">
        <w:tc>
          <w:tcPr>
            <w:tcW w:w="2320" w:type="dxa"/>
          </w:tcPr>
          <w:p w:rsidR="001C7FB3" w:rsidRPr="008938AF" w:rsidRDefault="001C7FB3" w:rsidP="009D451F">
            <w:pPr>
              <w:rPr>
                <w:rFonts w:cs="Arial"/>
                <w:b/>
              </w:rPr>
            </w:pPr>
            <w:r w:rsidRPr="008938AF">
              <w:rPr>
                <w:rFonts w:cs="Arial"/>
                <w:b/>
              </w:rPr>
              <w:t>Q4</w:t>
            </w:r>
          </w:p>
          <w:p w:rsidR="007850A5" w:rsidRDefault="007850A5" w:rsidP="009D451F">
            <w:pPr>
              <w:rPr>
                <w:b/>
                <w:lang w:eastAsia="en-GB"/>
              </w:rPr>
            </w:pPr>
            <w:r w:rsidRPr="008938AF">
              <w:rPr>
                <w:rFonts w:cs="Arial"/>
                <w:b/>
              </w:rPr>
              <w:t>01/01/2018 to 31/03/2018</w:t>
            </w:r>
          </w:p>
        </w:tc>
        <w:tc>
          <w:tcPr>
            <w:tcW w:w="2750" w:type="dxa"/>
          </w:tcPr>
          <w:p w:rsidR="007850A5" w:rsidRPr="00E66267" w:rsidRDefault="007850A5" w:rsidP="002378B0">
            <w:pPr>
              <w:pStyle w:val="ListParagraph"/>
              <w:numPr>
                <w:ilvl w:val="0"/>
                <w:numId w:val="16"/>
              </w:numPr>
              <w:autoSpaceDE w:val="0"/>
              <w:autoSpaceDN w:val="0"/>
              <w:adjustRightInd w:val="0"/>
              <w:rPr>
                <w:rFonts w:cs="Arial"/>
              </w:rPr>
            </w:pPr>
            <w:r w:rsidRPr="00E66267">
              <w:rPr>
                <w:rFonts w:cs="Arial"/>
              </w:rPr>
              <w:t>100% of Referrals to 1</w:t>
            </w:r>
            <w:r w:rsidRPr="00E66267">
              <w:rPr>
                <w:rFonts w:cs="Arial"/>
                <w:vertAlign w:val="superscript"/>
              </w:rPr>
              <w:t>st</w:t>
            </w:r>
            <w:r w:rsidRPr="00E66267">
              <w:rPr>
                <w:rFonts w:cs="Arial"/>
              </w:rPr>
              <w:t xml:space="preserve"> O/P Services able to be received through e-RS. </w:t>
            </w:r>
          </w:p>
          <w:p w:rsidR="007850A5" w:rsidRPr="00E66267" w:rsidRDefault="007850A5" w:rsidP="004E2A87">
            <w:pPr>
              <w:pStyle w:val="ListParagraph"/>
              <w:autoSpaceDE w:val="0"/>
              <w:autoSpaceDN w:val="0"/>
              <w:adjustRightInd w:val="0"/>
              <w:ind w:left="360"/>
              <w:rPr>
                <w:rFonts w:cs="Arial"/>
              </w:rPr>
            </w:pPr>
          </w:p>
          <w:p w:rsidR="007850A5" w:rsidRPr="008938AF" w:rsidRDefault="008938AF" w:rsidP="008938AF">
            <w:pPr>
              <w:pStyle w:val="ListParagraph"/>
              <w:numPr>
                <w:ilvl w:val="0"/>
                <w:numId w:val="16"/>
              </w:numPr>
              <w:rPr>
                <w:b/>
                <w:lang w:eastAsia="en-GB"/>
              </w:rPr>
            </w:pPr>
            <w:r w:rsidRPr="008938AF">
              <w:rPr>
                <w:rFonts w:cs="Arial"/>
              </w:rPr>
              <w:t xml:space="preserve">Evidence that slot polling ranges for directly bookable services match or exceed waits for paper referrals - </w:t>
            </w:r>
            <w:r>
              <w:t>details of slot polling ranges (as recorded on EBSX05) and Appointment Slot Issues by service reducing to 4% or less in line with the agreed trajectory set in Q1.</w:t>
            </w:r>
          </w:p>
        </w:tc>
        <w:tc>
          <w:tcPr>
            <w:tcW w:w="1890" w:type="dxa"/>
          </w:tcPr>
          <w:p w:rsidR="007850A5" w:rsidRDefault="007850A5" w:rsidP="009D451F">
            <w:pPr>
              <w:rPr>
                <w:b/>
                <w:lang w:eastAsia="en-GB"/>
              </w:rPr>
            </w:pPr>
            <w:r w:rsidRPr="00E66267">
              <w:rPr>
                <w:rFonts w:cs="Arial"/>
              </w:rPr>
              <w:t>01/04/20</w:t>
            </w:r>
            <w:r w:rsidR="00403186">
              <w:rPr>
                <w:rFonts w:cs="Arial"/>
              </w:rPr>
              <w:t>1</w:t>
            </w:r>
            <w:r w:rsidRPr="00E66267">
              <w:rPr>
                <w:rFonts w:cs="Arial"/>
              </w:rPr>
              <w:t>8</w:t>
            </w:r>
          </w:p>
        </w:tc>
        <w:tc>
          <w:tcPr>
            <w:tcW w:w="2320" w:type="dxa"/>
          </w:tcPr>
          <w:p w:rsidR="007850A5" w:rsidRDefault="007850A5" w:rsidP="009D451F">
            <w:pPr>
              <w:rPr>
                <w:b/>
                <w:lang w:eastAsia="en-GB"/>
              </w:rPr>
            </w:pPr>
            <w:r w:rsidRPr="00E66267">
              <w:rPr>
                <w:rFonts w:cs="Arial"/>
              </w:rPr>
              <w:t>25%</w:t>
            </w:r>
          </w:p>
        </w:tc>
      </w:tr>
    </w:tbl>
    <w:p w:rsidR="009D451F" w:rsidRDefault="009D451F" w:rsidP="00C02AC7">
      <w:pPr>
        <w:rPr>
          <w:lang w:eastAsia="en-GB"/>
        </w:rPr>
      </w:pPr>
    </w:p>
    <w:p w:rsidR="001C7FB3" w:rsidRDefault="001C7FB3">
      <w:pPr>
        <w:rPr>
          <w:rFonts w:eastAsiaTheme="majorEastAsia" w:cstheme="majorBidi"/>
          <w:b/>
          <w:bCs w:val="0"/>
          <w:iCs/>
          <w:color w:val="A00054" w:themeColor="accent2"/>
          <w:lang w:eastAsia="en-GB"/>
        </w:rPr>
      </w:pPr>
      <w:r>
        <w:rPr>
          <w:lang w:eastAsia="en-GB"/>
        </w:rPr>
        <w:br w:type="page"/>
      </w:r>
    </w:p>
    <w:p w:rsidR="009D451F" w:rsidRDefault="009D451F" w:rsidP="009D451F">
      <w:pPr>
        <w:pStyle w:val="Heading4"/>
        <w:rPr>
          <w:lang w:eastAsia="en-GB"/>
        </w:rPr>
      </w:pPr>
      <w:r w:rsidRPr="009D451F">
        <w:rPr>
          <w:lang w:eastAsia="en-GB"/>
        </w:rPr>
        <w:lastRenderedPageBreak/>
        <w:t>Rules for partial achievement</w:t>
      </w:r>
      <w:r>
        <w:rPr>
          <w:lang w:eastAsia="en-GB"/>
        </w:rPr>
        <w:t xml:space="preserve"> of indicator 7</w:t>
      </w:r>
    </w:p>
    <w:p w:rsidR="009D451F" w:rsidRDefault="009D451F" w:rsidP="009D451F">
      <w:pPr>
        <w:rPr>
          <w:lang w:eastAsia="en-GB"/>
        </w:rPr>
      </w:pPr>
    </w:p>
    <w:p w:rsidR="009D451F" w:rsidRDefault="009D451F" w:rsidP="009D451F">
      <w:pPr>
        <w:rPr>
          <w:b/>
          <w:lang w:eastAsia="en-GB"/>
        </w:rPr>
      </w:pPr>
      <w:r w:rsidRPr="009D451F">
        <w:rPr>
          <w:b/>
          <w:lang w:eastAsia="en-GB"/>
        </w:rPr>
        <w:t>Quarter 2</w:t>
      </w:r>
    </w:p>
    <w:tbl>
      <w:tblPr>
        <w:tblStyle w:val="TableGrid"/>
        <w:tblW w:w="0" w:type="auto"/>
        <w:tblLook w:val="04A0" w:firstRow="1" w:lastRow="0" w:firstColumn="1" w:lastColumn="0" w:noHBand="0" w:noVBand="1"/>
        <w:tblCaption w:val="Indicator 7 partial achievement"/>
        <w:tblDescription w:val="Indicator 7 partial achievement detail quarter 2"/>
      </w:tblPr>
      <w:tblGrid>
        <w:gridCol w:w="4640"/>
        <w:gridCol w:w="4640"/>
      </w:tblGrid>
      <w:tr w:rsidR="005215FC" w:rsidTr="00EB6EC2">
        <w:trPr>
          <w:tblHeader/>
        </w:trPr>
        <w:tc>
          <w:tcPr>
            <w:tcW w:w="4640" w:type="dxa"/>
            <w:shd w:val="clear" w:color="auto" w:fill="0072C6" w:themeFill="accent1"/>
          </w:tcPr>
          <w:p w:rsidR="005215FC" w:rsidRDefault="005215FC" w:rsidP="005215FC">
            <w:pPr>
              <w:rPr>
                <w:lang w:eastAsia="en-GB"/>
              </w:rPr>
            </w:pPr>
            <w:r w:rsidRPr="00E66267">
              <w:rPr>
                <w:rFonts w:cs="Arial"/>
                <w:b/>
                <w:color w:val="FFFFFF" w:themeColor="background1"/>
              </w:rPr>
              <w:t>Final</w:t>
            </w:r>
            <w:r w:rsidRPr="00E66267">
              <w:rPr>
                <w:rFonts w:cs="Arial"/>
                <w:b/>
                <w:color w:val="FFFFFF" w:themeColor="background1"/>
                <w:lang w:eastAsia="en-GB"/>
              </w:rPr>
              <w:t xml:space="preserve"> </w:t>
            </w:r>
            <w:r w:rsidRPr="00E66267">
              <w:rPr>
                <w:rFonts w:cs="Arial"/>
                <w:b/>
                <w:color w:val="FFFFFF" w:themeColor="background1"/>
              </w:rPr>
              <w:t>indicator</w:t>
            </w:r>
            <w:r w:rsidRPr="00E66267">
              <w:rPr>
                <w:rFonts w:cs="Arial"/>
                <w:b/>
                <w:color w:val="FFFFFF" w:themeColor="background1"/>
                <w:lang w:eastAsia="en-GB"/>
              </w:rPr>
              <w:t xml:space="preserve"> value for the partial achievement threshold</w:t>
            </w:r>
          </w:p>
        </w:tc>
        <w:tc>
          <w:tcPr>
            <w:tcW w:w="4640" w:type="dxa"/>
            <w:shd w:val="clear" w:color="auto" w:fill="0072C6" w:themeFill="accent1"/>
          </w:tcPr>
          <w:p w:rsidR="005215FC" w:rsidRDefault="005215FC" w:rsidP="005215FC">
            <w:pPr>
              <w:rPr>
                <w:lang w:eastAsia="en-GB"/>
              </w:rPr>
            </w:pPr>
            <w:r w:rsidRPr="00E66267">
              <w:rPr>
                <w:rFonts w:cs="Arial"/>
                <w:b/>
                <w:color w:val="FFFFFF" w:themeColor="background1"/>
                <w:lang w:eastAsia="en-GB"/>
              </w:rPr>
              <w:t xml:space="preserve">% </w:t>
            </w:r>
            <w:r w:rsidRPr="00E66267">
              <w:rPr>
                <w:rFonts w:cs="Arial"/>
                <w:b/>
                <w:color w:val="FFFFFF" w:themeColor="background1"/>
              </w:rPr>
              <w:t>of</w:t>
            </w:r>
            <w:r w:rsidRPr="00E66267">
              <w:rPr>
                <w:rFonts w:cs="Arial"/>
                <w:b/>
                <w:color w:val="FFFFFF" w:themeColor="background1"/>
                <w:lang w:eastAsia="en-GB"/>
              </w:rPr>
              <w:t xml:space="preserve"> CQUIN scheme available for me</w:t>
            </w:r>
            <w:r>
              <w:rPr>
                <w:rFonts w:cs="Arial"/>
                <w:b/>
                <w:color w:val="FFFFFF" w:themeColor="background1"/>
                <w:lang w:eastAsia="en-GB"/>
              </w:rPr>
              <w:t>e</w:t>
            </w:r>
            <w:r w:rsidRPr="00E66267">
              <w:rPr>
                <w:rFonts w:cs="Arial"/>
                <w:b/>
                <w:color w:val="FFFFFF" w:themeColor="background1"/>
                <w:lang w:eastAsia="en-GB"/>
              </w:rPr>
              <w:t>ting final indicator value</w:t>
            </w:r>
          </w:p>
        </w:tc>
      </w:tr>
      <w:tr w:rsidR="005215FC" w:rsidTr="005215FC">
        <w:tc>
          <w:tcPr>
            <w:tcW w:w="4640" w:type="dxa"/>
          </w:tcPr>
          <w:p w:rsidR="005215FC" w:rsidRDefault="005215FC" w:rsidP="009D451F">
            <w:pPr>
              <w:rPr>
                <w:lang w:eastAsia="en-GB"/>
              </w:rPr>
            </w:pPr>
            <w:r w:rsidRPr="00E66267">
              <w:rPr>
                <w:rFonts w:cs="Arial"/>
              </w:rPr>
              <w:t>Achieving 50% to 60% of referrals to 1</w:t>
            </w:r>
            <w:r w:rsidRPr="00E66267">
              <w:rPr>
                <w:rFonts w:cs="Arial"/>
                <w:vertAlign w:val="superscript"/>
              </w:rPr>
              <w:t>st</w:t>
            </w:r>
            <w:r w:rsidRPr="00E66267">
              <w:rPr>
                <w:rFonts w:cs="Arial"/>
              </w:rPr>
              <w:t xml:space="preserve"> O/P Services able to be received through e-RS.</w:t>
            </w:r>
          </w:p>
        </w:tc>
        <w:tc>
          <w:tcPr>
            <w:tcW w:w="4640" w:type="dxa"/>
          </w:tcPr>
          <w:p w:rsidR="005215FC" w:rsidRDefault="005215FC" w:rsidP="009D451F">
            <w:pPr>
              <w:rPr>
                <w:lang w:eastAsia="en-GB"/>
              </w:rPr>
            </w:pPr>
            <w:r w:rsidRPr="00E66267">
              <w:rPr>
                <w:rFonts w:cs="Arial"/>
              </w:rPr>
              <w:t xml:space="preserve">50% of available Q2 scheme </w:t>
            </w:r>
          </w:p>
        </w:tc>
      </w:tr>
      <w:tr w:rsidR="005215FC" w:rsidTr="005215FC">
        <w:tc>
          <w:tcPr>
            <w:tcW w:w="4640" w:type="dxa"/>
          </w:tcPr>
          <w:p w:rsidR="005215FC" w:rsidRDefault="005215FC" w:rsidP="009D451F">
            <w:pPr>
              <w:rPr>
                <w:lang w:eastAsia="en-GB"/>
              </w:rPr>
            </w:pPr>
            <w:r w:rsidRPr="00E66267">
              <w:rPr>
                <w:rFonts w:cs="Arial"/>
              </w:rPr>
              <w:t>Achieving 61% to 70% of referrals to 1</w:t>
            </w:r>
            <w:r w:rsidRPr="00E66267">
              <w:rPr>
                <w:rFonts w:cs="Arial"/>
                <w:vertAlign w:val="superscript"/>
              </w:rPr>
              <w:t>st</w:t>
            </w:r>
            <w:r w:rsidRPr="00E66267">
              <w:rPr>
                <w:rFonts w:cs="Arial"/>
              </w:rPr>
              <w:t xml:space="preserve"> O/P Services able to be received through e-RS.</w:t>
            </w:r>
          </w:p>
        </w:tc>
        <w:tc>
          <w:tcPr>
            <w:tcW w:w="4640" w:type="dxa"/>
          </w:tcPr>
          <w:p w:rsidR="005215FC" w:rsidRDefault="005215FC" w:rsidP="009D451F">
            <w:pPr>
              <w:rPr>
                <w:lang w:eastAsia="en-GB"/>
              </w:rPr>
            </w:pPr>
            <w:r w:rsidRPr="00E66267">
              <w:rPr>
                <w:rFonts w:cs="Arial"/>
              </w:rPr>
              <w:t xml:space="preserve">60% of available Q2 scheme </w:t>
            </w:r>
          </w:p>
        </w:tc>
      </w:tr>
      <w:tr w:rsidR="005215FC" w:rsidTr="005215FC">
        <w:tc>
          <w:tcPr>
            <w:tcW w:w="4640" w:type="dxa"/>
          </w:tcPr>
          <w:p w:rsidR="005215FC" w:rsidRDefault="005215FC" w:rsidP="009D451F">
            <w:pPr>
              <w:rPr>
                <w:lang w:eastAsia="en-GB"/>
              </w:rPr>
            </w:pPr>
            <w:r w:rsidRPr="00E66267">
              <w:rPr>
                <w:rFonts w:cs="Arial"/>
              </w:rPr>
              <w:t>Achieving 71% to 79% of referrals to 1</w:t>
            </w:r>
            <w:r w:rsidRPr="00E66267">
              <w:rPr>
                <w:rFonts w:cs="Arial"/>
                <w:vertAlign w:val="superscript"/>
              </w:rPr>
              <w:t>st</w:t>
            </w:r>
            <w:r w:rsidRPr="00E66267">
              <w:rPr>
                <w:rFonts w:cs="Arial"/>
              </w:rPr>
              <w:t xml:space="preserve"> O/P Services able to be received through e-RS.</w:t>
            </w:r>
          </w:p>
        </w:tc>
        <w:tc>
          <w:tcPr>
            <w:tcW w:w="4640" w:type="dxa"/>
          </w:tcPr>
          <w:p w:rsidR="005215FC" w:rsidRDefault="005215FC" w:rsidP="009D451F">
            <w:pPr>
              <w:rPr>
                <w:lang w:eastAsia="en-GB"/>
              </w:rPr>
            </w:pPr>
            <w:r w:rsidRPr="00E66267">
              <w:rPr>
                <w:rFonts w:cs="Arial"/>
              </w:rPr>
              <w:t xml:space="preserve">70% of available Q2 scheme </w:t>
            </w:r>
          </w:p>
        </w:tc>
      </w:tr>
      <w:tr w:rsidR="005215FC" w:rsidTr="005215FC">
        <w:tc>
          <w:tcPr>
            <w:tcW w:w="4640" w:type="dxa"/>
          </w:tcPr>
          <w:p w:rsidR="005215FC" w:rsidRDefault="005215FC" w:rsidP="009D451F">
            <w:pPr>
              <w:rPr>
                <w:lang w:eastAsia="en-GB"/>
              </w:rPr>
            </w:pPr>
            <w:r w:rsidRPr="00E66267">
              <w:rPr>
                <w:rFonts w:cs="Arial"/>
              </w:rPr>
              <w:t>Achieving 80% or above of referrals to 1</w:t>
            </w:r>
            <w:r w:rsidRPr="00E66267">
              <w:rPr>
                <w:rFonts w:cs="Arial"/>
                <w:vertAlign w:val="superscript"/>
              </w:rPr>
              <w:t>st</w:t>
            </w:r>
            <w:r w:rsidRPr="00E66267">
              <w:rPr>
                <w:rFonts w:cs="Arial"/>
              </w:rPr>
              <w:t xml:space="preserve"> O/P Services able to be received through e-RS.</w:t>
            </w:r>
          </w:p>
        </w:tc>
        <w:tc>
          <w:tcPr>
            <w:tcW w:w="4640" w:type="dxa"/>
          </w:tcPr>
          <w:p w:rsidR="005215FC" w:rsidRDefault="005215FC" w:rsidP="009D451F">
            <w:pPr>
              <w:rPr>
                <w:lang w:eastAsia="en-GB"/>
              </w:rPr>
            </w:pPr>
            <w:r w:rsidRPr="00E66267">
              <w:rPr>
                <w:rFonts w:cs="Arial"/>
              </w:rPr>
              <w:t>100% of available Q2 scheme</w:t>
            </w:r>
          </w:p>
        </w:tc>
      </w:tr>
    </w:tbl>
    <w:p w:rsidR="009D451F" w:rsidRDefault="009D451F" w:rsidP="009D451F">
      <w:pPr>
        <w:rPr>
          <w:lang w:eastAsia="en-GB"/>
        </w:rPr>
      </w:pPr>
    </w:p>
    <w:p w:rsidR="009D451F" w:rsidRDefault="009D451F" w:rsidP="009D451F">
      <w:pPr>
        <w:rPr>
          <w:b/>
          <w:lang w:eastAsia="en-GB"/>
        </w:rPr>
      </w:pPr>
      <w:r>
        <w:rPr>
          <w:b/>
          <w:lang w:eastAsia="en-GB"/>
        </w:rPr>
        <w:t>Quarter 3</w:t>
      </w:r>
    </w:p>
    <w:tbl>
      <w:tblPr>
        <w:tblStyle w:val="TableGrid"/>
        <w:tblW w:w="0" w:type="auto"/>
        <w:tblLook w:val="04A0" w:firstRow="1" w:lastRow="0" w:firstColumn="1" w:lastColumn="0" w:noHBand="0" w:noVBand="1"/>
        <w:tblCaption w:val="Indicator 7 partial achievement"/>
        <w:tblDescription w:val="Indicator 7 partial achievement detail quarter 3"/>
      </w:tblPr>
      <w:tblGrid>
        <w:gridCol w:w="4640"/>
        <w:gridCol w:w="4640"/>
      </w:tblGrid>
      <w:tr w:rsidR="005215FC" w:rsidTr="00EB6EC2">
        <w:trPr>
          <w:tblHeader/>
        </w:trPr>
        <w:tc>
          <w:tcPr>
            <w:tcW w:w="4640" w:type="dxa"/>
            <w:shd w:val="clear" w:color="auto" w:fill="0072C6" w:themeFill="accent1"/>
          </w:tcPr>
          <w:p w:rsidR="005215FC" w:rsidRDefault="005215FC" w:rsidP="004E2A87">
            <w:pPr>
              <w:rPr>
                <w:lang w:eastAsia="en-GB"/>
              </w:rPr>
            </w:pPr>
            <w:r w:rsidRPr="00E66267">
              <w:rPr>
                <w:rFonts w:cs="Arial"/>
                <w:b/>
                <w:color w:val="FFFFFF" w:themeColor="background1"/>
              </w:rPr>
              <w:t>Final</w:t>
            </w:r>
            <w:r w:rsidRPr="00E66267">
              <w:rPr>
                <w:rFonts w:cs="Arial"/>
                <w:b/>
                <w:color w:val="FFFFFF" w:themeColor="background1"/>
                <w:lang w:eastAsia="en-GB"/>
              </w:rPr>
              <w:t xml:space="preserve"> </w:t>
            </w:r>
            <w:r w:rsidRPr="00E66267">
              <w:rPr>
                <w:rFonts w:cs="Arial"/>
                <w:b/>
                <w:color w:val="FFFFFF" w:themeColor="background1"/>
              </w:rPr>
              <w:t>indicator</w:t>
            </w:r>
            <w:r w:rsidRPr="00E66267">
              <w:rPr>
                <w:rFonts w:cs="Arial"/>
                <w:b/>
                <w:color w:val="FFFFFF" w:themeColor="background1"/>
                <w:lang w:eastAsia="en-GB"/>
              </w:rPr>
              <w:t xml:space="preserve"> value for the partial achievement threshold</w:t>
            </w:r>
          </w:p>
        </w:tc>
        <w:tc>
          <w:tcPr>
            <w:tcW w:w="4640" w:type="dxa"/>
            <w:shd w:val="clear" w:color="auto" w:fill="0072C6" w:themeFill="accent1"/>
          </w:tcPr>
          <w:p w:rsidR="005215FC" w:rsidRDefault="005215FC" w:rsidP="004E2A87">
            <w:pPr>
              <w:rPr>
                <w:lang w:eastAsia="en-GB"/>
              </w:rPr>
            </w:pPr>
            <w:r w:rsidRPr="00E66267">
              <w:rPr>
                <w:rFonts w:cs="Arial"/>
                <w:b/>
                <w:color w:val="FFFFFF" w:themeColor="background1"/>
                <w:lang w:eastAsia="en-GB"/>
              </w:rPr>
              <w:t xml:space="preserve">% </w:t>
            </w:r>
            <w:r w:rsidRPr="00E66267">
              <w:rPr>
                <w:rFonts w:cs="Arial"/>
                <w:b/>
                <w:color w:val="FFFFFF" w:themeColor="background1"/>
              </w:rPr>
              <w:t>of</w:t>
            </w:r>
            <w:r w:rsidRPr="00E66267">
              <w:rPr>
                <w:rFonts w:cs="Arial"/>
                <w:b/>
                <w:color w:val="FFFFFF" w:themeColor="background1"/>
                <w:lang w:eastAsia="en-GB"/>
              </w:rPr>
              <w:t xml:space="preserve"> CQUIN scheme available for me</w:t>
            </w:r>
            <w:r>
              <w:rPr>
                <w:rFonts w:cs="Arial"/>
                <w:b/>
                <w:color w:val="FFFFFF" w:themeColor="background1"/>
                <w:lang w:eastAsia="en-GB"/>
              </w:rPr>
              <w:t>e</w:t>
            </w:r>
            <w:r w:rsidRPr="00E66267">
              <w:rPr>
                <w:rFonts w:cs="Arial"/>
                <w:b/>
                <w:color w:val="FFFFFF" w:themeColor="background1"/>
                <w:lang w:eastAsia="en-GB"/>
              </w:rPr>
              <w:t>ting final indicator value</w:t>
            </w:r>
          </w:p>
        </w:tc>
      </w:tr>
      <w:tr w:rsidR="005215FC" w:rsidTr="004E2A87">
        <w:tc>
          <w:tcPr>
            <w:tcW w:w="4640" w:type="dxa"/>
          </w:tcPr>
          <w:p w:rsidR="005215FC" w:rsidRDefault="005215FC" w:rsidP="004E2A87">
            <w:pPr>
              <w:rPr>
                <w:lang w:eastAsia="en-GB"/>
              </w:rPr>
            </w:pPr>
            <w:r w:rsidRPr="00E66267">
              <w:rPr>
                <w:rFonts w:cs="Arial"/>
              </w:rPr>
              <w:t>Achieving 61% to 70% of referrals to 1</w:t>
            </w:r>
            <w:r w:rsidRPr="00E66267">
              <w:rPr>
                <w:rFonts w:cs="Arial"/>
                <w:vertAlign w:val="superscript"/>
              </w:rPr>
              <w:t>st</w:t>
            </w:r>
            <w:r w:rsidRPr="00E66267">
              <w:rPr>
                <w:rFonts w:cs="Arial"/>
              </w:rPr>
              <w:t xml:space="preserve"> O/P Services able to be received through e-RS.</w:t>
            </w:r>
          </w:p>
        </w:tc>
        <w:tc>
          <w:tcPr>
            <w:tcW w:w="4640" w:type="dxa"/>
          </w:tcPr>
          <w:p w:rsidR="005215FC" w:rsidRDefault="005215FC" w:rsidP="004E2A87">
            <w:pPr>
              <w:rPr>
                <w:lang w:eastAsia="en-GB"/>
              </w:rPr>
            </w:pPr>
            <w:r w:rsidRPr="00E66267">
              <w:rPr>
                <w:rFonts w:cs="Arial"/>
              </w:rPr>
              <w:t xml:space="preserve">50% of available Q3 scheme </w:t>
            </w:r>
          </w:p>
        </w:tc>
      </w:tr>
      <w:tr w:rsidR="005215FC" w:rsidTr="004E2A87">
        <w:tc>
          <w:tcPr>
            <w:tcW w:w="4640" w:type="dxa"/>
          </w:tcPr>
          <w:p w:rsidR="005215FC" w:rsidRDefault="005215FC" w:rsidP="004E2A87">
            <w:pPr>
              <w:rPr>
                <w:lang w:eastAsia="en-GB"/>
              </w:rPr>
            </w:pPr>
            <w:r w:rsidRPr="00E66267">
              <w:rPr>
                <w:rFonts w:cs="Arial"/>
              </w:rPr>
              <w:t>Achieving 71% to 80% of referrals to 1</w:t>
            </w:r>
            <w:r w:rsidRPr="00E66267">
              <w:rPr>
                <w:rFonts w:cs="Arial"/>
                <w:vertAlign w:val="superscript"/>
              </w:rPr>
              <w:t>st</w:t>
            </w:r>
            <w:r w:rsidRPr="00E66267">
              <w:rPr>
                <w:rFonts w:cs="Arial"/>
              </w:rPr>
              <w:t xml:space="preserve"> O/P Services able to be received through e-RS.</w:t>
            </w:r>
          </w:p>
        </w:tc>
        <w:tc>
          <w:tcPr>
            <w:tcW w:w="4640" w:type="dxa"/>
          </w:tcPr>
          <w:p w:rsidR="005215FC" w:rsidRDefault="005215FC" w:rsidP="004E2A87">
            <w:pPr>
              <w:rPr>
                <w:lang w:eastAsia="en-GB"/>
              </w:rPr>
            </w:pPr>
            <w:r w:rsidRPr="00E66267">
              <w:rPr>
                <w:rFonts w:cs="Arial"/>
              </w:rPr>
              <w:t xml:space="preserve">60% of available Q3 scheme </w:t>
            </w:r>
          </w:p>
        </w:tc>
      </w:tr>
      <w:tr w:rsidR="005215FC" w:rsidTr="004E2A87">
        <w:tc>
          <w:tcPr>
            <w:tcW w:w="4640" w:type="dxa"/>
          </w:tcPr>
          <w:p w:rsidR="005215FC" w:rsidRDefault="005215FC" w:rsidP="004E2A87">
            <w:pPr>
              <w:rPr>
                <w:lang w:eastAsia="en-GB"/>
              </w:rPr>
            </w:pPr>
            <w:r w:rsidRPr="00E66267">
              <w:rPr>
                <w:rFonts w:cs="Arial"/>
              </w:rPr>
              <w:t>Achieving 81% to 89% of referrals to 1</w:t>
            </w:r>
            <w:r w:rsidRPr="00E66267">
              <w:rPr>
                <w:rFonts w:cs="Arial"/>
                <w:vertAlign w:val="superscript"/>
              </w:rPr>
              <w:t>st</w:t>
            </w:r>
            <w:r w:rsidRPr="00E66267">
              <w:rPr>
                <w:rFonts w:cs="Arial"/>
              </w:rPr>
              <w:t xml:space="preserve"> O/P Services able to be received through e-RS.</w:t>
            </w:r>
          </w:p>
        </w:tc>
        <w:tc>
          <w:tcPr>
            <w:tcW w:w="4640" w:type="dxa"/>
          </w:tcPr>
          <w:p w:rsidR="005215FC" w:rsidRDefault="005215FC" w:rsidP="004E2A87">
            <w:pPr>
              <w:rPr>
                <w:lang w:eastAsia="en-GB"/>
              </w:rPr>
            </w:pPr>
            <w:r w:rsidRPr="00E66267">
              <w:rPr>
                <w:rFonts w:cs="Arial"/>
              </w:rPr>
              <w:t xml:space="preserve">70% of available Q3 scheme </w:t>
            </w:r>
          </w:p>
        </w:tc>
      </w:tr>
      <w:tr w:rsidR="005215FC" w:rsidTr="004E2A87">
        <w:tc>
          <w:tcPr>
            <w:tcW w:w="4640" w:type="dxa"/>
          </w:tcPr>
          <w:p w:rsidR="005215FC" w:rsidRDefault="005215FC" w:rsidP="004E2A87">
            <w:pPr>
              <w:rPr>
                <w:lang w:eastAsia="en-GB"/>
              </w:rPr>
            </w:pPr>
            <w:r w:rsidRPr="00E66267">
              <w:rPr>
                <w:rFonts w:cs="Arial"/>
              </w:rPr>
              <w:t>Achieving 90% or above of referrals to 1</w:t>
            </w:r>
            <w:r w:rsidRPr="00E66267">
              <w:rPr>
                <w:rFonts w:cs="Arial"/>
                <w:vertAlign w:val="superscript"/>
              </w:rPr>
              <w:t>st</w:t>
            </w:r>
            <w:r w:rsidRPr="00E66267">
              <w:rPr>
                <w:rFonts w:cs="Arial"/>
              </w:rPr>
              <w:t xml:space="preserve"> O/P Services able to be received through e-RS.</w:t>
            </w:r>
          </w:p>
        </w:tc>
        <w:tc>
          <w:tcPr>
            <w:tcW w:w="4640" w:type="dxa"/>
          </w:tcPr>
          <w:p w:rsidR="005215FC" w:rsidRDefault="005215FC" w:rsidP="004E2A87">
            <w:pPr>
              <w:rPr>
                <w:lang w:eastAsia="en-GB"/>
              </w:rPr>
            </w:pPr>
            <w:r w:rsidRPr="00E66267">
              <w:rPr>
                <w:rFonts w:cs="Arial"/>
              </w:rPr>
              <w:t>100% of available Q3 scheme</w:t>
            </w:r>
          </w:p>
        </w:tc>
      </w:tr>
    </w:tbl>
    <w:p w:rsidR="009D451F" w:rsidRDefault="009D451F" w:rsidP="009D451F">
      <w:pPr>
        <w:rPr>
          <w:b/>
          <w:lang w:eastAsia="en-GB"/>
        </w:rPr>
      </w:pPr>
    </w:p>
    <w:p w:rsidR="009D451F" w:rsidRDefault="009D451F" w:rsidP="009D451F">
      <w:pPr>
        <w:rPr>
          <w:b/>
          <w:lang w:eastAsia="en-GB"/>
        </w:rPr>
      </w:pPr>
      <w:r>
        <w:rPr>
          <w:b/>
          <w:lang w:eastAsia="en-GB"/>
        </w:rPr>
        <w:t>Quarter 4</w:t>
      </w:r>
    </w:p>
    <w:tbl>
      <w:tblPr>
        <w:tblStyle w:val="TableGrid"/>
        <w:tblW w:w="0" w:type="auto"/>
        <w:tblLook w:val="04A0" w:firstRow="1" w:lastRow="0" w:firstColumn="1" w:lastColumn="0" w:noHBand="0" w:noVBand="1"/>
        <w:tblCaption w:val="Indicator 7 partial achievement"/>
        <w:tblDescription w:val="Indicator 7 partial achievement detail quarter 4"/>
      </w:tblPr>
      <w:tblGrid>
        <w:gridCol w:w="4640"/>
        <w:gridCol w:w="4640"/>
      </w:tblGrid>
      <w:tr w:rsidR="005215FC" w:rsidTr="00EB6EC2">
        <w:trPr>
          <w:tblHeader/>
        </w:trPr>
        <w:tc>
          <w:tcPr>
            <w:tcW w:w="4640" w:type="dxa"/>
            <w:shd w:val="clear" w:color="auto" w:fill="0072C6" w:themeFill="accent1"/>
          </w:tcPr>
          <w:p w:rsidR="005215FC" w:rsidRDefault="005215FC" w:rsidP="004E2A87">
            <w:pPr>
              <w:rPr>
                <w:lang w:eastAsia="en-GB"/>
              </w:rPr>
            </w:pPr>
            <w:r w:rsidRPr="00E66267">
              <w:rPr>
                <w:rFonts w:cs="Arial"/>
                <w:b/>
                <w:color w:val="FFFFFF" w:themeColor="background1"/>
              </w:rPr>
              <w:t>Final</w:t>
            </w:r>
            <w:r w:rsidRPr="00E66267">
              <w:rPr>
                <w:rFonts w:cs="Arial"/>
                <w:b/>
                <w:color w:val="FFFFFF" w:themeColor="background1"/>
                <w:lang w:eastAsia="en-GB"/>
              </w:rPr>
              <w:t xml:space="preserve"> </w:t>
            </w:r>
            <w:r w:rsidRPr="00E66267">
              <w:rPr>
                <w:rFonts w:cs="Arial"/>
                <w:b/>
                <w:color w:val="FFFFFF" w:themeColor="background1"/>
              </w:rPr>
              <w:t>indicator</w:t>
            </w:r>
            <w:r w:rsidRPr="00E66267">
              <w:rPr>
                <w:rFonts w:cs="Arial"/>
                <w:b/>
                <w:color w:val="FFFFFF" w:themeColor="background1"/>
                <w:lang w:eastAsia="en-GB"/>
              </w:rPr>
              <w:t xml:space="preserve"> value for the partial achievement threshold</w:t>
            </w:r>
          </w:p>
        </w:tc>
        <w:tc>
          <w:tcPr>
            <w:tcW w:w="4640" w:type="dxa"/>
            <w:shd w:val="clear" w:color="auto" w:fill="0072C6" w:themeFill="accent1"/>
          </w:tcPr>
          <w:p w:rsidR="005215FC" w:rsidRDefault="005215FC" w:rsidP="004E2A87">
            <w:pPr>
              <w:rPr>
                <w:lang w:eastAsia="en-GB"/>
              </w:rPr>
            </w:pPr>
            <w:r w:rsidRPr="00E66267">
              <w:rPr>
                <w:rFonts w:cs="Arial"/>
                <w:b/>
                <w:color w:val="FFFFFF" w:themeColor="background1"/>
                <w:lang w:eastAsia="en-GB"/>
              </w:rPr>
              <w:t xml:space="preserve">% </w:t>
            </w:r>
            <w:r w:rsidRPr="00E66267">
              <w:rPr>
                <w:rFonts w:cs="Arial"/>
                <w:b/>
                <w:color w:val="FFFFFF" w:themeColor="background1"/>
              </w:rPr>
              <w:t>of</w:t>
            </w:r>
            <w:r w:rsidRPr="00E66267">
              <w:rPr>
                <w:rFonts w:cs="Arial"/>
                <w:b/>
                <w:color w:val="FFFFFF" w:themeColor="background1"/>
                <w:lang w:eastAsia="en-GB"/>
              </w:rPr>
              <w:t xml:space="preserve"> CQUIN scheme available for me</w:t>
            </w:r>
            <w:r>
              <w:rPr>
                <w:rFonts w:cs="Arial"/>
                <w:b/>
                <w:color w:val="FFFFFF" w:themeColor="background1"/>
                <w:lang w:eastAsia="en-GB"/>
              </w:rPr>
              <w:t>e</w:t>
            </w:r>
            <w:r w:rsidRPr="00E66267">
              <w:rPr>
                <w:rFonts w:cs="Arial"/>
                <w:b/>
                <w:color w:val="FFFFFF" w:themeColor="background1"/>
                <w:lang w:eastAsia="en-GB"/>
              </w:rPr>
              <w:t>ting final indicator value</w:t>
            </w:r>
          </w:p>
        </w:tc>
      </w:tr>
      <w:tr w:rsidR="005215FC" w:rsidTr="004E2A87">
        <w:tc>
          <w:tcPr>
            <w:tcW w:w="4640" w:type="dxa"/>
          </w:tcPr>
          <w:p w:rsidR="005215FC" w:rsidRDefault="005215FC" w:rsidP="004E2A87">
            <w:pPr>
              <w:rPr>
                <w:lang w:eastAsia="en-GB"/>
              </w:rPr>
            </w:pPr>
            <w:r w:rsidRPr="00E66267">
              <w:rPr>
                <w:rFonts w:cs="Arial"/>
              </w:rPr>
              <w:t>Achieving 71% to 80% of referrals to 1</w:t>
            </w:r>
            <w:r w:rsidRPr="00E66267">
              <w:rPr>
                <w:rFonts w:cs="Arial"/>
                <w:vertAlign w:val="superscript"/>
              </w:rPr>
              <w:t>st</w:t>
            </w:r>
            <w:r w:rsidRPr="00E66267">
              <w:rPr>
                <w:rFonts w:cs="Arial"/>
              </w:rPr>
              <w:t xml:space="preserve"> O/P Services able to be received through e-RS.</w:t>
            </w:r>
          </w:p>
        </w:tc>
        <w:tc>
          <w:tcPr>
            <w:tcW w:w="4640" w:type="dxa"/>
          </w:tcPr>
          <w:p w:rsidR="005215FC" w:rsidRDefault="005215FC" w:rsidP="004E2A87">
            <w:pPr>
              <w:rPr>
                <w:lang w:eastAsia="en-GB"/>
              </w:rPr>
            </w:pPr>
            <w:r w:rsidRPr="00E66267">
              <w:rPr>
                <w:rFonts w:cs="Arial"/>
              </w:rPr>
              <w:t xml:space="preserve">50% of available Q4 scheme </w:t>
            </w:r>
          </w:p>
        </w:tc>
      </w:tr>
      <w:tr w:rsidR="005215FC" w:rsidTr="004E2A87">
        <w:tc>
          <w:tcPr>
            <w:tcW w:w="4640" w:type="dxa"/>
          </w:tcPr>
          <w:p w:rsidR="005215FC" w:rsidRDefault="005215FC" w:rsidP="004E2A87">
            <w:pPr>
              <w:rPr>
                <w:lang w:eastAsia="en-GB"/>
              </w:rPr>
            </w:pPr>
            <w:r w:rsidRPr="00E66267">
              <w:rPr>
                <w:rFonts w:cs="Arial"/>
              </w:rPr>
              <w:t>Achieving 81% to 90% of referrals to 1</w:t>
            </w:r>
            <w:r w:rsidRPr="00E66267">
              <w:rPr>
                <w:rFonts w:cs="Arial"/>
                <w:vertAlign w:val="superscript"/>
              </w:rPr>
              <w:t>st</w:t>
            </w:r>
            <w:r w:rsidRPr="00E66267">
              <w:rPr>
                <w:rFonts w:cs="Arial"/>
              </w:rPr>
              <w:t xml:space="preserve"> O/P Services able to be received through e-RS.</w:t>
            </w:r>
          </w:p>
        </w:tc>
        <w:tc>
          <w:tcPr>
            <w:tcW w:w="4640" w:type="dxa"/>
          </w:tcPr>
          <w:p w:rsidR="005215FC" w:rsidRDefault="005215FC" w:rsidP="004E2A87">
            <w:pPr>
              <w:rPr>
                <w:lang w:eastAsia="en-GB"/>
              </w:rPr>
            </w:pPr>
            <w:r w:rsidRPr="00E66267">
              <w:rPr>
                <w:rFonts w:cs="Arial"/>
              </w:rPr>
              <w:t xml:space="preserve">60% of available Q4 scheme </w:t>
            </w:r>
          </w:p>
        </w:tc>
      </w:tr>
      <w:tr w:rsidR="005215FC" w:rsidTr="004E2A87">
        <w:tc>
          <w:tcPr>
            <w:tcW w:w="4640" w:type="dxa"/>
          </w:tcPr>
          <w:p w:rsidR="005215FC" w:rsidRDefault="005215FC" w:rsidP="004E2A87">
            <w:pPr>
              <w:rPr>
                <w:lang w:eastAsia="en-GB"/>
              </w:rPr>
            </w:pPr>
            <w:r w:rsidRPr="00E66267">
              <w:rPr>
                <w:rFonts w:cs="Arial"/>
              </w:rPr>
              <w:t>Achieving 91% to 99% of referrals to 1</w:t>
            </w:r>
            <w:r w:rsidRPr="00E66267">
              <w:rPr>
                <w:rFonts w:cs="Arial"/>
                <w:vertAlign w:val="superscript"/>
              </w:rPr>
              <w:t>st</w:t>
            </w:r>
            <w:r w:rsidRPr="00E66267">
              <w:rPr>
                <w:rFonts w:cs="Arial"/>
              </w:rPr>
              <w:t xml:space="preserve"> O/P Services able to be received through e-RS.</w:t>
            </w:r>
          </w:p>
        </w:tc>
        <w:tc>
          <w:tcPr>
            <w:tcW w:w="4640" w:type="dxa"/>
          </w:tcPr>
          <w:p w:rsidR="005215FC" w:rsidRDefault="005215FC" w:rsidP="004E2A87">
            <w:pPr>
              <w:rPr>
                <w:lang w:eastAsia="en-GB"/>
              </w:rPr>
            </w:pPr>
            <w:r w:rsidRPr="00E66267">
              <w:rPr>
                <w:rFonts w:cs="Arial"/>
              </w:rPr>
              <w:t xml:space="preserve">70% of available Q4 scheme </w:t>
            </w:r>
          </w:p>
        </w:tc>
      </w:tr>
      <w:tr w:rsidR="005215FC" w:rsidTr="004E2A87">
        <w:tc>
          <w:tcPr>
            <w:tcW w:w="4640" w:type="dxa"/>
          </w:tcPr>
          <w:p w:rsidR="005215FC" w:rsidRDefault="005215FC" w:rsidP="009F6812">
            <w:pPr>
              <w:rPr>
                <w:lang w:eastAsia="en-GB"/>
              </w:rPr>
            </w:pPr>
            <w:r w:rsidRPr="00E66267">
              <w:rPr>
                <w:rFonts w:cs="Arial"/>
              </w:rPr>
              <w:t>Achieving 100% of referrals to 1</w:t>
            </w:r>
            <w:r w:rsidRPr="00E66267">
              <w:rPr>
                <w:rFonts w:cs="Arial"/>
                <w:vertAlign w:val="superscript"/>
              </w:rPr>
              <w:t>st</w:t>
            </w:r>
            <w:r w:rsidRPr="00E66267">
              <w:rPr>
                <w:rFonts w:cs="Arial"/>
              </w:rPr>
              <w:t xml:space="preserve"> O/P Services able to be received through e-RS.</w:t>
            </w:r>
          </w:p>
        </w:tc>
        <w:tc>
          <w:tcPr>
            <w:tcW w:w="4640" w:type="dxa"/>
          </w:tcPr>
          <w:p w:rsidR="005215FC" w:rsidRDefault="005215FC" w:rsidP="001C7FB3">
            <w:pPr>
              <w:rPr>
                <w:lang w:eastAsia="en-GB"/>
              </w:rPr>
            </w:pPr>
            <w:r w:rsidRPr="00E66267">
              <w:rPr>
                <w:rFonts w:cs="Arial"/>
              </w:rPr>
              <w:t xml:space="preserve">100% of available </w:t>
            </w:r>
            <w:r w:rsidRPr="001C7FB3">
              <w:rPr>
                <w:rFonts w:cs="Arial"/>
              </w:rPr>
              <w:t>Q</w:t>
            </w:r>
            <w:r w:rsidR="001C7FB3">
              <w:rPr>
                <w:rFonts w:cs="Arial"/>
              </w:rPr>
              <w:t>4</w:t>
            </w:r>
            <w:r w:rsidRPr="00E66267">
              <w:rPr>
                <w:rFonts w:cs="Arial"/>
              </w:rPr>
              <w:t xml:space="preserve"> scheme</w:t>
            </w:r>
          </w:p>
        </w:tc>
      </w:tr>
    </w:tbl>
    <w:p w:rsidR="009D451F" w:rsidRDefault="009D451F" w:rsidP="009D451F">
      <w:pPr>
        <w:rPr>
          <w:lang w:eastAsia="en-GB"/>
        </w:rPr>
      </w:pPr>
    </w:p>
    <w:p w:rsidR="00B165C2" w:rsidRPr="00C14075" w:rsidRDefault="00B165C2" w:rsidP="00C14075">
      <w:pPr>
        <w:pStyle w:val="Heading4"/>
        <w:rPr>
          <w:lang w:eastAsia="en-GB"/>
        </w:rPr>
      </w:pPr>
      <w:r w:rsidRPr="00C14075">
        <w:rPr>
          <w:lang w:eastAsia="en-GB"/>
        </w:rPr>
        <w:lastRenderedPageBreak/>
        <w:t>Supporting Guidance for e-referrals CQUIN indicator 7</w:t>
      </w:r>
    </w:p>
    <w:p w:rsidR="00B165C2" w:rsidRPr="00B165C2" w:rsidRDefault="00B165C2" w:rsidP="00B165C2">
      <w:pPr>
        <w:rPr>
          <w:lang w:eastAsia="en-GB"/>
        </w:rPr>
      </w:pPr>
    </w:p>
    <w:p w:rsidR="00B165C2" w:rsidRPr="00B165C2" w:rsidRDefault="00B165C2" w:rsidP="00B165C2">
      <w:pPr>
        <w:rPr>
          <w:b/>
          <w:lang w:eastAsia="en-GB"/>
        </w:rPr>
      </w:pPr>
      <w:r w:rsidRPr="00B165C2">
        <w:rPr>
          <w:b/>
          <w:lang w:eastAsia="en-GB"/>
        </w:rPr>
        <w:t>2017/18 e-Referrals CQUIN Guidance</w:t>
      </w:r>
    </w:p>
    <w:p w:rsidR="00B165C2" w:rsidRPr="00B165C2" w:rsidRDefault="00B165C2" w:rsidP="00B165C2">
      <w:pPr>
        <w:rPr>
          <w:lang w:eastAsia="en-GB"/>
        </w:rPr>
      </w:pPr>
    </w:p>
    <w:p w:rsidR="00B165C2" w:rsidRPr="00B165C2" w:rsidRDefault="00B165C2" w:rsidP="00B165C2">
      <w:pPr>
        <w:rPr>
          <w:lang w:eastAsia="en-GB"/>
        </w:rPr>
      </w:pPr>
      <w:r w:rsidRPr="00B165C2">
        <w:rPr>
          <w:lang w:eastAsia="en-GB"/>
        </w:rPr>
        <w:t>This CQUIN has been introduced to:</w:t>
      </w:r>
    </w:p>
    <w:p w:rsidR="00B165C2" w:rsidRPr="00B165C2" w:rsidRDefault="00B165C2" w:rsidP="00B165C2">
      <w:pPr>
        <w:numPr>
          <w:ilvl w:val="0"/>
          <w:numId w:val="16"/>
        </w:numPr>
        <w:contextualSpacing/>
        <w:rPr>
          <w:lang w:eastAsia="en-GB"/>
        </w:rPr>
      </w:pPr>
      <w:r w:rsidRPr="00B165C2">
        <w:rPr>
          <w:lang w:eastAsia="en-GB"/>
        </w:rPr>
        <w:t>support Providers with the transition to receiving all GP referrals through the NHS e-Referral Service, in line with the expectations of the NHS Standard Contract</w:t>
      </w:r>
    </w:p>
    <w:p w:rsidR="00B165C2" w:rsidRPr="00B165C2" w:rsidRDefault="00B165C2" w:rsidP="00B165C2">
      <w:pPr>
        <w:numPr>
          <w:ilvl w:val="0"/>
          <w:numId w:val="16"/>
        </w:numPr>
        <w:contextualSpacing/>
        <w:rPr>
          <w:lang w:eastAsia="en-GB"/>
        </w:rPr>
      </w:pPr>
      <w:r w:rsidRPr="00B165C2">
        <w:rPr>
          <w:lang w:eastAsia="en-GB"/>
        </w:rPr>
        <w:t>reduce the number of patients that experience an ‘Appointment Slot Issue’</w:t>
      </w:r>
    </w:p>
    <w:p w:rsidR="00B165C2" w:rsidRPr="00B165C2" w:rsidRDefault="00B165C2" w:rsidP="00B165C2">
      <w:pPr>
        <w:rPr>
          <w:lang w:eastAsia="en-GB"/>
        </w:rPr>
      </w:pPr>
    </w:p>
    <w:p w:rsidR="00B165C2" w:rsidRPr="00B165C2" w:rsidRDefault="00B165C2" w:rsidP="00B165C2">
      <w:pPr>
        <w:rPr>
          <w:lang w:eastAsia="en-GB"/>
        </w:rPr>
      </w:pPr>
      <w:r w:rsidRPr="00B165C2">
        <w:rPr>
          <w:lang w:eastAsia="en-GB"/>
        </w:rPr>
        <w:t>There are two main elements to the CQUIN; the availability of services and the availability of appointments.</w:t>
      </w:r>
    </w:p>
    <w:p w:rsidR="00B165C2" w:rsidRPr="00B165C2" w:rsidRDefault="00B165C2" w:rsidP="00B165C2">
      <w:pPr>
        <w:rPr>
          <w:lang w:eastAsia="en-GB"/>
        </w:rPr>
      </w:pPr>
    </w:p>
    <w:p w:rsidR="00B165C2" w:rsidRPr="00B165C2" w:rsidRDefault="00B165C2" w:rsidP="00B165C2">
      <w:pPr>
        <w:numPr>
          <w:ilvl w:val="0"/>
          <w:numId w:val="88"/>
        </w:numPr>
        <w:rPr>
          <w:u w:val="single"/>
          <w:lang w:eastAsia="en-GB"/>
        </w:rPr>
      </w:pPr>
      <w:r w:rsidRPr="00B165C2">
        <w:rPr>
          <w:u w:val="single"/>
          <w:lang w:eastAsia="en-GB"/>
        </w:rPr>
        <w:t>All providers to publish ALL of their services and make ALL of their First Outpatient Appointment slots available on e-RS by 31 March 2018</w:t>
      </w:r>
    </w:p>
    <w:p w:rsidR="00B165C2" w:rsidRPr="00B165C2" w:rsidRDefault="00B165C2" w:rsidP="00B165C2">
      <w:pPr>
        <w:rPr>
          <w:lang w:eastAsia="en-GB"/>
        </w:rPr>
      </w:pPr>
    </w:p>
    <w:p w:rsidR="00B165C2" w:rsidRPr="00B165C2" w:rsidRDefault="00B165C2" w:rsidP="00B165C2">
      <w:pPr>
        <w:rPr>
          <w:lang w:eastAsia="en-GB"/>
        </w:rPr>
      </w:pPr>
      <w:r w:rsidRPr="00B165C2">
        <w:rPr>
          <w:lang w:eastAsia="en-GB"/>
        </w:rPr>
        <w:t>This element of the CQUIN will require providers to:</w:t>
      </w:r>
    </w:p>
    <w:p w:rsidR="00B165C2" w:rsidRPr="00B165C2" w:rsidRDefault="00B165C2" w:rsidP="00B165C2">
      <w:pPr>
        <w:numPr>
          <w:ilvl w:val="0"/>
          <w:numId w:val="16"/>
        </w:numPr>
        <w:contextualSpacing/>
        <w:rPr>
          <w:lang w:eastAsia="en-GB"/>
        </w:rPr>
      </w:pPr>
      <w:r w:rsidRPr="00B165C2">
        <w:rPr>
          <w:lang w:eastAsia="en-GB"/>
        </w:rPr>
        <w:t>review all of their outpatient clinics</w:t>
      </w:r>
    </w:p>
    <w:p w:rsidR="00B165C2" w:rsidRPr="00B165C2" w:rsidRDefault="00B165C2" w:rsidP="00B165C2">
      <w:pPr>
        <w:numPr>
          <w:ilvl w:val="0"/>
          <w:numId w:val="16"/>
        </w:numPr>
        <w:contextualSpacing/>
        <w:rPr>
          <w:lang w:eastAsia="en-GB"/>
        </w:rPr>
      </w:pPr>
      <w:r w:rsidRPr="00B165C2">
        <w:rPr>
          <w:lang w:eastAsia="en-GB"/>
        </w:rPr>
        <w:t>identify which clinics  accept GP referrals for First appointments</w:t>
      </w:r>
    </w:p>
    <w:p w:rsidR="00B165C2" w:rsidRPr="00B165C2" w:rsidRDefault="00B165C2" w:rsidP="00B165C2">
      <w:pPr>
        <w:numPr>
          <w:ilvl w:val="0"/>
          <w:numId w:val="16"/>
        </w:numPr>
        <w:contextualSpacing/>
        <w:rPr>
          <w:lang w:eastAsia="en-GB"/>
        </w:rPr>
      </w:pPr>
      <w:r w:rsidRPr="00B165C2">
        <w:rPr>
          <w:lang w:eastAsia="en-GB"/>
        </w:rPr>
        <w:t>cross reference against available NHS e-Referral Services</w:t>
      </w:r>
    </w:p>
    <w:p w:rsidR="00B165C2" w:rsidRPr="00B165C2" w:rsidRDefault="00B165C2" w:rsidP="00B165C2">
      <w:pPr>
        <w:rPr>
          <w:lang w:eastAsia="en-GB"/>
        </w:rPr>
      </w:pPr>
    </w:p>
    <w:p w:rsidR="00B165C2" w:rsidRPr="00B165C2" w:rsidRDefault="00B165C2" w:rsidP="00B165C2">
      <w:pPr>
        <w:rPr>
          <w:lang w:eastAsia="en-GB"/>
        </w:rPr>
      </w:pPr>
      <w:r w:rsidRPr="00B165C2">
        <w:rPr>
          <w:lang w:eastAsia="en-GB"/>
        </w:rPr>
        <w:t xml:space="preserve">Each clinic that accepts GP referrals will need to be mapped to one - or more - NHS e-Referral service. Additionally, the provider will need to ensure that all First Outpatient Appointments within these clinics has been made available to the NHS e-Referral Service (e-RS). Minimising carve out of clinic slots supports better overall Capacity and Demand management. </w:t>
      </w:r>
      <w:hyperlink r:id="rId35" w:history="1">
        <w:r w:rsidRPr="00B165C2">
          <w:rPr>
            <w:color w:val="0000FF"/>
            <w:u w:val="single"/>
            <w:lang w:eastAsia="en-GB"/>
          </w:rPr>
          <w:t>www.england.nhs.uk/ourwork/demand-and-capacity/</w:t>
        </w:r>
      </w:hyperlink>
    </w:p>
    <w:p w:rsidR="00B165C2" w:rsidRPr="00B165C2" w:rsidRDefault="00B165C2" w:rsidP="00B165C2">
      <w:pPr>
        <w:rPr>
          <w:lang w:eastAsia="en-GB"/>
        </w:rPr>
      </w:pPr>
    </w:p>
    <w:p w:rsidR="00B165C2" w:rsidRPr="00B165C2" w:rsidRDefault="00B165C2" w:rsidP="00B165C2">
      <w:pPr>
        <w:rPr>
          <w:lang w:eastAsia="en-GB"/>
        </w:rPr>
      </w:pPr>
      <w:r w:rsidRPr="00B165C2">
        <w:rPr>
          <w:lang w:eastAsia="en-GB"/>
        </w:rPr>
        <w:t xml:space="preserve">Where clinics are identified without appropriate mappings to e-RS, the provider will need to identify existing services to map to, or plan for the creation of additional e-RS services. </w:t>
      </w:r>
    </w:p>
    <w:p w:rsidR="00B165C2" w:rsidRPr="00B165C2" w:rsidRDefault="00B165C2" w:rsidP="00B165C2">
      <w:pPr>
        <w:rPr>
          <w:lang w:eastAsia="en-GB"/>
        </w:rPr>
      </w:pPr>
    </w:p>
    <w:p w:rsidR="00B165C2" w:rsidRPr="00B165C2" w:rsidRDefault="00B165C2" w:rsidP="00B165C2">
      <w:pPr>
        <w:rPr>
          <w:lang w:eastAsia="en-GB"/>
        </w:rPr>
      </w:pPr>
      <w:r w:rsidRPr="00B165C2">
        <w:rPr>
          <w:lang w:eastAsia="en-GB"/>
        </w:rPr>
        <w:t>To support this, NHS Digital will introduce the concept of ‘referral only’ services to the NHS e-Referral Service in early Q1 2017/18. Referral only services will enable providers to access clinical referral information through e-RS without the need for a booked appointment. This change recognises that, for some services, up front patient booking is not the optimal pathway and may have prevented some services being made available to e-RS to this point. The Provider will be expected to book an appointment for the patient within e-RS after receiving the referral information. Further information on referral only services will be made available by NHS Digital in the coming months.</w:t>
      </w:r>
    </w:p>
    <w:p w:rsidR="00B165C2" w:rsidRPr="00B165C2" w:rsidRDefault="00B165C2" w:rsidP="00B165C2">
      <w:pPr>
        <w:rPr>
          <w:lang w:eastAsia="en-GB"/>
        </w:rPr>
      </w:pPr>
    </w:p>
    <w:p w:rsidR="00B165C2" w:rsidRPr="00B165C2" w:rsidRDefault="00B165C2" w:rsidP="00B165C2">
      <w:pPr>
        <w:rPr>
          <w:lang w:eastAsia="en-GB"/>
        </w:rPr>
      </w:pPr>
      <w:r w:rsidRPr="00B165C2">
        <w:rPr>
          <w:lang w:eastAsia="en-GB"/>
        </w:rPr>
        <w:t>Providers will then need to submit baseline plans to make all of their services available for referral via e-RS to the following schedule:</w:t>
      </w:r>
    </w:p>
    <w:p w:rsidR="00B165C2" w:rsidRPr="00B165C2" w:rsidRDefault="00B165C2" w:rsidP="00B165C2">
      <w:pPr>
        <w:numPr>
          <w:ilvl w:val="0"/>
          <w:numId w:val="16"/>
        </w:numPr>
        <w:contextualSpacing/>
        <w:rPr>
          <w:lang w:eastAsia="en-GB"/>
        </w:rPr>
      </w:pPr>
      <w:r w:rsidRPr="00B165C2">
        <w:rPr>
          <w:lang w:eastAsia="en-GB"/>
        </w:rPr>
        <w:t>Q2 2017/18: 80% of Referrals to 1st O/P Services able to be received through e-RS.</w:t>
      </w:r>
    </w:p>
    <w:p w:rsidR="00B165C2" w:rsidRPr="00B165C2" w:rsidRDefault="00B165C2" w:rsidP="00B165C2">
      <w:pPr>
        <w:numPr>
          <w:ilvl w:val="0"/>
          <w:numId w:val="16"/>
        </w:numPr>
        <w:contextualSpacing/>
        <w:rPr>
          <w:lang w:eastAsia="en-GB"/>
        </w:rPr>
      </w:pPr>
      <w:r w:rsidRPr="00B165C2">
        <w:rPr>
          <w:lang w:eastAsia="en-GB"/>
        </w:rPr>
        <w:t>Q3 2017/18: 90% of Referrals to 1st O/P Services able to be received through e-RS.</w:t>
      </w:r>
    </w:p>
    <w:p w:rsidR="00B165C2" w:rsidRDefault="00B165C2" w:rsidP="00B165C2">
      <w:pPr>
        <w:numPr>
          <w:ilvl w:val="0"/>
          <w:numId w:val="16"/>
        </w:numPr>
        <w:contextualSpacing/>
        <w:rPr>
          <w:lang w:eastAsia="en-GB"/>
        </w:rPr>
      </w:pPr>
      <w:r w:rsidRPr="00B165C2">
        <w:rPr>
          <w:lang w:eastAsia="en-GB"/>
        </w:rPr>
        <w:t>Q4 2017/18: 100% of Referrals to 1st O/P Services able to be received through e-RS.</w:t>
      </w:r>
    </w:p>
    <w:p w:rsidR="00B165C2" w:rsidRPr="00B165C2" w:rsidRDefault="00B165C2" w:rsidP="00B165C2">
      <w:pPr>
        <w:ind w:left="360"/>
        <w:contextualSpacing/>
        <w:rPr>
          <w:lang w:eastAsia="en-GB"/>
        </w:rPr>
      </w:pPr>
    </w:p>
    <w:p w:rsidR="00B165C2" w:rsidRPr="00B165C2" w:rsidRDefault="00B165C2" w:rsidP="00B165C2">
      <w:pPr>
        <w:rPr>
          <w:b/>
          <w:lang w:eastAsia="en-GB"/>
        </w:rPr>
      </w:pPr>
      <w:r w:rsidRPr="00B165C2">
        <w:rPr>
          <w:b/>
          <w:lang w:eastAsia="en-GB"/>
        </w:rPr>
        <w:lastRenderedPageBreak/>
        <w:t>Suggested approach for compiling baseline plans:</w:t>
      </w:r>
    </w:p>
    <w:p w:rsidR="00B165C2" w:rsidRPr="00B165C2" w:rsidRDefault="00B165C2" w:rsidP="00B165C2">
      <w:pPr>
        <w:rPr>
          <w:lang w:eastAsia="en-GB"/>
        </w:rPr>
      </w:pPr>
    </w:p>
    <w:p w:rsidR="00B165C2" w:rsidRPr="00B165C2" w:rsidRDefault="00B165C2" w:rsidP="00B165C2">
      <w:pPr>
        <w:numPr>
          <w:ilvl w:val="0"/>
          <w:numId w:val="132"/>
        </w:numPr>
        <w:rPr>
          <w:u w:val="single"/>
          <w:lang w:eastAsia="en-GB"/>
        </w:rPr>
      </w:pPr>
      <w:r w:rsidRPr="00B165C2">
        <w:rPr>
          <w:lang w:eastAsia="en-GB"/>
        </w:rPr>
        <w:t>Work with IT and/or PAS back office colleagues to identify all consultant-led outpatient clinics that have accepted GP referrals to see patients for their first (new) attendance over the last 12 months.</w:t>
      </w:r>
    </w:p>
    <w:p w:rsidR="00B165C2" w:rsidRPr="00B165C2" w:rsidRDefault="00B165C2" w:rsidP="00B165C2">
      <w:pPr>
        <w:ind w:left="-420"/>
        <w:rPr>
          <w:u w:val="single"/>
          <w:lang w:eastAsia="en-GB"/>
        </w:rPr>
      </w:pPr>
    </w:p>
    <w:p w:rsidR="00B165C2" w:rsidRPr="00B165C2" w:rsidRDefault="00B165C2" w:rsidP="00B165C2">
      <w:pPr>
        <w:numPr>
          <w:ilvl w:val="0"/>
          <w:numId w:val="132"/>
        </w:numPr>
        <w:rPr>
          <w:lang w:eastAsia="en-GB"/>
        </w:rPr>
      </w:pPr>
      <w:r w:rsidRPr="00B165C2">
        <w:rPr>
          <w:lang w:eastAsia="en-GB"/>
        </w:rPr>
        <w:t>Confirm which e-RS services are mapped to each of the clinics identified in step 1. It may be possible to pull this information directly from the PAS along with the clinic information. Otherwise, a manual check of clinics will be required.</w:t>
      </w:r>
    </w:p>
    <w:p w:rsidR="00B165C2" w:rsidRPr="00B165C2" w:rsidRDefault="00B165C2" w:rsidP="00B165C2">
      <w:pPr>
        <w:numPr>
          <w:ilvl w:val="1"/>
          <w:numId w:val="132"/>
        </w:numPr>
        <w:rPr>
          <w:lang w:eastAsia="en-GB"/>
        </w:rPr>
      </w:pPr>
      <w:r w:rsidRPr="00B165C2">
        <w:rPr>
          <w:lang w:eastAsia="en-GB"/>
        </w:rPr>
        <w:t>Where a clinic is mapped to e-RS services, ensure that all first outpatient slots within that clinic have been made available to e-RS, or agree a plan to do so that supports the Q2-Q4 availability trajectory</w:t>
      </w:r>
    </w:p>
    <w:p w:rsidR="00B165C2" w:rsidRPr="00B165C2" w:rsidRDefault="00B165C2" w:rsidP="00B165C2">
      <w:pPr>
        <w:ind w:left="-420"/>
        <w:rPr>
          <w:lang w:eastAsia="en-GB"/>
        </w:rPr>
      </w:pPr>
    </w:p>
    <w:p w:rsidR="00B165C2" w:rsidRPr="00B165C2" w:rsidRDefault="00B165C2" w:rsidP="00B165C2">
      <w:pPr>
        <w:numPr>
          <w:ilvl w:val="0"/>
          <w:numId w:val="132"/>
        </w:numPr>
        <w:rPr>
          <w:lang w:eastAsia="en-GB"/>
        </w:rPr>
      </w:pPr>
      <w:r w:rsidRPr="00B165C2">
        <w:rPr>
          <w:lang w:eastAsia="en-GB"/>
        </w:rPr>
        <w:t>Where no clinic mapping to an e-RS service(s) exists, work with clinicians to review the existing Directory of Services to agree whether each clinic can be linked to an existing service, or if a new service needs to be defined and mapped. This may include the use of Referral Only services, if appropriate.</w:t>
      </w:r>
    </w:p>
    <w:p w:rsidR="00B165C2" w:rsidRPr="00B165C2" w:rsidRDefault="00B165C2" w:rsidP="00B165C2">
      <w:pPr>
        <w:ind w:left="-420"/>
        <w:rPr>
          <w:lang w:eastAsia="en-GB"/>
        </w:rPr>
      </w:pPr>
    </w:p>
    <w:p w:rsidR="00B165C2" w:rsidRPr="00B165C2" w:rsidRDefault="00B165C2" w:rsidP="00B165C2">
      <w:pPr>
        <w:numPr>
          <w:ilvl w:val="0"/>
          <w:numId w:val="132"/>
        </w:numPr>
        <w:rPr>
          <w:lang w:eastAsia="en-GB"/>
        </w:rPr>
      </w:pPr>
      <w:r w:rsidRPr="00B165C2">
        <w:rPr>
          <w:lang w:eastAsia="en-GB"/>
        </w:rPr>
        <w:t>The above three steps will identify all clinics that need to be made available to e-RS along with their actual or future e-RS service mappings.</w:t>
      </w:r>
    </w:p>
    <w:p w:rsidR="00B165C2" w:rsidRPr="00B165C2" w:rsidRDefault="00B165C2" w:rsidP="00B165C2">
      <w:pPr>
        <w:ind w:left="-420"/>
        <w:rPr>
          <w:lang w:eastAsia="en-GB"/>
        </w:rPr>
      </w:pPr>
    </w:p>
    <w:p w:rsidR="00B165C2" w:rsidRPr="00B165C2" w:rsidRDefault="00B165C2" w:rsidP="00B165C2">
      <w:pPr>
        <w:numPr>
          <w:ilvl w:val="0"/>
          <w:numId w:val="132"/>
        </w:numPr>
        <w:rPr>
          <w:lang w:eastAsia="en-GB"/>
        </w:rPr>
      </w:pPr>
      <w:r w:rsidRPr="00B165C2">
        <w:rPr>
          <w:lang w:eastAsia="en-GB"/>
        </w:rPr>
        <w:t>Separately, work with Information Team colleagues to analyse GP Referral volumes by specialty, so that you understand which combination of specialties and services need to be made available to achieve the 80% and 90% thresholds at the end of Q2 and Q3 respectively.</w:t>
      </w:r>
    </w:p>
    <w:p w:rsidR="00B165C2" w:rsidRPr="00B165C2" w:rsidRDefault="00B165C2" w:rsidP="00B165C2">
      <w:pPr>
        <w:ind w:left="-420"/>
        <w:rPr>
          <w:lang w:eastAsia="en-GB"/>
        </w:rPr>
      </w:pPr>
    </w:p>
    <w:p w:rsidR="00B165C2" w:rsidRPr="00B165C2" w:rsidRDefault="00B165C2" w:rsidP="00B165C2">
      <w:pPr>
        <w:numPr>
          <w:ilvl w:val="0"/>
          <w:numId w:val="132"/>
        </w:numPr>
        <w:rPr>
          <w:lang w:eastAsia="en-GB"/>
        </w:rPr>
      </w:pPr>
      <w:r w:rsidRPr="00B165C2">
        <w:rPr>
          <w:lang w:eastAsia="en-GB"/>
        </w:rPr>
        <w:t>Taken together, all of this information should enable a Provider to submit a baseline plan to deliver the Q2, Q3 and Q4 trajectory.</w:t>
      </w:r>
    </w:p>
    <w:p w:rsidR="00B165C2" w:rsidRPr="00B165C2" w:rsidRDefault="00B165C2" w:rsidP="00B165C2">
      <w:pPr>
        <w:rPr>
          <w:lang w:eastAsia="en-GB"/>
        </w:rPr>
      </w:pPr>
    </w:p>
    <w:p w:rsidR="00B165C2" w:rsidRPr="00B165C2" w:rsidRDefault="00B165C2" w:rsidP="00B165C2">
      <w:pPr>
        <w:numPr>
          <w:ilvl w:val="0"/>
          <w:numId w:val="88"/>
        </w:numPr>
        <w:contextualSpacing/>
        <w:rPr>
          <w:rFonts w:cs="Arial"/>
          <w:szCs w:val="24"/>
          <w:u w:val="single"/>
        </w:rPr>
      </w:pPr>
      <w:r w:rsidRPr="00B165C2">
        <w:rPr>
          <w:rFonts w:cs="Arial"/>
          <w:szCs w:val="24"/>
          <w:u w:val="single"/>
        </w:rPr>
        <w:t>Adequate slot polling is taking place to allow patients to book appointments evidenced by a reduction in ‘Appointment Slot Issues’ to a rate of 4% or less</w:t>
      </w:r>
    </w:p>
    <w:p w:rsidR="00B165C2" w:rsidRPr="00B165C2" w:rsidRDefault="00B165C2" w:rsidP="00B165C2">
      <w:pPr>
        <w:rPr>
          <w:rFonts w:cs="Arial"/>
          <w:szCs w:val="24"/>
          <w:u w:val="single"/>
        </w:rPr>
      </w:pPr>
    </w:p>
    <w:p w:rsidR="00B165C2" w:rsidRPr="00B165C2" w:rsidRDefault="00B165C2" w:rsidP="00B165C2">
      <w:pPr>
        <w:rPr>
          <w:rFonts w:cs="Arial"/>
          <w:szCs w:val="24"/>
        </w:rPr>
      </w:pPr>
      <w:r w:rsidRPr="00B165C2">
        <w:rPr>
          <w:rFonts w:cs="Arial"/>
          <w:szCs w:val="24"/>
        </w:rPr>
        <w:t>An ‘Appointment Slot Issue’ (ASI) occurs when a patient is unable to book their appointment through the NHS e-Referral Service, for one of two reasons. The first is that, in very rare circumstances, a technical issue can prevent an appointment slot from being shown or booked. The second and usual reason is that organisations providing directly bookable services have not made sufficient appointment slots available to e-RS.</w:t>
      </w:r>
    </w:p>
    <w:p w:rsidR="00B165C2" w:rsidRPr="00B165C2" w:rsidRDefault="00B165C2" w:rsidP="00B165C2">
      <w:pPr>
        <w:rPr>
          <w:rFonts w:cs="Arial"/>
          <w:szCs w:val="24"/>
        </w:rPr>
      </w:pPr>
    </w:p>
    <w:p w:rsidR="00B165C2" w:rsidRPr="00B165C2" w:rsidRDefault="00B165C2" w:rsidP="00B165C2">
      <w:pPr>
        <w:rPr>
          <w:rFonts w:cs="Arial"/>
          <w:szCs w:val="24"/>
        </w:rPr>
      </w:pPr>
      <w:r w:rsidRPr="00B165C2">
        <w:rPr>
          <w:rFonts w:cs="Arial"/>
          <w:szCs w:val="24"/>
        </w:rPr>
        <w:t>As well as inconveniencing and often confusing patients, ASIs cause a number of dis-benefits for providers, including typically costing twice as much to process than when a patient is able to book through e-RS.</w:t>
      </w:r>
    </w:p>
    <w:p w:rsidR="00B165C2" w:rsidRPr="00B165C2" w:rsidRDefault="00B165C2" w:rsidP="00B165C2">
      <w:pPr>
        <w:rPr>
          <w:rFonts w:cs="Arial"/>
          <w:szCs w:val="24"/>
        </w:rPr>
      </w:pPr>
    </w:p>
    <w:p w:rsidR="00B165C2" w:rsidRPr="00B165C2" w:rsidRDefault="00B165C2" w:rsidP="00B165C2">
      <w:pPr>
        <w:rPr>
          <w:rFonts w:cs="Arial"/>
          <w:szCs w:val="24"/>
        </w:rPr>
      </w:pPr>
      <w:r w:rsidRPr="00B165C2">
        <w:rPr>
          <w:rFonts w:cs="Arial"/>
          <w:szCs w:val="24"/>
        </w:rPr>
        <w:t>Providers need to understand the true wait for a First Outpatient Appointment within each service, and slot polling ranges should be set at (or in excess of) this wait to ensure equity of access. Where true waits exceed usual partial booking windows (typically 6 weeks) this may require the provider to book all of the outpatient waiting list to ensure that all patients are seen ‘in turn’ and to prevent the impression of e-RS referred patients ‘queue jumping’.</w:t>
      </w:r>
    </w:p>
    <w:p w:rsidR="00B165C2" w:rsidRPr="00B165C2" w:rsidRDefault="00B165C2" w:rsidP="00B165C2">
      <w:pPr>
        <w:rPr>
          <w:rFonts w:cs="Arial"/>
          <w:szCs w:val="24"/>
        </w:rPr>
      </w:pPr>
    </w:p>
    <w:p w:rsidR="00B165C2" w:rsidRPr="00B165C2" w:rsidRDefault="00B165C2" w:rsidP="00B165C2">
      <w:pPr>
        <w:rPr>
          <w:rFonts w:cs="Arial"/>
          <w:szCs w:val="24"/>
        </w:rPr>
      </w:pPr>
      <w:r w:rsidRPr="00B165C2">
        <w:rPr>
          <w:rFonts w:cs="Arial"/>
          <w:szCs w:val="24"/>
        </w:rPr>
        <w:t>Making polling ranges match waiting times is a necessary pre-requisite of moving to an environment where all GP referrals are made through e-RS, as well as being the most effective way of reducing ASIs.</w:t>
      </w:r>
    </w:p>
    <w:p w:rsidR="00B165C2" w:rsidRPr="00B165C2" w:rsidRDefault="00B165C2" w:rsidP="00B165C2">
      <w:pPr>
        <w:rPr>
          <w:rFonts w:cs="Arial"/>
          <w:szCs w:val="24"/>
        </w:rPr>
      </w:pPr>
    </w:p>
    <w:p w:rsidR="00B165C2" w:rsidRPr="00B165C2" w:rsidRDefault="00B165C2" w:rsidP="00B165C2">
      <w:pPr>
        <w:rPr>
          <w:rFonts w:cs="Arial"/>
          <w:szCs w:val="24"/>
        </w:rPr>
      </w:pPr>
      <w:r w:rsidRPr="00B165C2">
        <w:rPr>
          <w:rFonts w:cs="Arial"/>
          <w:szCs w:val="24"/>
        </w:rPr>
        <w:t>NHS Digital has fully revised its guidance for the effective management of Appointment Slot Issues</w:t>
      </w:r>
      <w:r w:rsidRPr="00B165C2">
        <w:rPr>
          <w:rFonts w:cs="Arial"/>
          <w:i/>
          <w:szCs w:val="24"/>
        </w:rPr>
        <w:t xml:space="preserve"> </w:t>
      </w:r>
      <w:r w:rsidRPr="00B165C2">
        <w:rPr>
          <w:rFonts w:cs="Arial"/>
          <w:szCs w:val="24"/>
        </w:rPr>
        <w:t xml:space="preserve">and has published a case study on how Cambridge University Hospitals successfully reduced their level of ASIs. Both documents, along with a presentation on the benefits of matching polling ranges to waiting times, are available from the Document Library at </w:t>
      </w:r>
      <w:hyperlink r:id="rId36" w:history="1">
        <w:r w:rsidRPr="00B165C2">
          <w:rPr>
            <w:rFonts w:cs="Arial"/>
            <w:color w:val="0000FF"/>
            <w:szCs w:val="24"/>
            <w:u w:val="single"/>
          </w:rPr>
          <w:t>www.digital.nhs.uk/referrals</w:t>
        </w:r>
      </w:hyperlink>
    </w:p>
    <w:p w:rsidR="00B165C2" w:rsidRPr="00B165C2" w:rsidRDefault="00B165C2" w:rsidP="00B165C2">
      <w:pPr>
        <w:rPr>
          <w:rFonts w:cs="Arial"/>
          <w:szCs w:val="24"/>
        </w:rPr>
      </w:pPr>
    </w:p>
    <w:p w:rsidR="00B165C2" w:rsidRPr="00B165C2" w:rsidRDefault="00B165C2" w:rsidP="00B165C2">
      <w:pPr>
        <w:rPr>
          <w:rFonts w:cs="Arial"/>
          <w:i/>
          <w:szCs w:val="24"/>
        </w:rPr>
      </w:pPr>
      <w:r w:rsidRPr="00B165C2">
        <w:rPr>
          <w:rFonts w:cs="Arial"/>
          <w:szCs w:val="24"/>
        </w:rPr>
        <w:t xml:space="preserve">Where providers have first outpatient waiting times in excess of those required to deliver sustainable RTT performance, a number of effective capacity and demand tools are available from NHS Improvement </w:t>
      </w:r>
      <w:hyperlink r:id="rId37" w:history="1">
        <w:r w:rsidRPr="00B165C2">
          <w:rPr>
            <w:rFonts w:cs="Arial"/>
            <w:color w:val="0000FF"/>
            <w:szCs w:val="24"/>
            <w:u w:val="single"/>
          </w:rPr>
          <w:t>https://improvement.nhs.uk/resources/outpatient-capacity-and-demand-tool/</w:t>
        </w:r>
      </w:hyperlink>
    </w:p>
    <w:p w:rsidR="00B165C2" w:rsidRPr="00B165C2" w:rsidRDefault="00B165C2" w:rsidP="00B165C2">
      <w:pPr>
        <w:rPr>
          <w:rFonts w:cs="Arial"/>
          <w:szCs w:val="24"/>
        </w:rPr>
      </w:pPr>
      <w:r w:rsidRPr="00B165C2">
        <w:rPr>
          <w:rFonts w:cs="Arial"/>
          <w:szCs w:val="24"/>
        </w:rPr>
        <w:t xml:space="preserve">or via NHS England </w:t>
      </w:r>
      <w:hyperlink r:id="rId38" w:history="1">
        <w:r w:rsidRPr="00B165C2">
          <w:rPr>
            <w:rFonts w:cs="Arial"/>
            <w:color w:val="0000FF"/>
            <w:szCs w:val="24"/>
            <w:u w:val="single"/>
          </w:rPr>
          <w:t>www.england.nhs.uk/ourwork/demand-and-capacity/</w:t>
        </w:r>
      </w:hyperlink>
    </w:p>
    <w:p w:rsidR="00F9693D" w:rsidRDefault="00F9693D" w:rsidP="002F00EF">
      <w:pPr>
        <w:rPr>
          <w:lang w:eastAsia="en-GB"/>
        </w:rPr>
      </w:pPr>
    </w:p>
    <w:p w:rsidR="00F9693D" w:rsidRPr="002F00EF" w:rsidRDefault="00F9693D" w:rsidP="002F00EF">
      <w:pPr>
        <w:rPr>
          <w:lang w:eastAsia="en-GB"/>
        </w:rPr>
      </w:pPr>
    </w:p>
    <w:p w:rsidR="00F9693D" w:rsidRDefault="00F9693D">
      <w:pPr>
        <w:rPr>
          <w:rFonts w:cs="Arial"/>
          <w:b/>
          <w:color w:val="0072C6"/>
          <w:kern w:val="32"/>
          <w:sz w:val="32"/>
          <w:szCs w:val="32"/>
          <w:lang w:eastAsia="en-GB"/>
        </w:rPr>
      </w:pPr>
      <w:r>
        <w:rPr>
          <w:lang w:eastAsia="en-GB"/>
        </w:rPr>
        <w:br w:type="page"/>
      </w:r>
    </w:p>
    <w:p w:rsidR="00DF18AB" w:rsidRPr="00570226" w:rsidRDefault="00DF18AB" w:rsidP="00DF18AB">
      <w:pPr>
        <w:numPr>
          <w:ilvl w:val="0"/>
          <w:numId w:val="2"/>
        </w:numPr>
        <w:outlineLvl w:val="0"/>
        <w:rPr>
          <w:rFonts w:cs="Arial"/>
          <w:b/>
          <w:color w:val="0072C6"/>
          <w:kern w:val="32"/>
          <w:sz w:val="32"/>
          <w:szCs w:val="32"/>
          <w:u w:val="single"/>
          <w:lang w:eastAsia="en-GB"/>
        </w:rPr>
      </w:pPr>
      <w:bookmarkStart w:id="65" w:name="_Toc466290256"/>
      <w:bookmarkEnd w:id="1"/>
      <w:bookmarkEnd w:id="2"/>
      <w:r w:rsidRPr="00DF18AB">
        <w:rPr>
          <w:rFonts w:cs="Arial"/>
          <w:b/>
          <w:color w:val="0072C6"/>
          <w:kern w:val="32"/>
          <w:sz w:val="32"/>
          <w:szCs w:val="32"/>
          <w:lang w:eastAsia="en-GB"/>
        </w:rPr>
        <w:lastRenderedPageBreak/>
        <w:t>Supporting proactive and safe discharge</w:t>
      </w:r>
      <w:bookmarkEnd w:id="65"/>
    </w:p>
    <w:p w:rsidR="00DF18AB" w:rsidRPr="00DF18AB" w:rsidRDefault="00DF18AB" w:rsidP="00DF18AB">
      <w:pPr>
        <w:rPr>
          <w:lang w:eastAsia="en-GB"/>
        </w:rPr>
      </w:pPr>
    </w:p>
    <w:p w:rsidR="00DF18AB" w:rsidRDefault="00D06808" w:rsidP="00DF18AB">
      <w:pPr>
        <w:rPr>
          <w:lang w:eastAsia="en-GB"/>
        </w:rPr>
      </w:pPr>
      <w:r w:rsidRPr="00D06808">
        <w:rPr>
          <w:lang w:eastAsia="en-GB"/>
        </w:rPr>
        <w:t>Th</w:t>
      </w:r>
      <w:r>
        <w:rPr>
          <w:lang w:eastAsia="en-GB"/>
        </w:rPr>
        <w:t xml:space="preserve">ere </w:t>
      </w:r>
      <w:r w:rsidRPr="00D06808">
        <w:rPr>
          <w:lang w:eastAsia="en-GB"/>
        </w:rPr>
        <w:t xml:space="preserve">are three </w:t>
      </w:r>
      <w:r>
        <w:rPr>
          <w:lang w:eastAsia="en-GB"/>
        </w:rPr>
        <w:t>versions of this CQUIN indicator:</w:t>
      </w:r>
    </w:p>
    <w:p w:rsidR="00D06808" w:rsidRDefault="00D06808" w:rsidP="00D06808">
      <w:pPr>
        <w:pStyle w:val="ListParagraph"/>
        <w:numPr>
          <w:ilvl w:val="0"/>
          <w:numId w:val="136"/>
        </w:numPr>
        <w:rPr>
          <w:lang w:eastAsia="en-GB"/>
        </w:rPr>
      </w:pPr>
      <w:r>
        <w:rPr>
          <w:lang w:eastAsia="en-GB"/>
        </w:rPr>
        <w:t>8a – Applicable to Acute Trusts</w:t>
      </w:r>
    </w:p>
    <w:p w:rsidR="00D06808" w:rsidRDefault="00D06808" w:rsidP="00D06808">
      <w:pPr>
        <w:pStyle w:val="ListParagraph"/>
        <w:numPr>
          <w:ilvl w:val="0"/>
          <w:numId w:val="136"/>
        </w:numPr>
        <w:rPr>
          <w:lang w:eastAsia="en-GB"/>
        </w:rPr>
      </w:pPr>
      <w:r>
        <w:rPr>
          <w:lang w:eastAsia="en-GB"/>
        </w:rPr>
        <w:t>8b – Applicable to Community Trusts</w:t>
      </w:r>
    </w:p>
    <w:p w:rsidR="00D06808" w:rsidRDefault="00D06808" w:rsidP="00D06808">
      <w:pPr>
        <w:pStyle w:val="ListParagraph"/>
        <w:numPr>
          <w:ilvl w:val="0"/>
          <w:numId w:val="136"/>
        </w:numPr>
        <w:rPr>
          <w:lang w:eastAsia="en-GB"/>
        </w:rPr>
      </w:pPr>
      <w:r>
        <w:rPr>
          <w:lang w:eastAsia="en-GB"/>
        </w:rPr>
        <w:t>8c – Applicable to Care Homes</w:t>
      </w:r>
    </w:p>
    <w:p w:rsidR="00D06808" w:rsidRDefault="00D06808" w:rsidP="00DF18AB">
      <w:pPr>
        <w:rPr>
          <w:lang w:eastAsia="en-GB"/>
        </w:rPr>
      </w:pPr>
    </w:p>
    <w:p w:rsidR="00D06808" w:rsidRDefault="00D06808" w:rsidP="00D06808">
      <w:pPr>
        <w:pStyle w:val="Heading4"/>
        <w:rPr>
          <w:lang w:eastAsia="en-GB"/>
        </w:rPr>
      </w:pPr>
      <w:r>
        <w:rPr>
          <w:lang w:eastAsia="en-GB"/>
        </w:rPr>
        <w:t>Indicator 8a – Acute Trusts</w:t>
      </w:r>
    </w:p>
    <w:p w:rsidR="00D06808" w:rsidRPr="00D06808" w:rsidRDefault="00D06808" w:rsidP="00D06808">
      <w:pPr>
        <w:rPr>
          <w:lang w:eastAsia="en-GB"/>
        </w:rPr>
      </w:pPr>
    </w:p>
    <w:tbl>
      <w:tblPr>
        <w:tblStyle w:val="TableGrid5"/>
        <w:tblW w:w="0" w:type="auto"/>
        <w:tblLook w:val="04A0" w:firstRow="1" w:lastRow="0" w:firstColumn="1" w:lastColumn="0" w:noHBand="0" w:noVBand="1"/>
        <w:tblCaption w:val="Indicator"/>
      </w:tblPr>
      <w:tblGrid>
        <w:gridCol w:w="2518"/>
        <w:gridCol w:w="6379"/>
      </w:tblGrid>
      <w:tr w:rsidR="00D06808" w:rsidRPr="000758CD" w:rsidTr="00526046">
        <w:trPr>
          <w:tblHeader/>
        </w:trPr>
        <w:tc>
          <w:tcPr>
            <w:tcW w:w="8897" w:type="dxa"/>
            <w:gridSpan w:val="2"/>
            <w:shd w:val="clear" w:color="auto" w:fill="0070C0"/>
          </w:tcPr>
          <w:p w:rsidR="00D06808" w:rsidRPr="000758CD" w:rsidRDefault="00D06808" w:rsidP="00526046">
            <w:pPr>
              <w:jc w:val="center"/>
              <w:rPr>
                <w:rFonts w:cs="Arial"/>
              </w:rPr>
            </w:pPr>
            <w:bookmarkStart w:id="66" w:name="_Toc443663857"/>
            <w:bookmarkStart w:id="67" w:name="_Toc444087385"/>
            <w:bookmarkStart w:id="68" w:name="_Toc444088989"/>
            <w:r w:rsidRPr="000758CD">
              <w:rPr>
                <w:rFonts w:cs="Arial"/>
                <w:b/>
                <w:color w:val="FFFFFF" w:themeColor="background1"/>
              </w:rPr>
              <w:t>Indicator</w:t>
            </w:r>
            <w:r>
              <w:rPr>
                <w:rFonts w:cs="Arial"/>
                <w:b/>
                <w:color w:val="FFFFFF" w:themeColor="background1"/>
              </w:rPr>
              <w:t xml:space="preserve"> 8a – Acute Trusts</w:t>
            </w:r>
          </w:p>
        </w:tc>
      </w:tr>
      <w:tr w:rsidR="00D06808" w:rsidRPr="000758CD" w:rsidTr="00526046">
        <w:tc>
          <w:tcPr>
            <w:tcW w:w="2518" w:type="dxa"/>
          </w:tcPr>
          <w:p w:rsidR="00D06808" w:rsidRPr="000E4C8C" w:rsidRDefault="00D06808" w:rsidP="00526046">
            <w:pPr>
              <w:rPr>
                <w:rFonts w:cs="Arial"/>
                <w:b/>
              </w:rPr>
            </w:pPr>
            <w:r w:rsidRPr="000E4C8C">
              <w:rPr>
                <w:rFonts w:cs="Arial"/>
                <w:b/>
                <w:color w:val="000000"/>
              </w:rPr>
              <w:t>Indicator name</w:t>
            </w:r>
          </w:p>
        </w:tc>
        <w:tc>
          <w:tcPr>
            <w:tcW w:w="6379" w:type="dxa"/>
          </w:tcPr>
          <w:p w:rsidR="00D06808" w:rsidRPr="000758CD" w:rsidRDefault="00D06808" w:rsidP="00526046">
            <w:pPr>
              <w:rPr>
                <w:rFonts w:cs="Arial"/>
              </w:rPr>
            </w:pPr>
            <w:r w:rsidRPr="000758CD">
              <w:rPr>
                <w:rFonts w:cs="Arial"/>
              </w:rPr>
              <w:t>Supporting Proactive and Safe Discharge</w:t>
            </w:r>
            <w:r>
              <w:rPr>
                <w:rFonts w:cs="Arial"/>
              </w:rPr>
              <w:t xml:space="preserve"> – Acute Providers</w:t>
            </w:r>
          </w:p>
        </w:tc>
      </w:tr>
      <w:tr w:rsidR="00D06808" w:rsidRPr="000758CD" w:rsidTr="00526046">
        <w:tc>
          <w:tcPr>
            <w:tcW w:w="2518" w:type="dxa"/>
          </w:tcPr>
          <w:p w:rsidR="00D06808" w:rsidRPr="000E4C8C" w:rsidRDefault="00D06808" w:rsidP="00526046">
            <w:pPr>
              <w:rPr>
                <w:rFonts w:cs="Arial"/>
                <w:b/>
              </w:rPr>
            </w:pPr>
            <w:r w:rsidRPr="000E4C8C">
              <w:rPr>
                <w:rFonts w:cs="Arial"/>
                <w:b/>
                <w:color w:val="000000"/>
              </w:rPr>
              <w:t xml:space="preserve">Indicator weighting </w:t>
            </w:r>
            <w:r w:rsidRPr="000E4C8C">
              <w:rPr>
                <w:rFonts w:cs="Arial"/>
                <w:b/>
                <w:color w:val="000000"/>
              </w:rPr>
              <w:br/>
              <w:t>(% of CQUIN scheme available)</w:t>
            </w:r>
          </w:p>
        </w:tc>
        <w:tc>
          <w:tcPr>
            <w:tcW w:w="6379" w:type="dxa"/>
          </w:tcPr>
          <w:p w:rsidR="00D06808" w:rsidRPr="000758CD" w:rsidRDefault="00D06808" w:rsidP="00526046">
            <w:pPr>
              <w:rPr>
                <w:rFonts w:cs="Arial"/>
                <w:bCs w:val="0"/>
                <w:color w:val="000000"/>
              </w:rPr>
            </w:pPr>
            <w:r>
              <w:rPr>
                <w:rFonts w:cs="Arial"/>
                <w:color w:val="000000"/>
              </w:rPr>
              <w:t>0.25%</w:t>
            </w:r>
          </w:p>
        </w:tc>
      </w:tr>
      <w:tr w:rsidR="00D06808" w:rsidRPr="000758CD" w:rsidTr="00526046">
        <w:tc>
          <w:tcPr>
            <w:tcW w:w="2518" w:type="dxa"/>
          </w:tcPr>
          <w:p w:rsidR="00D06808" w:rsidRPr="000E4C8C" w:rsidRDefault="00D06808" w:rsidP="00526046">
            <w:pPr>
              <w:rPr>
                <w:rFonts w:cs="Arial"/>
                <w:b/>
              </w:rPr>
            </w:pPr>
            <w:r w:rsidRPr="000E4C8C">
              <w:rPr>
                <w:rFonts w:cs="Arial"/>
                <w:b/>
                <w:color w:val="000000"/>
              </w:rPr>
              <w:t>Description of indicator</w:t>
            </w:r>
          </w:p>
        </w:tc>
        <w:tc>
          <w:tcPr>
            <w:tcW w:w="6379" w:type="dxa"/>
          </w:tcPr>
          <w:p w:rsidR="00D06808" w:rsidRPr="000758CD" w:rsidRDefault="00D06808" w:rsidP="00526046">
            <w:pPr>
              <w:keepNext/>
              <w:rPr>
                <w:b/>
              </w:rPr>
            </w:pPr>
            <w:r w:rsidRPr="000758CD">
              <w:rPr>
                <w:b/>
              </w:rPr>
              <w:t>Year 1 17/18</w:t>
            </w:r>
          </w:p>
          <w:p w:rsidR="00D06808" w:rsidRPr="000758CD" w:rsidRDefault="00D06808" w:rsidP="00526046">
            <w:pPr>
              <w:keepNext/>
            </w:pPr>
          </w:p>
          <w:p w:rsidR="00D06808" w:rsidRPr="00BE236F" w:rsidRDefault="00D06808" w:rsidP="00D06808">
            <w:pPr>
              <w:pStyle w:val="ListParagraph"/>
              <w:keepNext/>
              <w:numPr>
                <w:ilvl w:val="0"/>
                <w:numId w:val="138"/>
              </w:numPr>
            </w:pPr>
            <w:r w:rsidRPr="00CC12C1">
              <w:rPr>
                <w:rFonts w:eastAsia="HGSMinchoE"/>
                <w:szCs w:val="24"/>
              </w:rPr>
              <w:t xml:space="preserve">Part a) 40% of weighting for this measure </w:t>
            </w:r>
          </w:p>
          <w:p w:rsidR="00D06808" w:rsidRDefault="00D06808" w:rsidP="00526046">
            <w:pPr>
              <w:keepNext/>
            </w:pPr>
          </w:p>
          <w:p w:rsidR="00D06808" w:rsidRDefault="00D06808" w:rsidP="00526046">
            <w:pPr>
              <w:keepNext/>
            </w:pPr>
            <w:r w:rsidRPr="000758CD">
              <w:t>Actions to map existing discharge pathways, roll-out new protocols</w:t>
            </w:r>
            <w:r>
              <w:t>,</w:t>
            </w:r>
            <w:r w:rsidRPr="000758CD">
              <w:t xml:space="preserve"> collect baseline/trajectories</w:t>
            </w:r>
            <w:r>
              <w:t xml:space="preserve"> </w:t>
            </w:r>
          </w:p>
          <w:p w:rsidR="00D06808" w:rsidRDefault="00D06808" w:rsidP="00526046">
            <w:pPr>
              <w:keepNext/>
            </w:pPr>
          </w:p>
          <w:p w:rsidR="00D06808" w:rsidRDefault="00D06808" w:rsidP="00D06808">
            <w:pPr>
              <w:pStyle w:val="ListParagraph"/>
              <w:keepNext/>
              <w:numPr>
                <w:ilvl w:val="0"/>
                <w:numId w:val="138"/>
              </w:numPr>
            </w:pPr>
            <w:r w:rsidRPr="00CC12C1">
              <w:rPr>
                <w:rFonts w:eastAsia="HGSMinchoE"/>
                <w:szCs w:val="24"/>
              </w:rPr>
              <w:t>Part b) 20% of the weighting for this measures (applicable to</w:t>
            </w:r>
            <w:r w:rsidR="00E97DA1">
              <w:rPr>
                <w:rFonts w:eastAsia="HGSMinchoE"/>
                <w:szCs w:val="24"/>
              </w:rPr>
              <w:t xml:space="preserve"> acute only, with category 1 or </w:t>
            </w:r>
            <w:r w:rsidRPr="00CC12C1">
              <w:rPr>
                <w:rFonts w:eastAsia="HGSMinchoE"/>
                <w:szCs w:val="24"/>
              </w:rPr>
              <w:t xml:space="preserve"> 2 A&amp;E departments)</w:t>
            </w:r>
          </w:p>
          <w:p w:rsidR="00D06808" w:rsidRDefault="00D06808" w:rsidP="00E97DA1">
            <w:pPr>
              <w:keepNext/>
            </w:pPr>
          </w:p>
          <w:p w:rsidR="00E97DA1" w:rsidRPr="00BE236F" w:rsidRDefault="00E97DA1" w:rsidP="00E97DA1">
            <w:pPr>
              <w:keepNext/>
            </w:pPr>
            <w:r w:rsidRPr="00E97DA1">
              <w:t>Emergency Care Data Set (ECDS)</w:t>
            </w:r>
          </w:p>
          <w:p w:rsidR="00E97DA1" w:rsidRDefault="00E97DA1" w:rsidP="00526046">
            <w:pPr>
              <w:keepNext/>
            </w:pPr>
            <w:r w:rsidRPr="00E97DA1">
              <w:t>Type 1 or 2 A&amp;E providers to have demonstrable and credible planning</w:t>
            </w:r>
            <w:r>
              <w:t xml:space="preserve"> by the end of Quarter 1, in order to commence timely submission of data from 1</w:t>
            </w:r>
            <w:r w:rsidRPr="00E97DA1">
              <w:rPr>
                <w:vertAlign w:val="superscript"/>
              </w:rPr>
              <w:t>st</w:t>
            </w:r>
            <w:r>
              <w:t xml:space="preserve"> October 2017.</w:t>
            </w:r>
          </w:p>
          <w:p w:rsidR="00E97DA1" w:rsidRDefault="00E97DA1" w:rsidP="00526046">
            <w:pPr>
              <w:keepNext/>
            </w:pPr>
          </w:p>
          <w:p w:rsidR="00E97DA1" w:rsidRDefault="00E97DA1" w:rsidP="00526046">
            <w:pPr>
              <w:keepNext/>
            </w:pPr>
            <w:r>
              <w:t>See milestone section for detail of the requirements.</w:t>
            </w:r>
          </w:p>
          <w:p w:rsidR="00D06808" w:rsidRDefault="00D06808" w:rsidP="00526046">
            <w:pPr>
              <w:keepNext/>
            </w:pPr>
          </w:p>
          <w:p w:rsidR="00725FEE" w:rsidRDefault="00725FEE" w:rsidP="00526046">
            <w:pPr>
              <w:keepNext/>
            </w:pPr>
            <w:r w:rsidRPr="00725FEE">
              <w:t xml:space="preserve">Further information on the ECDS can be found at: </w:t>
            </w:r>
            <w:hyperlink r:id="rId39" w:history="1">
              <w:r w:rsidRPr="0037128A">
                <w:rPr>
                  <w:rStyle w:val="Hyperlink"/>
                </w:rPr>
                <w:t>https://www.england.nhs.uk/ourwork/tsd/ec-data-set/</w:t>
              </w:r>
            </w:hyperlink>
          </w:p>
          <w:p w:rsidR="00725FEE" w:rsidRDefault="00725FEE" w:rsidP="00526046">
            <w:pPr>
              <w:keepNext/>
            </w:pPr>
          </w:p>
          <w:p w:rsidR="00D06808" w:rsidRPr="000758CD" w:rsidRDefault="00D06808" w:rsidP="00526046">
            <w:pPr>
              <w:keepNext/>
            </w:pPr>
            <w:r>
              <w:t xml:space="preserve">Where </w:t>
            </w:r>
            <w:r w:rsidR="00662B4D">
              <w:t>Part b is not applicable to a p</w:t>
            </w:r>
            <w:r>
              <w:t>rovider thi</w:t>
            </w:r>
            <w:r w:rsidR="000E4C8C">
              <w:t xml:space="preserve">s weighting </w:t>
            </w:r>
            <w:r w:rsidR="00662B4D">
              <w:t>should</w:t>
            </w:r>
            <w:r w:rsidR="000E4C8C">
              <w:t xml:space="preserve"> be applied to P</w:t>
            </w:r>
            <w:r>
              <w:t>art a.</w:t>
            </w:r>
          </w:p>
          <w:p w:rsidR="00D06808" w:rsidRPr="00BE236F" w:rsidRDefault="00D06808" w:rsidP="00526046">
            <w:pPr>
              <w:pStyle w:val="ListParagraph"/>
              <w:keepNext/>
            </w:pPr>
          </w:p>
          <w:p w:rsidR="00D06808" w:rsidRPr="00BE236F" w:rsidRDefault="00D06808" w:rsidP="00D06808">
            <w:pPr>
              <w:pStyle w:val="ListParagraph"/>
              <w:keepNext/>
              <w:numPr>
                <w:ilvl w:val="0"/>
                <w:numId w:val="138"/>
              </w:numPr>
            </w:pPr>
            <w:r w:rsidRPr="00CC12C1">
              <w:rPr>
                <w:rFonts w:eastAsia="HGSMinchoE"/>
                <w:szCs w:val="24"/>
              </w:rPr>
              <w:t>Part c) 40% of weighting for this measure</w:t>
            </w:r>
          </w:p>
          <w:p w:rsidR="00D06808" w:rsidRDefault="00D06808" w:rsidP="00526046">
            <w:pPr>
              <w:keepNext/>
              <w:contextualSpacing/>
            </w:pPr>
          </w:p>
          <w:p w:rsidR="00D06808" w:rsidRDefault="00D06808" w:rsidP="00526046">
            <w:pPr>
              <w:keepNext/>
              <w:contextualSpacing/>
              <w:rPr>
                <w:b/>
              </w:rPr>
            </w:pPr>
            <w:r w:rsidRPr="000758CD">
              <w:t xml:space="preserve">Increasing proportion of patients admitted via </w:t>
            </w:r>
            <w:r w:rsidRPr="000758CD">
              <w:rPr>
                <w:rFonts w:cs="Arial"/>
              </w:rPr>
              <w:t>non-elective route</w:t>
            </w:r>
            <w:r w:rsidRPr="000758CD">
              <w:t xml:space="preserve"> discharged from acute hospitals to their usual place of residence within 7 days of admission </w:t>
            </w:r>
            <w:r>
              <w:t>by 2.5</w:t>
            </w:r>
            <w:r w:rsidRPr="000758CD">
              <w:t>%</w:t>
            </w:r>
            <w:r>
              <w:t xml:space="preserve"> points</w:t>
            </w:r>
            <w:r w:rsidRPr="000758CD">
              <w:t xml:space="preserve"> from baseline</w:t>
            </w:r>
            <w:r>
              <w:t xml:space="preserve"> (Q3 and </w:t>
            </w:r>
            <w:r w:rsidR="00526046">
              <w:t>Q</w:t>
            </w:r>
            <w:r>
              <w:t>4 2016/17</w:t>
            </w:r>
            <w:r w:rsidRPr="0092391F">
              <w:t>).</w:t>
            </w:r>
            <w:r>
              <w:t xml:space="preserve"> </w:t>
            </w:r>
            <w:r>
              <w:rPr>
                <w:rFonts w:eastAsiaTheme="minorHAnsi" w:cs="Arial"/>
              </w:rPr>
              <w:t>Inappropriate, early discharge carries risks to patients and therefore p</w:t>
            </w:r>
            <w:r w:rsidRPr="0092391F">
              <w:rPr>
                <w:rFonts w:eastAsiaTheme="minorHAnsi" w:cs="Arial"/>
              </w:rPr>
              <w:t>roviders and commissioners should carefully monitor readmission rate.</w:t>
            </w:r>
          </w:p>
          <w:p w:rsidR="00D06808" w:rsidRDefault="00D06808" w:rsidP="00526046">
            <w:pPr>
              <w:keepNext/>
              <w:rPr>
                <w:b/>
              </w:rPr>
            </w:pPr>
          </w:p>
          <w:p w:rsidR="00D06808" w:rsidRPr="000758CD" w:rsidRDefault="00D06808" w:rsidP="00526046">
            <w:pPr>
              <w:keepNext/>
              <w:rPr>
                <w:b/>
              </w:rPr>
            </w:pPr>
            <w:r w:rsidRPr="000758CD">
              <w:rPr>
                <w:b/>
              </w:rPr>
              <w:t>Year 2 18/19</w:t>
            </w:r>
          </w:p>
          <w:p w:rsidR="00D06808" w:rsidRPr="000758CD" w:rsidRDefault="00D06808" w:rsidP="00526046">
            <w:pPr>
              <w:keepNext/>
            </w:pPr>
          </w:p>
          <w:p w:rsidR="00D06808" w:rsidRPr="00BE236F" w:rsidRDefault="00D06808" w:rsidP="00D06808">
            <w:pPr>
              <w:pStyle w:val="ListParagraph"/>
              <w:keepNext/>
              <w:numPr>
                <w:ilvl w:val="0"/>
                <w:numId w:val="138"/>
              </w:numPr>
            </w:pPr>
            <w:r w:rsidRPr="00CC12C1">
              <w:rPr>
                <w:rFonts w:eastAsia="HGSMinchoE"/>
                <w:szCs w:val="24"/>
              </w:rPr>
              <w:t xml:space="preserve">Part a) 80% of weighting for this measure </w:t>
            </w:r>
          </w:p>
          <w:p w:rsidR="00D06808" w:rsidRPr="000758CD" w:rsidRDefault="00D06808" w:rsidP="00526046">
            <w:pPr>
              <w:keepNext/>
            </w:pPr>
          </w:p>
          <w:p w:rsidR="00D06808" w:rsidRDefault="00D06808" w:rsidP="00526046">
            <w:pPr>
              <w:keepNext/>
              <w:contextualSpacing/>
            </w:pPr>
            <w:r w:rsidRPr="000758CD">
              <w:t xml:space="preserve">Increasing proportion of patients admitted via </w:t>
            </w:r>
            <w:r w:rsidRPr="000758CD">
              <w:rPr>
                <w:rFonts w:cs="Arial"/>
              </w:rPr>
              <w:t>non-elective route</w:t>
            </w:r>
            <w:r w:rsidRPr="000758CD">
              <w:t xml:space="preserve"> discharged from acute hospitals to their usual place of residence </w:t>
            </w:r>
            <w:r>
              <w:t>within 7 days of admission by 7.5</w:t>
            </w:r>
            <w:r w:rsidRPr="000758CD">
              <w:t xml:space="preserve">% </w:t>
            </w:r>
            <w:r w:rsidRPr="0092391F">
              <w:rPr>
                <w:rFonts w:eastAsiaTheme="minorHAnsi" w:cs="Arial"/>
              </w:rPr>
              <w:t>points from 2017/18</w:t>
            </w:r>
            <w:r>
              <w:rPr>
                <w:rFonts w:eastAsiaTheme="minorHAnsi" w:cs="Arial"/>
              </w:rPr>
              <w:t>.</w:t>
            </w:r>
            <w:r w:rsidRPr="00785AEE">
              <w:rPr>
                <w:rFonts w:eastAsiaTheme="minorHAnsi" w:cs="Arial"/>
              </w:rPr>
              <w:t xml:space="preserve"> Inappropriate, early discharge carries risks to patients and therefore providers and commissioners should carefully monitor readmission rate.</w:t>
            </w:r>
            <w:r w:rsidRPr="0092391F" w:rsidDel="00785AEE">
              <w:rPr>
                <w:rFonts w:eastAsiaTheme="minorHAnsi" w:cs="Arial"/>
              </w:rPr>
              <w:t xml:space="preserve"> </w:t>
            </w:r>
          </w:p>
          <w:p w:rsidR="00D06808" w:rsidRDefault="00D06808" w:rsidP="00526046">
            <w:pPr>
              <w:pStyle w:val="ListParagraph"/>
              <w:keepNext/>
              <w:rPr>
                <w:rFonts w:cs="Arial"/>
              </w:rPr>
            </w:pPr>
          </w:p>
          <w:p w:rsidR="00D06808" w:rsidRDefault="00D06808" w:rsidP="00D06808">
            <w:pPr>
              <w:pStyle w:val="ListParagraph"/>
              <w:keepNext/>
              <w:numPr>
                <w:ilvl w:val="0"/>
                <w:numId w:val="138"/>
              </w:numPr>
              <w:rPr>
                <w:rFonts w:cs="Arial"/>
              </w:rPr>
            </w:pPr>
            <w:r>
              <w:rPr>
                <w:rFonts w:cs="Arial"/>
              </w:rPr>
              <w:t>Part b) 20%</w:t>
            </w:r>
            <w:r w:rsidRPr="000758CD">
              <w:t xml:space="preserve"> of weighting for this measure</w:t>
            </w:r>
          </w:p>
          <w:p w:rsidR="00D06808" w:rsidRDefault="00D06808" w:rsidP="00526046">
            <w:pPr>
              <w:pStyle w:val="ListParagraph"/>
              <w:keepNext/>
              <w:rPr>
                <w:rFonts w:cs="Arial"/>
              </w:rPr>
            </w:pPr>
          </w:p>
          <w:p w:rsidR="00D06808" w:rsidRDefault="00D06808" w:rsidP="00526046">
            <w:pPr>
              <w:keepNext/>
            </w:pPr>
            <w:r w:rsidRPr="006C06A1">
              <w:t>Completion and timely submission of data by provider in line with the collection requirements.</w:t>
            </w:r>
            <w:r w:rsidR="00E97DA1">
              <w:t xml:space="preserve"> See milestone section for detail of the requirements.</w:t>
            </w:r>
          </w:p>
          <w:p w:rsidR="00D06808" w:rsidRDefault="00D06808" w:rsidP="00526046">
            <w:pPr>
              <w:keepNext/>
            </w:pPr>
          </w:p>
          <w:p w:rsidR="00D06808" w:rsidRPr="000758CD" w:rsidRDefault="00D06808" w:rsidP="000E4C8C">
            <w:pPr>
              <w:keepNext/>
              <w:rPr>
                <w:rFonts w:cs="Arial"/>
              </w:rPr>
            </w:pPr>
            <w:r>
              <w:t>Where part b is not applicable to a provider this weighting will be applied to part a.</w:t>
            </w:r>
          </w:p>
        </w:tc>
      </w:tr>
      <w:tr w:rsidR="00D06808" w:rsidRPr="000758CD" w:rsidTr="00526046">
        <w:tc>
          <w:tcPr>
            <w:tcW w:w="2518" w:type="dxa"/>
          </w:tcPr>
          <w:p w:rsidR="00D06808" w:rsidRPr="000E4C8C" w:rsidRDefault="00D06808" w:rsidP="00526046">
            <w:pPr>
              <w:rPr>
                <w:rFonts w:cs="Arial"/>
                <w:b/>
              </w:rPr>
            </w:pPr>
            <w:r w:rsidRPr="000E4C8C">
              <w:rPr>
                <w:rFonts w:cs="Arial"/>
                <w:b/>
                <w:color w:val="000000"/>
              </w:rPr>
              <w:lastRenderedPageBreak/>
              <w:t>Numerator</w:t>
            </w:r>
          </w:p>
        </w:tc>
        <w:tc>
          <w:tcPr>
            <w:tcW w:w="6379" w:type="dxa"/>
          </w:tcPr>
          <w:p w:rsidR="00D06808" w:rsidRDefault="00D06808" w:rsidP="00526046">
            <w:pPr>
              <w:keepNext/>
              <w:contextualSpacing/>
              <w:rPr>
                <w:rFonts w:cs="Arial"/>
              </w:rPr>
            </w:pPr>
            <w:r>
              <w:rPr>
                <w:rFonts w:cs="Arial"/>
              </w:rPr>
              <w:t>Year 1</w:t>
            </w:r>
          </w:p>
          <w:p w:rsidR="00D06808" w:rsidRDefault="00D06808" w:rsidP="00526046">
            <w:pPr>
              <w:keepNext/>
              <w:contextualSpacing/>
              <w:rPr>
                <w:rFonts w:cs="Arial"/>
              </w:rPr>
            </w:pPr>
            <w:r w:rsidRPr="000758CD">
              <w:rPr>
                <w:rFonts w:cs="Arial"/>
              </w:rPr>
              <w:t xml:space="preserve">Finished discharge episodes within </w:t>
            </w:r>
            <w:r>
              <w:rPr>
                <w:rFonts w:cs="Arial"/>
              </w:rPr>
              <w:t xml:space="preserve">Q3 and 4 of </w:t>
            </w:r>
            <w:r w:rsidRPr="000758CD">
              <w:rPr>
                <w:rFonts w:cs="Arial"/>
              </w:rPr>
              <w:t>2017/18</w:t>
            </w:r>
            <w:r>
              <w:rPr>
                <w:rFonts w:cs="Arial"/>
              </w:rPr>
              <w:t xml:space="preserve"> </w:t>
            </w:r>
            <w:r w:rsidRPr="000758CD">
              <w:rPr>
                <w:rFonts w:cs="Arial"/>
              </w:rPr>
              <w:t>, discharged to usual place of residence within</w:t>
            </w:r>
            <w:r>
              <w:rPr>
                <w:rFonts w:cs="Arial"/>
              </w:rPr>
              <w:t xml:space="preserve"> 3-</w:t>
            </w:r>
            <w:r w:rsidRPr="000758CD">
              <w:rPr>
                <w:rFonts w:cs="Arial"/>
              </w:rPr>
              <w:t xml:space="preserve"> 7 days of admission of patients aged 65+ admitted via non-elective route </w:t>
            </w:r>
          </w:p>
          <w:p w:rsidR="00D06808" w:rsidRDefault="00D06808" w:rsidP="00526046">
            <w:pPr>
              <w:keepNext/>
              <w:contextualSpacing/>
              <w:rPr>
                <w:rFonts w:cs="Arial"/>
              </w:rPr>
            </w:pPr>
          </w:p>
          <w:p w:rsidR="00D06808" w:rsidRDefault="00D06808" w:rsidP="00526046">
            <w:pPr>
              <w:keepNext/>
              <w:contextualSpacing/>
              <w:rPr>
                <w:rFonts w:cs="Arial"/>
              </w:rPr>
            </w:pPr>
            <w:r>
              <w:rPr>
                <w:rFonts w:cs="Arial"/>
              </w:rPr>
              <w:t>Year 2</w:t>
            </w:r>
          </w:p>
          <w:p w:rsidR="00D06808" w:rsidRPr="000758CD" w:rsidRDefault="00D06808" w:rsidP="00526046">
            <w:pPr>
              <w:keepNext/>
              <w:contextualSpacing/>
              <w:rPr>
                <w:rFonts w:cs="Arial"/>
              </w:rPr>
            </w:pPr>
            <w:r w:rsidRPr="000758CD">
              <w:rPr>
                <w:rFonts w:cs="Arial"/>
              </w:rPr>
              <w:t>Finished discharge episodes</w:t>
            </w:r>
            <w:r>
              <w:rPr>
                <w:rFonts w:cs="Arial"/>
              </w:rPr>
              <w:t xml:space="preserve"> within 2018</w:t>
            </w:r>
            <w:r w:rsidRPr="000758CD">
              <w:rPr>
                <w:rFonts w:cs="Arial"/>
              </w:rPr>
              <w:t>/1</w:t>
            </w:r>
            <w:r>
              <w:rPr>
                <w:rFonts w:cs="Arial"/>
              </w:rPr>
              <w:t xml:space="preserve">9 </w:t>
            </w:r>
            <w:r w:rsidRPr="000758CD">
              <w:rPr>
                <w:rFonts w:cs="Arial"/>
              </w:rPr>
              <w:t>, discharged to usual place of residence within</w:t>
            </w:r>
            <w:r>
              <w:rPr>
                <w:rFonts w:cs="Arial"/>
              </w:rPr>
              <w:t xml:space="preserve"> 3-</w:t>
            </w:r>
            <w:r w:rsidRPr="000758CD">
              <w:rPr>
                <w:rFonts w:cs="Arial"/>
              </w:rPr>
              <w:t xml:space="preserve"> 7 days of admission of patients aged 65+ admitted via non-elective route</w:t>
            </w:r>
          </w:p>
        </w:tc>
      </w:tr>
      <w:tr w:rsidR="00D06808" w:rsidRPr="000758CD" w:rsidTr="00526046">
        <w:tc>
          <w:tcPr>
            <w:tcW w:w="2518" w:type="dxa"/>
          </w:tcPr>
          <w:p w:rsidR="00D06808" w:rsidRPr="000E4C8C" w:rsidRDefault="00D06808" w:rsidP="00526046">
            <w:pPr>
              <w:rPr>
                <w:rFonts w:cs="Arial"/>
                <w:b/>
              </w:rPr>
            </w:pPr>
            <w:r w:rsidRPr="000E4C8C">
              <w:rPr>
                <w:rFonts w:cs="Arial"/>
                <w:b/>
                <w:color w:val="000000"/>
              </w:rPr>
              <w:t>Denominator</w:t>
            </w:r>
          </w:p>
        </w:tc>
        <w:tc>
          <w:tcPr>
            <w:tcW w:w="6379" w:type="dxa"/>
          </w:tcPr>
          <w:p w:rsidR="00D06808" w:rsidRDefault="00D06808" w:rsidP="00526046">
            <w:pPr>
              <w:keepNext/>
              <w:contextualSpacing/>
              <w:rPr>
                <w:rFonts w:cs="Arial"/>
              </w:rPr>
            </w:pPr>
            <w:r>
              <w:rPr>
                <w:rFonts w:cs="Arial"/>
              </w:rPr>
              <w:t>Year 1</w:t>
            </w:r>
          </w:p>
          <w:p w:rsidR="00D06808" w:rsidRDefault="00D06808" w:rsidP="00526046">
            <w:pPr>
              <w:keepNext/>
              <w:contextualSpacing/>
              <w:rPr>
                <w:rFonts w:cs="Arial"/>
              </w:rPr>
            </w:pPr>
            <w:r w:rsidRPr="000758CD">
              <w:rPr>
                <w:rFonts w:cs="Arial"/>
              </w:rPr>
              <w:t>Finished discharge episodes of patients aged 65+  admitted via non-elective route</w:t>
            </w:r>
            <w:r>
              <w:rPr>
                <w:rFonts w:cs="Arial"/>
              </w:rPr>
              <w:t xml:space="preserve"> within Q3 and 4</w:t>
            </w:r>
            <w:r w:rsidRPr="000758CD">
              <w:rPr>
                <w:rFonts w:cs="Arial"/>
              </w:rPr>
              <w:t xml:space="preserve"> with a LOS of </w:t>
            </w:r>
            <w:r>
              <w:rPr>
                <w:rFonts w:cs="Arial"/>
              </w:rPr>
              <w:t>&gt;2</w:t>
            </w:r>
          </w:p>
          <w:p w:rsidR="00D06808" w:rsidRDefault="00D06808" w:rsidP="00526046">
            <w:pPr>
              <w:keepNext/>
              <w:contextualSpacing/>
              <w:rPr>
                <w:rFonts w:cs="Arial"/>
              </w:rPr>
            </w:pPr>
          </w:p>
          <w:p w:rsidR="00D06808" w:rsidRDefault="00D06808" w:rsidP="00526046">
            <w:pPr>
              <w:keepNext/>
              <w:contextualSpacing/>
              <w:rPr>
                <w:rFonts w:cs="Arial"/>
              </w:rPr>
            </w:pPr>
            <w:r>
              <w:rPr>
                <w:rFonts w:cs="Arial"/>
              </w:rPr>
              <w:t>Year 2</w:t>
            </w:r>
          </w:p>
          <w:p w:rsidR="00D06808" w:rsidRPr="000758CD" w:rsidRDefault="00D06808" w:rsidP="00526046">
            <w:pPr>
              <w:keepNext/>
              <w:contextualSpacing/>
              <w:rPr>
                <w:rFonts w:cs="Arial"/>
              </w:rPr>
            </w:pPr>
            <w:r w:rsidRPr="000758CD">
              <w:rPr>
                <w:rFonts w:cs="Arial"/>
              </w:rPr>
              <w:t>Finished discharge episodes of patients aged 65+  admitted via non-elective route</w:t>
            </w:r>
            <w:r>
              <w:rPr>
                <w:rFonts w:cs="Arial"/>
              </w:rPr>
              <w:t xml:space="preserve"> within</w:t>
            </w:r>
            <w:r w:rsidRPr="000758CD">
              <w:rPr>
                <w:rFonts w:cs="Arial"/>
              </w:rPr>
              <w:t xml:space="preserve"> 18/19 with a LOS of </w:t>
            </w:r>
            <w:r>
              <w:rPr>
                <w:rFonts w:cs="Arial"/>
              </w:rPr>
              <w:t>&gt;2</w:t>
            </w:r>
          </w:p>
        </w:tc>
      </w:tr>
      <w:tr w:rsidR="00D06808" w:rsidRPr="000758CD" w:rsidTr="00526046">
        <w:tc>
          <w:tcPr>
            <w:tcW w:w="2518" w:type="dxa"/>
          </w:tcPr>
          <w:p w:rsidR="00D06808" w:rsidRPr="000E4C8C" w:rsidRDefault="00D06808" w:rsidP="00526046">
            <w:pPr>
              <w:rPr>
                <w:rFonts w:cs="Arial"/>
                <w:b/>
              </w:rPr>
            </w:pPr>
            <w:r w:rsidRPr="000E4C8C">
              <w:rPr>
                <w:rFonts w:cs="Arial"/>
                <w:b/>
                <w:color w:val="000000"/>
              </w:rPr>
              <w:t>Rationale for inclusion</w:t>
            </w:r>
          </w:p>
        </w:tc>
        <w:tc>
          <w:tcPr>
            <w:tcW w:w="6379" w:type="dxa"/>
          </w:tcPr>
          <w:p w:rsidR="00D06808" w:rsidRPr="000758CD" w:rsidRDefault="00D06808" w:rsidP="00526046">
            <w:pPr>
              <w:keepNext/>
              <w:contextualSpacing/>
              <w:rPr>
                <w:rFonts w:cs="Arial"/>
                <w:bCs w:val="0"/>
                <w:color w:val="000000"/>
              </w:rPr>
            </w:pPr>
            <w:r w:rsidRPr="000758CD">
              <w:rPr>
                <w:rFonts w:cs="Arial"/>
                <w:color w:val="000000"/>
              </w:rPr>
              <w:t>There is a considerable evidence for the harm caused by poor patient flow. Delays lead to poor outcomes for patients, create financial pressures and impact on key NHS performance measures</w:t>
            </w:r>
            <w:r w:rsidRPr="000758CD">
              <w:rPr>
                <w:rFonts w:cs="Arial"/>
              </w:rPr>
              <w:t>. Delayed discharge has serious impact across health and care systems, reducing the ability of emergency departments to respond to people’s needs, and increasing costs to local health economies.</w:t>
            </w:r>
          </w:p>
          <w:p w:rsidR="00D06808" w:rsidRPr="000758CD" w:rsidRDefault="00D06808" w:rsidP="00526046">
            <w:pPr>
              <w:rPr>
                <w:rFonts w:cs="Arial"/>
                <w:bCs w:val="0"/>
              </w:rPr>
            </w:pPr>
          </w:p>
          <w:p w:rsidR="00D06808" w:rsidRPr="000758CD" w:rsidRDefault="00D06808" w:rsidP="00526046">
            <w:pPr>
              <w:rPr>
                <w:rFonts w:cs="Arial"/>
                <w:bCs w:val="0"/>
              </w:rPr>
            </w:pPr>
            <w:r w:rsidRPr="000758CD">
              <w:rPr>
                <w:rFonts w:cs="Arial"/>
              </w:rPr>
              <w:t xml:space="preserve">Unnecessary delay in discharging older patients from </w:t>
            </w:r>
            <w:r w:rsidRPr="000758CD">
              <w:rPr>
                <w:rFonts w:cs="Arial"/>
              </w:rPr>
              <w:lastRenderedPageBreak/>
              <w:t xml:space="preserve">hospital is a systemic problem with a rising trend - </w:t>
            </w:r>
            <w:r w:rsidRPr="000758CD">
              <w:rPr>
                <w:rFonts w:cs="Arial"/>
                <w:lang w:val="en"/>
              </w:rPr>
              <w:t>between 2013 and 2015 recorded delayed transfers of care rose 31 per cent and in 2015 accounted for 1.15 million bed days</w:t>
            </w:r>
            <w:r w:rsidRPr="000758CD">
              <w:rPr>
                <w:rStyle w:val="FootnoteReference"/>
                <w:rFonts w:cs="Arial"/>
              </w:rPr>
              <w:footnoteReference w:id="20"/>
            </w:r>
            <w:r w:rsidRPr="000758CD">
              <w:rPr>
                <w:rFonts w:cs="Arial"/>
                <w:lang w:val="en"/>
              </w:rPr>
              <w:t>.</w:t>
            </w:r>
            <w:r w:rsidRPr="000758CD">
              <w:rPr>
                <w:rFonts w:cs="Arial"/>
              </w:rPr>
              <w:t xml:space="preserve"> For older people in particular, we know that longer stays in hospital can lead to worse health outcomes and can increase their long-term care needs.</w:t>
            </w:r>
          </w:p>
          <w:p w:rsidR="00D06808" w:rsidRPr="000758CD" w:rsidRDefault="00D06808" w:rsidP="00526046">
            <w:pPr>
              <w:rPr>
                <w:rFonts w:cs="Arial"/>
                <w:bCs w:val="0"/>
              </w:rPr>
            </w:pPr>
          </w:p>
          <w:p w:rsidR="00D06808" w:rsidRPr="000758CD" w:rsidRDefault="00D06808" w:rsidP="000E4C8C">
            <w:pPr>
              <w:spacing w:after="200"/>
              <w:rPr>
                <w:rFonts w:cs="Arial"/>
              </w:rPr>
            </w:pPr>
            <w:r w:rsidRPr="000758CD">
              <w:rPr>
                <w:rFonts w:cs="Arial"/>
              </w:rPr>
              <w:t xml:space="preserve">Local A&amp;E Delivery Boards are being asked in 2016/17 to implement key initiatives to address some of the major underlying issues causing delayed discharges. This CQUIN builds upon the 2016/17 A&amp;E Plan discharge-specific activity to support systems to streamline discharge pathways, embed and strengthen the discharge to assess* pathway to maximum effect, and to understand capacity within community services to support improved discharge. </w:t>
            </w:r>
          </w:p>
          <w:p w:rsidR="00D06808" w:rsidRPr="000758CD" w:rsidRDefault="00D06808" w:rsidP="000E4C8C">
            <w:pPr>
              <w:spacing w:after="200"/>
              <w:rPr>
                <w:rFonts w:cs="Arial"/>
              </w:rPr>
            </w:pPr>
            <w:r w:rsidRPr="000758CD">
              <w:rPr>
                <w:rFonts w:cs="Arial"/>
              </w:rPr>
              <w:t>This is a two year CQUIN that works across local health economies that aims to improve discharges for patients across all wards within hospitals.</w:t>
            </w:r>
          </w:p>
          <w:p w:rsidR="00D06808" w:rsidRPr="000758CD" w:rsidRDefault="00D06808" w:rsidP="000E4C8C">
            <w:pPr>
              <w:spacing w:after="200"/>
              <w:rPr>
                <w:rFonts w:cs="Arial"/>
              </w:rPr>
            </w:pPr>
            <w:r w:rsidRPr="000758CD">
              <w:rPr>
                <w:rFonts w:cs="Arial"/>
              </w:rPr>
              <w:t>The desired outcomes will be improvement in patient outcomes, improvement in patient flow, and reduction in delayed discharges (and thus reduction in associated costs).</w:t>
            </w:r>
          </w:p>
          <w:p w:rsidR="00D06808" w:rsidRPr="000758CD" w:rsidRDefault="00D06808" w:rsidP="000E4C8C">
            <w:pPr>
              <w:spacing w:after="200"/>
              <w:rPr>
                <w:rFonts w:cs="Arial"/>
              </w:rPr>
            </w:pPr>
            <w:r w:rsidRPr="000758CD">
              <w:rPr>
                <w:rFonts w:cs="Arial"/>
              </w:rPr>
              <w:t xml:space="preserve">Although </w:t>
            </w:r>
            <w:r w:rsidRPr="00301523">
              <w:rPr>
                <w:rFonts w:cs="Arial"/>
              </w:rPr>
              <w:t>this CQUIN includes a measure using acute data, it is an indicator of how well the whole system works to support timely discharge. Distribution of the CQUIN amount on achievement of the target between acute, community and NHS-commissioned care home beds would need to be determined locally</w:t>
            </w:r>
            <w:r>
              <w:rPr>
                <w:rFonts w:cs="Arial"/>
              </w:rPr>
              <w:t xml:space="preserve">. </w:t>
            </w:r>
          </w:p>
          <w:p w:rsidR="00D06808" w:rsidRPr="000758CD" w:rsidRDefault="00D06808" w:rsidP="000E4C8C">
            <w:pPr>
              <w:spacing w:after="200"/>
              <w:rPr>
                <w:rFonts w:cs="Arial"/>
              </w:rPr>
            </w:pPr>
            <w:r w:rsidRPr="000758CD">
              <w:rPr>
                <w:rFonts w:cs="Arial"/>
              </w:rPr>
              <w:t>*Definition of discharge to assess</w:t>
            </w:r>
            <w:r w:rsidRPr="000E4C8C">
              <w:footnoteReference w:id="21"/>
            </w:r>
            <w:r w:rsidRPr="000758CD">
              <w:rPr>
                <w:rFonts w:cs="Arial"/>
              </w:rPr>
              <w:t>:</w:t>
            </w:r>
          </w:p>
          <w:p w:rsidR="00D06808" w:rsidRPr="000758CD" w:rsidRDefault="00D06808" w:rsidP="000E4C8C">
            <w:pPr>
              <w:spacing w:after="200"/>
              <w:rPr>
                <w:rFonts w:cs="Arial"/>
              </w:rPr>
            </w:pPr>
            <w:r w:rsidRPr="000758CD">
              <w:rPr>
                <w:rFonts w:cs="Arial"/>
              </w:rPr>
              <w:t>Where people who are clinically optimised and do not require an acute hospital bed, but may still require care services are provided with short term, funded support to be discharged to their own home (where possible) or another community setting. This is where assessment for longer -term care and support needs is then undertaken in the most appropriate setting and at the right time for the person. Commonly used terms for this are: ‘discharge to assess’, ‘home first’, ‘safely home’, ‘step down’.</w:t>
            </w:r>
          </w:p>
        </w:tc>
      </w:tr>
      <w:tr w:rsidR="00D06808" w:rsidRPr="000758CD" w:rsidTr="00526046">
        <w:tc>
          <w:tcPr>
            <w:tcW w:w="2518" w:type="dxa"/>
          </w:tcPr>
          <w:p w:rsidR="00D06808" w:rsidRPr="000E4C8C" w:rsidRDefault="00D06808" w:rsidP="00526046">
            <w:pPr>
              <w:rPr>
                <w:rFonts w:cs="Arial"/>
                <w:b/>
              </w:rPr>
            </w:pPr>
            <w:r w:rsidRPr="000E4C8C">
              <w:rPr>
                <w:rFonts w:cs="Arial"/>
                <w:b/>
                <w:color w:val="000000"/>
              </w:rPr>
              <w:lastRenderedPageBreak/>
              <w:t>Data source</w:t>
            </w:r>
          </w:p>
        </w:tc>
        <w:tc>
          <w:tcPr>
            <w:tcW w:w="6379" w:type="dxa"/>
          </w:tcPr>
          <w:p w:rsidR="00D06808" w:rsidRPr="000758CD" w:rsidRDefault="00D06808" w:rsidP="00526046">
            <w:pPr>
              <w:keepNext/>
              <w:tabs>
                <w:tab w:val="left" w:pos="2074"/>
              </w:tabs>
              <w:rPr>
                <w:rFonts w:cs="Arial"/>
              </w:rPr>
            </w:pPr>
            <w:r>
              <w:rPr>
                <w:rFonts w:cs="Arial"/>
              </w:rPr>
              <w:t>HES</w:t>
            </w:r>
            <w:r w:rsidRPr="000758CD">
              <w:rPr>
                <w:rFonts w:cs="Arial"/>
              </w:rPr>
              <w:t xml:space="preserve"> </w:t>
            </w:r>
            <w:r>
              <w:rPr>
                <w:rFonts w:cs="Arial"/>
              </w:rPr>
              <w:t>/ SUS</w:t>
            </w:r>
          </w:p>
        </w:tc>
      </w:tr>
      <w:tr w:rsidR="00D06808" w:rsidRPr="000758CD" w:rsidTr="00526046">
        <w:tc>
          <w:tcPr>
            <w:tcW w:w="2518" w:type="dxa"/>
          </w:tcPr>
          <w:p w:rsidR="00D06808" w:rsidRPr="000E4C8C" w:rsidRDefault="00D06808" w:rsidP="00526046">
            <w:pPr>
              <w:rPr>
                <w:rFonts w:cs="Arial"/>
                <w:b/>
              </w:rPr>
            </w:pPr>
            <w:r w:rsidRPr="000E4C8C">
              <w:rPr>
                <w:rFonts w:cs="Arial"/>
                <w:b/>
                <w:color w:val="000000"/>
              </w:rPr>
              <w:t>Frequency of data collection</w:t>
            </w:r>
          </w:p>
        </w:tc>
        <w:tc>
          <w:tcPr>
            <w:tcW w:w="6379" w:type="dxa"/>
          </w:tcPr>
          <w:p w:rsidR="00D06808" w:rsidRPr="000758CD" w:rsidRDefault="00D06808" w:rsidP="00526046">
            <w:pPr>
              <w:rPr>
                <w:rFonts w:cs="Arial"/>
              </w:rPr>
            </w:pPr>
            <w:r w:rsidRPr="000758CD">
              <w:rPr>
                <w:rFonts w:cs="Arial"/>
              </w:rPr>
              <w:t xml:space="preserve">Quarterly </w:t>
            </w:r>
          </w:p>
        </w:tc>
      </w:tr>
      <w:tr w:rsidR="00D06808" w:rsidRPr="000758CD" w:rsidTr="00526046">
        <w:tc>
          <w:tcPr>
            <w:tcW w:w="2518" w:type="dxa"/>
          </w:tcPr>
          <w:p w:rsidR="00D06808" w:rsidRPr="000E4C8C" w:rsidRDefault="00D06808" w:rsidP="00526046">
            <w:pPr>
              <w:rPr>
                <w:rFonts w:cs="Arial"/>
                <w:b/>
              </w:rPr>
            </w:pPr>
            <w:r w:rsidRPr="000E4C8C">
              <w:rPr>
                <w:rFonts w:cs="Arial"/>
                <w:b/>
                <w:color w:val="000000"/>
              </w:rPr>
              <w:lastRenderedPageBreak/>
              <w:t>Organisation responsible for data collection</w:t>
            </w:r>
          </w:p>
        </w:tc>
        <w:tc>
          <w:tcPr>
            <w:tcW w:w="6379" w:type="dxa"/>
          </w:tcPr>
          <w:p w:rsidR="00D06808" w:rsidRPr="000758CD" w:rsidRDefault="00D06808" w:rsidP="00526046">
            <w:pPr>
              <w:rPr>
                <w:rFonts w:cs="Arial"/>
              </w:rPr>
            </w:pPr>
            <w:r w:rsidRPr="00136423">
              <w:rPr>
                <w:rFonts w:asciiTheme="minorHAnsi" w:eastAsiaTheme="minorHAnsi" w:hAnsiTheme="minorHAnsi" w:cstheme="minorBidi"/>
                <w:color w:val="1F497D"/>
                <w:sz w:val="22"/>
                <w:szCs w:val="22"/>
              </w:rPr>
              <w:t xml:space="preserve"> </w:t>
            </w:r>
            <w:r w:rsidRPr="00136423">
              <w:rPr>
                <w:rFonts w:cs="Arial"/>
              </w:rPr>
              <w:t>HES data available via NHS Digital</w:t>
            </w:r>
          </w:p>
        </w:tc>
      </w:tr>
      <w:tr w:rsidR="00D06808" w:rsidRPr="000758CD" w:rsidTr="00526046">
        <w:tc>
          <w:tcPr>
            <w:tcW w:w="2518" w:type="dxa"/>
          </w:tcPr>
          <w:p w:rsidR="00D06808" w:rsidRPr="000E4C8C" w:rsidRDefault="00D06808" w:rsidP="00526046">
            <w:pPr>
              <w:rPr>
                <w:rFonts w:cs="Arial"/>
                <w:b/>
              </w:rPr>
            </w:pPr>
            <w:r w:rsidRPr="000E4C8C">
              <w:rPr>
                <w:rFonts w:cs="Arial"/>
                <w:b/>
                <w:color w:val="000000"/>
              </w:rPr>
              <w:t>Frequency of reporting to commissioner</w:t>
            </w:r>
          </w:p>
        </w:tc>
        <w:tc>
          <w:tcPr>
            <w:tcW w:w="6379" w:type="dxa"/>
          </w:tcPr>
          <w:p w:rsidR="00D06808" w:rsidRPr="000758CD" w:rsidRDefault="00D06808" w:rsidP="00526046">
            <w:pPr>
              <w:rPr>
                <w:rFonts w:cs="Arial"/>
                <w:b/>
              </w:rPr>
            </w:pPr>
            <w:r w:rsidRPr="000758CD">
              <w:rPr>
                <w:rFonts w:cs="Arial"/>
              </w:rPr>
              <w:t xml:space="preserve">Quarterly </w:t>
            </w:r>
          </w:p>
        </w:tc>
      </w:tr>
      <w:tr w:rsidR="00D06808" w:rsidRPr="000758CD" w:rsidTr="00526046">
        <w:tc>
          <w:tcPr>
            <w:tcW w:w="2518" w:type="dxa"/>
          </w:tcPr>
          <w:p w:rsidR="00D06808" w:rsidRPr="000E4C8C" w:rsidRDefault="00D06808" w:rsidP="00526046">
            <w:pPr>
              <w:rPr>
                <w:rFonts w:cs="Arial"/>
                <w:b/>
              </w:rPr>
            </w:pPr>
            <w:r w:rsidRPr="000E4C8C">
              <w:rPr>
                <w:rFonts w:cs="Arial"/>
                <w:b/>
                <w:color w:val="000000"/>
              </w:rPr>
              <w:t>Baseline period/date</w:t>
            </w:r>
          </w:p>
        </w:tc>
        <w:tc>
          <w:tcPr>
            <w:tcW w:w="6379" w:type="dxa"/>
          </w:tcPr>
          <w:p w:rsidR="00D06808" w:rsidRPr="000758CD" w:rsidRDefault="00D06808" w:rsidP="00526046">
            <w:pPr>
              <w:rPr>
                <w:rFonts w:cs="Arial"/>
              </w:rPr>
            </w:pPr>
            <w:r>
              <w:rPr>
                <w:rFonts w:cs="Arial"/>
              </w:rPr>
              <w:t xml:space="preserve">Year 1 Q3 and Q4 </w:t>
            </w:r>
            <w:r w:rsidRPr="000758CD">
              <w:rPr>
                <w:rFonts w:cs="Arial"/>
              </w:rPr>
              <w:t xml:space="preserve">2016/17 </w:t>
            </w:r>
            <w:r>
              <w:rPr>
                <w:rFonts w:cs="Arial"/>
              </w:rPr>
              <w:t xml:space="preserve"> Year 2 2017/18</w:t>
            </w:r>
          </w:p>
        </w:tc>
      </w:tr>
      <w:tr w:rsidR="00D06808" w:rsidRPr="000758CD" w:rsidTr="00526046">
        <w:tc>
          <w:tcPr>
            <w:tcW w:w="2518" w:type="dxa"/>
          </w:tcPr>
          <w:p w:rsidR="00D06808" w:rsidRPr="000E4C8C" w:rsidRDefault="00D06808" w:rsidP="00526046">
            <w:pPr>
              <w:rPr>
                <w:rFonts w:cs="Arial"/>
                <w:b/>
              </w:rPr>
            </w:pPr>
            <w:r w:rsidRPr="000E4C8C">
              <w:rPr>
                <w:rFonts w:cs="Arial"/>
                <w:b/>
                <w:color w:val="000000"/>
              </w:rPr>
              <w:t>Baseline value</w:t>
            </w:r>
          </w:p>
        </w:tc>
        <w:tc>
          <w:tcPr>
            <w:tcW w:w="6379" w:type="dxa"/>
          </w:tcPr>
          <w:p w:rsidR="00D06808" w:rsidRPr="000758CD" w:rsidRDefault="00D06808" w:rsidP="00526046">
            <w:pPr>
              <w:rPr>
                <w:rFonts w:cs="Arial"/>
              </w:rPr>
            </w:pPr>
          </w:p>
        </w:tc>
      </w:tr>
      <w:tr w:rsidR="00D06808" w:rsidRPr="000758CD" w:rsidTr="00526046">
        <w:tc>
          <w:tcPr>
            <w:tcW w:w="2518" w:type="dxa"/>
          </w:tcPr>
          <w:p w:rsidR="00D06808" w:rsidRPr="000E4C8C" w:rsidRDefault="00D06808" w:rsidP="00526046">
            <w:pPr>
              <w:rPr>
                <w:rFonts w:cs="Arial"/>
                <w:b/>
              </w:rPr>
            </w:pPr>
            <w:r w:rsidRPr="000E4C8C">
              <w:rPr>
                <w:rFonts w:cs="Arial"/>
                <w:b/>
                <w:color w:val="000000"/>
              </w:rPr>
              <w:t>Final indicator period/date (on which payment is based)</w:t>
            </w:r>
          </w:p>
        </w:tc>
        <w:tc>
          <w:tcPr>
            <w:tcW w:w="6379" w:type="dxa"/>
          </w:tcPr>
          <w:p w:rsidR="00D06808" w:rsidRPr="000758CD" w:rsidRDefault="00D06808" w:rsidP="00526046">
            <w:pPr>
              <w:rPr>
                <w:rFonts w:cs="Arial"/>
              </w:rPr>
            </w:pPr>
            <w:r w:rsidRPr="000758CD">
              <w:rPr>
                <w:rFonts w:cs="Arial"/>
              </w:rPr>
              <w:t>Year 1 End of 2017/18</w:t>
            </w:r>
          </w:p>
          <w:p w:rsidR="00D06808" w:rsidRPr="000758CD" w:rsidRDefault="00D06808" w:rsidP="00526046">
            <w:pPr>
              <w:rPr>
                <w:rFonts w:cs="Arial"/>
              </w:rPr>
            </w:pPr>
            <w:r w:rsidRPr="000758CD">
              <w:rPr>
                <w:rFonts w:cs="Arial"/>
              </w:rPr>
              <w:t>Year 2 End of 2018/19</w:t>
            </w:r>
          </w:p>
        </w:tc>
      </w:tr>
      <w:tr w:rsidR="00D06808" w:rsidRPr="000758CD" w:rsidTr="00526046">
        <w:tc>
          <w:tcPr>
            <w:tcW w:w="2518" w:type="dxa"/>
          </w:tcPr>
          <w:p w:rsidR="00D06808" w:rsidRPr="000E4C8C" w:rsidRDefault="00D06808" w:rsidP="00526046">
            <w:pPr>
              <w:rPr>
                <w:rFonts w:cs="Arial"/>
                <w:b/>
              </w:rPr>
            </w:pPr>
            <w:r w:rsidRPr="000E4C8C">
              <w:rPr>
                <w:rFonts w:cs="Arial"/>
                <w:b/>
                <w:color w:val="000000"/>
              </w:rPr>
              <w:t>Final indicator value (payment threshold)</w:t>
            </w:r>
          </w:p>
        </w:tc>
        <w:tc>
          <w:tcPr>
            <w:tcW w:w="6379" w:type="dxa"/>
          </w:tcPr>
          <w:p w:rsidR="00D06808" w:rsidRPr="000758CD" w:rsidRDefault="00D06808" w:rsidP="00526046">
            <w:pPr>
              <w:rPr>
                <w:rFonts w:cs="Arial"/>
              </w:rPr>
            </w:pPr>
            <w:r w:rsidRPr="000758CD">
              <w:rPr>
                <w:rFonts w:cs="Arial"/>
              </w:rPr>
              <w:t>Year 1 (17/18):</w:t>
            </w:r>
          </w:p>
          <w:p w:rsidR="00D06808" w:rsidRPr="000758CD" w:rsidRDefault="00D06808" w:rsidP="00D06808">
            <w:pPr>
              <w:pStyle w:val="ListParagraph"/>
              <w:numPr>
                <w:ilvl w:val="0"/>
                <w:numId w:val="47"/>
              </w:numPr>
              <w:rPr>
                <w:rFonts w:cs="Arial"/>
              </w:rPr>
            </w:pPr>
            <w:r>
              <w:rPr>
                <w:rFonts w:eastAsia="HGSMinchoE" w:cs="Arial"/>
                <w:szCs w:val="24"/>
              </w:rPr>
              <w:t>2</w:t>
            </w:r>
            <w:r w:rsidRPr="000758CD">
              <w:rPr>
                <w:rFonts w:eastAsia="HGSMinchoE" w:cs="Arial"/>
                <w:szCs w:val="24"/>
              </w:rPr>
              <w:t xml:space="preserve">.5% point increase discharge to usual place of residence: </w:t>
            </w:r>
            <w:r>
              <w:rPr>
                <w:rFonts w:eastAsia="HGSMinchoE" w:cs="Arial"/>
                <w:szCs w:val="24"/>
              </w:rPr>
              <w:t xml:space="preserve">across </w:t>
            </w:r>
            <w:r w:rsidRPr="000758CD">
              <w:rPr>
                <w:rFonts w:eastAsia="HGSMinchoE" w:cs="Arial"/>
                <w:szCs w:val="24"/>
              </w:rPr>
              <w:t xml:space="preserve"> </w:t>
            </w:r>
            <w:r>
              <w:rPr>
                <w:rFonts w:eastAsia="HGSMinchoE" w:cs="Arial"/>
                <w:szCs w:val="24"/>
              </w:rPr>
              <w:t xml:space="preserve">Q3 and </w:t>
            </w:r>
            <w:r w:rsidR="00526046">
              <w:rPr>
                <w:rFonts w:eastAsia="HGSMinchoE" w:cs="Arial"/>
                <w:szCs w:val="24"/>
              </w:rPr>
              <w:t>Q</w:t>
            </w:r>
            <w:r>
              <w:rPr>
                <w:rFonts w:eastAsia="HGSMinchoE" w:cs="Arial"/>
                <w:szCs w:val="24"/>
              </w:rPr>
              <w:t>4 2017/18 OR an increase to 47.5% across Q3 and 4 2017/18</w:t>
            </w:r>
          </w:p>
          <w:p w:rsidR="00D06808" w:rsidRPr="000758CD" w:rsidRDefault="00D06808" w:rsidP="00526046">
            <w:pPr>
              <w:ind w:firstLine="720"/>
              <w:rPr>
                <w:rFonts w:cs="Arial"/>
              </w:rPr>
            </w:pPr>
          </w:p>
          <w:p w:rsidR="00D06808" w:rsidRPr="000758CD" w:rsidRDefault="00D06808" w:rsidP="00526046">
            <w:pPr>
              <w:rPr>
                <w:rFonts w:cs="Arial"/>
              </w:rPr>
            </w:pPr>
            <w:r w:rsidRPr="000758CD">
              <w:rPr>
                <w:rFonts w:cs="Arial"/>
              </w:rPr>
              <w:t xml:space="preserve">Year 2 (18/19) </w:t>
            </w:r>
          </w:p>
          <w:p w:rsidR="00D06808" w:rsidRPr="00CC12C1" w:rsidRDefault="00D06808" w:rsidP="00D06808">
            <w:pPr>
              <w:pStyle w:val="ListParagraph"/>
              <w:numPr>
                <w:ilvl w:val="0"/>
                <w:numId w:val="47"/>
              </w:numPr>
              <w:rPr>
                <w:rFonts w:cs="Arial"/>
              </w:rPr>
            </w:pPr>
            <w:r>
              <w:rPr>
                <w:rFonts w:eastAsia="HGSMinchoE" w:cs="Arial"/>
                <w:szCs w:val="24"/>
              </w:rPr>
              <w:t>7.5</w:t>
            </w:r>
            <w:r w:rsidRPr="000758CD">
              <w:rPr>
                <w:rFonts w:eastAsia="HGSMinchoE" w:cs="Arial"/>
                <w:szCs w:val="24"/>
              </w:rPr>
              <w:t>% point increase in discharge to usual place of residence from baseline</w:t>
            </w:r>
            <w:r>
              <w:rPr>
                <w:rFonts w:eastAsia="HGSMinchoE" w:cs="Arial"/>
                <w:szCs w:val="24"/>
              </w:rPr>
              <w:t xml:space="preserve"> 2017/18 baseline</w:t>
            </w:r>
            <w:r w:rsidRPr="000758CD">
              <w:rPr>
                <w:rFonts w:eastAsia="HGSMinchoE" w:cs="Arial"/>
                <w:szCs w:val="24"/>
              </w:rPr>
              <w:t xml:space="preserve"> to end of </w:t>
            </w:r>
            <w:r>
              <w:rPr>
                <w:rFonts w:eastAsia="HGSMinchoE" w:cs="Arial"/>
                <w:szCs w:val="24"/>
              </w:rPr>
              <w:t>18/19</w:t>
            </w:r>
            <w:r w:rsidRPr="000758CD">
              <w:rPr>
                <w:rFonts w:eastAsia="HGSMinchoE" w:cs="Arial"/>
                <w:szCs w:val="24"/>
              </w:rPr>
              <w:t xml:space="preserve"> </w:t>
            </w:r>
            <w:r>
              <w:rPr>
                <w:rFonts w:eastAsia="HGSMinchoE" w:cs="Arial"/>
                <w:szCs w:val="24"/>
              </w:rPr>
              <w:t xml:space="preserve">18 OR an increase from baseline </w:t>
            </w:r>
            <w:r w:rsidRPr="00241174">
              <w:rPr>
                <w:rFonts w:eastAsia="HGSMinchoE" w:cs="Arial"/>
                <w:szCs w:val="24"/>
              </w:rPr>
              <w:t xml:space="preserve">to 50% </w:t>
            </w:r>
            <w:r>
              <w:rPr>
                <w:rFonts w:eastAsia="HGSMinchoE" w:cs="Arial"/>
                <w:szCs w:val="24"/>
              </w:rPr>
              <w:t>across quarters in 2018/19</w:t>
            </w:r>
          </w:p>
          <w:p w:rsidR="00D06808" w:rsidRDefault="00D06808" w:rsidP="00526046">
            <w:pPr>
              <w:rPr>
                <w:rFonts w:cs="Arial"/>
              </w:rPr>
            </w:pPr>
          </w:p>
          <w:p w:rsidR="00D06808" w:rsidRPr="00BE236F" w:rsidRDefault="00D06808" w:rsidP="00526046">
            <w:pPr>
              <w:rPr>
                <w:rFonts w:eastAsia="HGSMinchoE" w:cs="Arial"/>
                <w:bCs w:val="0"/>
                <w:szCs w:val="24"/>
              </w:rPr>
            </w:pPr>
            <w:r>
              <w:rPr>
                <w:rFonts w:cs="Arial"/>
              </w:rPr>
              <w:t>T</w:t>
            </w:r>
            <w:r w:rsidRPr="007452A6">
              <w:rPr>
                <w:rFonts w:cs="Arial"/>
              </w:rPr>
              <w:t xml:space="preserve">hresholds for year 2 </w:t>
            </w:r>
            <w:r>
              <w:rPr>
                <w:rFonts w:cs="Arial"/>
              </w:rPr>
              <w:t xml:space="preserve">will be reviewed </w:t>
            </w:r>
            <w:r w:rsidRPr="007452A6">
              <w:rPr>
                <w:rFonts w:cs="Arial"/>
              </w:rPr>
              <w:t>in line with</w:t>
            </w:r>
            <w:r>
              <w:rPr>
                <w:rFonts w:cs="Arial"/>
              </w:rPr>
              <w:t xml:space="preserve"> </w:t>
            </w:r>
            <w:r w:rsidRPr="007452A6">
              <w:rPr>
                <w:rFonts w:cs="Arial"/>
              </w:rPr>
              <w:t>evidence</w:t>
            </w:r>
            <w:r>
              <w:rPr>
                <w:rFonts w:cs="Arial"/>
              </w:rPr>
              <w:t xml:space="preserve"> from 17/18</w:t>
            </w:r>
            <w:r w:rsidRPr="007452A6">
              <w:rPr>
                <w:rFonts w:cs="Arial"/>
              </w:rPr>
              <w:t>.</w:t>
            </w:r>
          </w:p>
          <w:p w:rsidR="00D06808" w:rsidRPr="000758CD" w:rsidRDefault="00D06808" w:rsidP="00526046">
            <w:pPr>
              <w:pStyle w:val="ListParagraph"/>
              <w:rPr>
                <w:rFonts w:cs="Arial"/>
              </w:rPr>
            </w:pPr>
          </w:p>
        </w:tc>
      </w:tr>
      <w:tr w:rsidR="00D06808" w:rsidRPr="000758CD" w:rsidTr="00526046">
        <w:tc>
          <w:tcPr>
            <w:tcW w:w="2518" w:type="dxa"/>
          </w:tcPr>
          <w:p w:rsidR="00D06808" w:rsidRPr="000E4C8C" w:rsidRDefault="00D06808" w:rsidP="00526046">
            <w:pPr>
              <w:rPr>
                <w:rFonts w:cs="Arial"/>
                <w:b/>
              </w:rPr>
            </w:pPr>
            <w:r w:rsidRPr="000E4C8C">
              <w:rPr>
                <w:rFonts w:cs="Arial"/>
                <w:b/>
                <w:color w:val="000000"/>
              </w:rPr>
              <w:t>Final indicator reporting date</w:t>
            </w:r>
          </w:p>
        </w:tc>
        <w:tc>
          <w:tcPr>
            <w:tcW w:w="6379" w:type="dxa"/>
          </w:tcPr>
          <w:p w:rsidR="00D06808" w:rsidRPr="000758CD" w:rsidRDefault="00D06808" w:rsidP="00526046">
            <w:pPr>
              <w:rPr>
                <w:rFonts w:cs="Arial"/>
              </w:rPr>
            </w:pPr>
            <w:r w:rsidRPr="000758CD">
              <w:rPr>
                <w:rFonts w:cs="Arial"/>
              </w:rPr>
              <w:t>Discharge to usual place of residence:</w:t>
            </w:r>
          </w:p>
          <w:p w:rsidR="00D06808" w:rsidRPr="000758CD" w:rsidRDefault="00D06808" w:rsidP="00526046">
            <w:pPr>
              <w:rPr>
                <w:rFonts w:cs="Arial"/>
              </w:rPr>
            </w:pPr>
            <w:r w:rsidRPr="000758CD">
              <w:rPr>
                <w:rFonts w:cs="Arial"/>
              </w:rPr>
              <w:t>Year 1: End of Q4 2017/18</w:t>
            </w:r>
          </w:p>
          <w:p w:rsidR="00D06808" w:rsidRPr="000758CD" w:rsidRDefault="00D06808" w:rsidP="000E4C8C">
            <w:pPr>
              <w:rPr>
                <w:rFonts w:cs="Arial"/>
              </w:rPr>
            </w:pPr>
            <w:r w:rsidRPr="000758CD">
              <w:rPr>
                <w:rFonts w:cs="Arial"/>
              </w:rPr>
              <w:t>Year 2: End of Q4 2018/19</w:t>
            </w:r>
          </w:p>
        </w:tc>
      </w:tr>
      <w:tr w:rsidR="00D06808" w:rsidRPr="000758CD" w:rsidTr="00526046">
        <w:tc>
          <w:tcPr>
            <w:tcW w:w="2518" w:type="dxa"/>
          </w:tcPr>
          <w:p w:rsidR="00D06808" w:rsidRPr="000E4C8C" w:rsidRDefault="00D06808" w:rsidP="00526046">
            <w:pPr>
              <w:rPr>
                <w:rFonts w:cs="Arial"/>
                <w:b/>
              </w:rPr>
            </w:pPr>
            <w:r w:rsidRPr="000E4C8C">
              <w:rPr>
                <w:rFonts w:cs="Arial"/>
                <w:b/>
                <w:color w:val="000000"/>
              </w:rPr>
              <w:t>Are there rules for any agreed in-year milestones that result in payment?</w:t>
            </w:r>
          </w:p>
        </w:tc>
        <w:tc>
          <w:tcPr>
            <w:tcW w:w="6379" w:type="dxa"/>
          </w:tcPr>
          <w:p w:rsidR="00D06808" w:rsidRPr="000758CD" w:rsidRDefault="00D06808" w:rsidP="00526046">
            <w:pPr>
              <w:rPr>
                <w:rFonts w:cs="Arial"/>
                <w:color w:val="FF0000"/>
              </w:rPr>
            </w:pPr>
            <w:r w:rsidRPr="000758CD">
              <w:rPr>
                <w:rFonts w:cs="Arial"/>
              </w:rPr>
              <w:t>Yes. See below.</w:t>
            </w:r>
          </w:p>
        </w:tc>
      </w:tr>
      <w:tr w:rsidR="00D06808" w:rsidRPr="009D7F8B" w:rsidTr="00526046">
        <w:tc>
          <w:tcPr>
            <w:tcW w:w="2518" w:type="dxa"/>
          </w:tcPr>
          <w:p w:rsidR="00D06808" w:rsidRPr="000E4C8C" w:rsidRDefault="00D06808" w:rsidP="00526046">
            <w:pPr>
              <w:rPr>
                <w:rFonts w:cs="Arial"/>
                <w:b/>
                <w:bCs w:val="0"/>
                <w:color w:val="000000"/>
              </w:rPr>
            </w:pPr>
            <w:r w:rsidRPr="000E4C8C">
              <w:rPr>
                <w:rFonts w:cs="Arial"/>
                <w:b/>
                <w:color w:val="000000"/>
              </w:rPr>
              <w:t>Are there any rules for partial achievement of the indicator at the final indicator period/date?</w:t>
            </w:r>
          </w:p>
        </w:tc>
        <w:tc>
          <w:tcPr>
            <w:tcW w:w="6379" w:type="dxa"/>
          </w:tcPr>
          <w:p w:rsidR="00D06808" w:rsidRPr="00A57E29" w:rsidRDefault="00D06808" w:rsidP="00526046">
            <w:pPr>
              <w:rPr>
                <w:rFonts w:eastAsia="Calibri" w:cs="Arial"/>
                <w:bCs w:val="0"/>
                <w:color w:val="FF0000"/>
              </w:rPr>
            </w:pPr>
            <w:r w:rsidRPr="000758CD">
              <w:rPr>
                <w:rFonts w:cs="Arial"/>
              </w:rPr>
              <w:t>Yes. See below.</w:t>
            </w:r>
          </w:p>
        </w:tc>
      </w:tr>
    </w:tbl>
    <w:p w:rsidR="00D06808" w:rsidRPr="009D7F8B" w:rsidRDefault="00D06808" w:rsidP="00D06808">
      <w:pPr>
        <w:rPr>
          <w:rFonts w:cs="Arial"/>
          <w:b/>
          <w:bCs w:val="0"/>
          <w:szCs w:val="24"/>
        </w:rPr>
      </w:pPr>
    </w:p>
    <w:p w:rsidR="00D06808" w:rsidRDefault="00D06808" w:rsidP="00D06808">
      <w:pPr>
        <w:rPr>
          <w:rFonts w:cs="Arial"/>
          <w:b/>
          <w:bCs w:val="0"/>
          <w:color w:val="0070C0"/>
          <w:szCs w:val="24"/>
        </w:rPr>
      </w:pPr>
      <w:r>
        <w:rPr>
          <w:rFonts w:cs="Arial"/>
          <w:b/>
          <w:color w:val="0070C0"/>
          <w:szCs w:val="24"/>
        </w:rPr>
        <w:br w:type="page"/>
      </w:r>
    </w:p>
    <w:p w:rsidR="00D06808" w:rsidRDefault="00D06808" w:rsidP="00D06808">
      <w:pPr>
        <w:rPr>
          <w:rFonts w:cs="Arial"/>
          <w:b/>
          <w:bCs w:val="0"/>
          <w:color w:val="0070C0"/>
          <w:szCs w:val="24"/>
        </w:rPr>
      </w:pPr>
    </w:p>
    <w:p w:rsidR="00D06808" w:rsidRPr="009D7F8B" w:rsidRDefault="00D06808" w:rsidP="000D4728">
      <w:pPr>
        <w:pStyle w:val="Heading4"/>
        <w:rPr>
          <w:bCs/>
        </w:rPr>
      </w:pPr>
      <w:r w:rsidRPr="009D7F8B">
        <w:t>Milestones</w:t>
      </w:r>
      <w:r>
        <w:t xml:space="preserve"> for indicator 8a – Acute Trusts</w:t>
      </w:r>
    </w:p>
    <w:p w:rsidR="00D06808" w:rsidRPr="009D7F8B" w:rsidRDefault="00D06808" w:rsidP="00D06808">
      <w:pPr>
        <w:rPr>
          <w:rFonts w:cs="Arial"/>
          <w:b/>
          <w:bCs w:val="0"/>
          <w:color w:val="000000"/>
          <w:szCs w:val="24"/>
          <w:lang w:eastAsia="en-GB"/>
        </w:rPr>
      </w:pPr>
    </w:p>
    <w:tbl>
      <w:tblPr>
        <w:tblW w:w="893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37"/>
        <w:gridCol w:w="4591"/>
        <w:gridCol w:w="1337"/>
        <w:gridCol w:w="1466"/>
      </w:tblGrid>
      <w:tr w:rsidR="00D06808" w:rsidRPr="009D7F8B" w:rsidTr="0076510E">
        <w:trPr>
          <w:cantSplit/>
          <w:trHeight w:val="722"/>
          <w:tblHeader/>
        </w:trPr>
        <w:tc>
          <w:tcPr>
            <w:tcW w:w="1418" w:type="dxa"/>
            <w:shd w:val="clear" w:color="auto" w:fill="0070C0"/>
            <w:noWrap/>
          </w:tcPr>
          <w:p w:rsidR="00D06808" w:rsidRPr="009D7F8B" w:rsidRDefault="00D06808" w:rsidP="00526046">
            <w:pPr>
              <w:rPr>
                <w:rFonts w:cs="Arial"/>
                <w:b/>
                <w:bCs w:val="0"/>
                <w:color w:val="FFFFFF" w:themeColor="background1"/>
                <w:szCs w:val="24"/>
                <w:lang w:eastAsia="en-GB"/>
              </w:rPr>
            </w:pPr>
            <w:r w:rsidRPr="009D7F8B">
              <w:rPr>
                <w:rFonts w:cs="Arial"/>
                <w:b/>
                <w:color w:val="FFFFFF" w:themeColor="background1"/>
                <w:szCs w:val="24"/>
                <w:lang w:eastAsia="en-GB"/>
              </w:rPr>
              <w:t>Date/period milestone relates to</w:t>
            </w:r>
          </w:p>
        </w:tc>
        <w:tc>
          <w:tcPr>
            <w:tcW w:w="4704" w:type="dxa"/>
            <w:shd w:val="clear" w:color="auto" w:fill="0070C0"/>
          </w:tcPr>
          <w:p w:rsidR="00D06808" w:rsidRPr="009D7F8B" w:rsidRDefault="00D06808" w:rsidP="00526046">
            <w:pPr>
              <w:rPr>
                <w:rFonts w:cs="Arial"/>
                <w:b/>
                <w:bCs w:val="0"/>
                <w:color w:val="FFFFFF" w:themeColor="background1"/>
                <w:szCs w:val="24"/>
                <w:lang w:eastAsia="en-GB"/>
              </w:rPr>
            </w:pPr>
            <w:r w:rsidRPr="009D7F8B">
              <w:rPr>
                <w:rFonts w:cs="Arial"/>
                <w:b/>
                <w:color w:val="FFFFFF" w:themeColor="background1"/>
                <w:szCs w:val="24"/>
                <w:lang w:eastAsia="en-GB"/>
              </w:rPr>
              <w:t>Rules for achievement of milestones (including evidence to be supplied to commissioner)</w:t>
            </w:r>
          </w:p>
        </w:tc>
        <w:tc>
          <w:tcPr>
            <w:tcW w:w="1337" w:type="dxa"/>
            <w:shd w:val="clear" w:color="auto" w:fill="0070C0"/>
          </w:tcPr>
          <w:p w:rsidR="00D06808" w:rsidRPr="009D7F8B" w:rsidRDefault="00D06808" w:rsidP="00526046">
            <w:pPr>
              <w:rPr>
                <w:rFonts w:cs="Arial"/>
                <w:b/>
                <w:bCs w:val="0"/>
                <w:color w:val="FFFFFF" w:themeColor="background1"/>
                <w:szCs w:val="24"/>
                <w:lang w:eastAsia="en-GB"/>
              </w:rPr>
            </w:pPr>
            <w:r w:rsidRPr="009D7F8B">
              <w:rPr>
                <w:rFonts w:cs="Arial"/>
                <w:b/>
                <w:color w:val="FFFFFF" w:themeColor="background1"/>
                <w:szCs w:val="24"/>
                <w:lang w:eastAsia="en-GB"/>
              </w:rPr>
              <w:t>Date milestone to be reported</w:t>
            </w:r>
          </w:p>
        </w:tc>
        <w:tc>
          <w:tcPr>
            <w:tcW w:w="1472" w:type="dxa"/>
            <w:shd w:val="clear" w:color="auto" w:fill="0070C0"/>
          </w:tcPr>
          <w:p w:rsidR="00D06808" w:rsidRPr="009D7F8B" w:rsidRDefault="00D06808" w:rsidP="00526046">
            <w:pPr>
              <w:rPr>
                <w:rFonts w:cs="Arial"/>
                <w:b/>
                <w:bCs w:val="0"/>
                <w:color w:val="FFFFFF" w:themeColor="background1"/>
                <w:szCs w:val="24"/>
                <w:lang w:eastAsia="en-GB"/>
              </w:rPr>
            </w:pPr>
            <w:r w:rsidRPr="009D7F8B">
              <w:rPr>
                <w:rFonts w:cs="Arial"/>
                <w:b/>
                <w:color w:val="FFFFFF" w:themeColor="background1"/>
                <w:szCs w:val="24"/>
                <w:lang w:eastAsia="en-GB"/>
              </w:rPr>
              <w:t>Milestone weighting (% of CQUIN scheme available)</w:t>
            </w:r>
          </w:p>
        </w:tc>
      </w:tr>
      <w:tr w:rsidR="00D06808" w:rsidRPr="009D7F8B" w:rsidTr="0076510E">
        <w:trPr>
          <w:cantSplit/>
          <w:trHeight w:val="5231"/>
        </w:trPr>
        <w:tc>
          <w:tcPr>
            <w:tcW w:w="1418" w:type="dxa"/>
          </w:tcPr>
          <w:p w:rsidR="00D06808" w:rsidRPr="000E4C8C" w:rsidRDefault="00D41638" w:rsidP="00526046">
            <w:pPr>
              <w:rPr>
                <w:rFonts w:cs="Arial"/>
                <w:b/>
                <w:szCs w:val="24"/>
              </w:rPr>
            </w:pPr>
            <w:r>
              <w:rPr>
                <w:rFonts w:cs="Arial"/>
                <w:b/>
                <w:szCs w:val="24"/>
              </w:rPr>
              <w:t xml:space="preserve">Q2 </w:t>
            </w:r>
            <w:r w:rsidR="00D06808" w:rsidRPr="000E4C8C">
              <w:rPr>
                <w:rFonts w:cs="Arial"/>
                <w:b/>
                <w:szCs w:val="24"/>
              </w:rPr>
              <w:t xml:space="preserve">Year 1  </w:t>
            </w:r>
          </w:p>
          <w:p w:rsidR="00725FEE" w:rsidRPr="000E4C8C" w:rsidRDefault="00D06808" w:rsidP="00526046">
            <w:pPr>
              <w:rPr>
                <w:rFonts w:cs="Arial"/>
                <w:b/>
                <w:szCs w:val="24"/>
              </w:rPr>
            </w:pPr>
            <w:r w:rsidRPr="000E4C8C">
              <w:rPr>
                <w:rFonts w:cs="Arial"/>
                <w:b/>
                <w:szCs w:val="24"/>
              </w:rPr>
              <w:t>Part a)</w:t>
            </w:r>
          </w:p>
        </w:tc>
        <w:tc>
          <w:tcPr>
            <w:tcW w:w="4704" w:type="dxa"/>
          </w:tcPr>
          <w:p w:rsidR="00D06808" w:rsidRPr="00526046" w:rsidRDefault="0076510E" w:rsidP="0076510E">
            <w:proofErr w:type="spellStart"/>
            <w:r>
              <w:rPr>
                <w:rFonts w:cs="Arial"/>
                <w:szCs w:val="24"/>
              </w:rPr>
              <w:t>i</w:t>
            </w:r>
            <w:proofErr w:type="spellEnd"/>
            <w:r>
              <w:rPr>
                <w:rFonts w:cs="Arial"/>
                <w:szCs w:val="24"/>
              </w:rPr>
              <w:t xml:space="preserve">) </w:t>
            </w:r>
            <w:r w:rsidR="00D06808" w:rsidRPr="0076510E">
              <w:rPr>
                <w:rFonts w:cs="Arial"/>
                <w:szCs w:val="24"/>
              </w:rPr>
              <w:t>Map and streamline existing discharge pathways across acute, community and NHS-care home providers, and roll-out protocols in partnership across local whole-systems.</w:t>
            </w:r>
          </w:p>
          <w:p w:rsidR="00526046" w:rsidRDefault="00526046" w:rsidP="00526046">
            <w:pPr>
              <w:pStyle w:val="ListParagraph"/>
            </w:pPr>
          </w:p>
          <w:p w:rsidR="00D06808" w:rsidRPr="0076510E" w:rsidRDefault="0076510E" w:rsidP="0076510E">
            <w:pPr>
              <w:rPr>
                <w:rFonts w:cs="Arial"/>
                <w:szCs w:val="24"/>
              </w:rPr>
            </w:pPr>
            <w:r>
              <w:rPr>
                <w:rFonts w:cs="Arial"/>
                <w:szCs w:val="24"/>
              </w:rPr>
              <w:t xml:space="preserve">ii) </w:t>
            </w:r>
            <w:r w:rsidR="00D06808" w:rsidRPr="0076510E">
              <w:rPr>
                <w:rFonts w:cs="Arial"/>
                <w:szCs w:val="24"/>
              </w:rPr>
              <w:t xml:space="preserve">Develop and agree with commissioner a plan, baseline and trajectories which reflect </w:t>
            </w:r>
            <w:r w:rsidR="00CE1D8A">
              <w:rPr>
                <w:rFonts w:cs="Arial"/>
                <w:szCs w:val="24"/>
              </w:rPr>
              <w:t xml:space="preserve">expected </w:t>
            </w:r>
            <w:r w:rsidR="00D06808" w:rsidRPr="0076510E">
              <w:rPr>
                <w:rFonts w:cs="Arial"/>
                <w:szCs w:val="24"/>
              </w:rPr>
              <w:t>impact of implementation of local initiatives to deliver the part b indicator for year 1 and year 2</w:t>
            </w:r>
            <w:r w:rsidR="00CE1D8A">
              <w:rPr>
                <w:rFonts w:cs="Arial"/>
                <w:szCs w:val="24"/>
              </w:rPr>
              <w:t>.</w:t>
            </w:r>
            <w:r w:rsidR="00D06808" w:rsidRPr="0076510E">
              <w:rPr>
                <w:rFonts w:cs="Arial"/>
                <w:szCs w:val="24"/>
              </w:rPr>
              <w:t xml:space="preserve"> As part of this agree what proportion of the part b indicator for each year will be delivered by the acute provider and what proportion will be delivered by the community provider. Achievement of part b will require collaboration between acute and community providers.</w:t>
            </w:r>
          </w:p>
        </w:tc>
        <w:tc>
          <w:tcPr>
            <w:tcW w:w="1337" w:type="dxa"/>
          </w:tcPr>
          <w:p w:rsidR="00D06808" w:rsidRPr="00B90B3E" w:rsidRDefault="00D06808" w:rsidP="00526046">
            <w:pPr>
              <w:rPr>
                <w:rFonts w:cs="Arial"/>
                <w:bCs w:val="0"/>
                <w:szCs w:val="24"/>
              </w:rPr>
            </w:pPr>
            <w:r w:rsidRPr="00B90B3E">
              <w:rPr>
                <w:rFonts w:cs="Arial"/>
                <w:szCs w:val="24"/>
              </w:rPr>
              <w:t>End of Q</w:t>
            </w:r>
            <w:r>
              <w:rPr>
                <w:rFonts w:cs="Arial"/>
                <w:szCs w:val="24"/>
              </w:rPr>
              <w:t>2</w:t>
            </w:r>
            <w:r w:rsidRPr="00B90B3E">
              <w:rPr>
                <w:rFonts w:cs="Arial"/>
                <w:szCs w:val="24"/>
              </w:rPr>
              <w:t xml:space="preserve"> 2017/18</w:t>
            </w:r>
          </w:p>
        </w:tc>
        <w:tc>
          <w:tcPr>
            <w:tcW w:w="1472" w:type="dxa"/>
          </w:tcPr>
          <w:p w:rsidR="00D06808" w:rsidRPr="002C1030" w:rsidRDefault="00D06808" w:rsidP="00526046">
            <w:pPr>
              <w:rPr>
                <w:rFonts w:cs="Arial"/>
                <w:bCs w:val="0"/>
                <w:szCs w:val="24"/>
              </w:rPr>
            </w:pPr>
            <w:r>
              <w:rPr>
                <w:rFonts w:cs="Arial"/>
                <w:szCs w:val="24"/>
              </w:rPr>
              <w:t>40% of 10</w:t>
            </w:r>
            <w:r w:rsidRPr="00DA4C5C">
              <w:rPr>
                <w:rFonts w:cs="Arial"/>
                <w:szCs w:val="24"/>
              </w:rPr>
              <w:t>0%</w:t>
            </w:r>
            <w:r>
              <w:rPr>
                <w:rFonts w:cs="Arial"/>
                <w:szCs w:val="24"/>
              </w:rPr>
              <w:t xml:space="preserve"> in Year 1</w:t>
            </w:r>
          </w:p>
        </w:tc>
      </w:tr>
      <w:tr w:rsidR="00D06808" w:rsidRPr="009D7F8B" w:rsidTr="0076510E">
        <w:trPr>
          <w:cantSplit/>
          <w:trHeight w:val="2715"/>
        </w:trPr>
        <w:tc>
          <w:tcPr>
            <w:tcW w:w="1418" w:type="dxa"/>
          </w:tcPr>
          <w:p w:rsidR="00D06808" w:rsidRPr="000E4C8C" w:rsidRDefault="00D41638" w:rsidP="00526046">
            <w:pPr>
              <w:rPr>
                <w:rFonts w:cs="Arial"/>
                <w:b/>
                <w:szCs w:val="24"/>
              </w:rPr>
            </w:pPr>
            <w:r>
              <w:rPr>
                <w:rFonts w:cs="Arial"/>
                <w:b/>
                <w:szCs w:val="24"/>
              </w:rPr>
              <w:t xml:space="preserve">Q1 </w:t>
            </w:r>
            <w:r w:rsidR="00D06808" w:rsidRPr="000E4C8C">
              <w:rPr>
                <w:rFonts w:cs="Arial"/>
                <w:b/>
                <w:szCs w:val="24"/>
              </w:rPr>
              <w:t>Year 1</w:t>
            </w:r>
          </w:p>
          <w:p w:rsidR="00D06808" w:rsidRDefault="00D06808" w:rsidP="00526046">
            <w:pPr>
              <w:rPr>
                <w:rFonts w:cs="Arial"/>
                <w:b/>
                <w:szCs w:val="24"/>
              </w:rPr>
            </w:pPr>
            <w:r w:rsidRPr="000E4C8C">
              <w:rPr>
                <w:rFonts w:cs="Arial"/>
                <w:b/>
                <w:szCs w:val="24"/>
              </w:rPr>
              <w:t>Part b)</w:t>
            </w:r>
          </w:p>
          <w:p w:rsidR="00D41638" w:rsidRDefault="00D41638" w:rsidP="00526046">
            <w:pPr>
              <w:rPr>
                <w:rFonts w:cs="Arial"/>
                <w:b/>
                <w:szCs w:val="24"/>
              </w:rPr>
            </w:pPr>
          </w:p>
          <w:p w:rsidR="00D41638" w:rsidRDefault="00D41638" w:rsidP="00526046">
            <w:pPr>
              <w:rPr>
                <w:rFonts w:cs="Arial"/>
                <w:b/>
                <w:szCs w:val="24"/>
              </w:rPr>
            </w:pPr>
          </w:p>
          <w:p w:rsidR="00D41638" w:rsidRDefault="00D41638" w:rsidP="00526046">
            <w:pPr>
              <w:rPr>
                <w:rFonts w:cs="Arial"/>
                <w:b/>
                <w:szCs w:val="24"/>
              </w:rPr>
            </w:pPr>
          </w:p>
          <w:p w:rsidR="00D41638" w:rsidRDefault="00D41638" w:rsidP="00526046">
            <w:pPr>
              <w:rPr>
                <w:rFonts w:cs="Arial"/>
                <w:b/>
                <w:szCs w:val="24"/>
              </w:rPr>
            </w:pPr>
          </w:p>
          <w:p w:rsidR="00D41638" w:rsidRDefault="00D41638" w:rsidP="00526046">
            <w:pPr>
              <w:rPr>
                <w:rFonts w:cs="Arial"/>
                <w:b/>
                <w:szCs w:val="24"/>
              </w:rPr>
            </w:pPr>
          </w:p>
          <w:p w:rsidR="00D41638" w:rsidRDefault="00D41638" w:rsidP="00526046">
            <w:pPr>
              <w:rPr>
                <w:rFonts w:cs="Arial"/>
                <w:b/>
                <w:szCs w:val="24"/>
              </w:rPr>
            </w:pPr>
          </w:p>
          <w:p w:rsidR="00D41638" w:rsidRPr="000E4C8C" w:rsidRDefault="00D41638" w:rsidP="00D41638">
            <w:pPr>
              <w:rPr>
                <w:rFonts w:cs="Arial"/>
                <w:b/>
                <w:szCs w:val="24"/>
              </w:rPr>
            </w:pPr>
            <w:r>
              <w:rPr>
                <w:rFonts w:cs="Arial"/>
                <w:b/>
                <w:szCs w:val="24"/>
              </w:rPr>
              <w:t xml:space="preserve">Q3 </w:t>
            </w:r>
            <w:r w:rsidRPr="000E4C8C">
              <w:rPr>
                <w:rFonts w:cs="Arial"/>
                <w:b/>
                <w:szCs w:val="24"/>
              </w:rPr>
              <w:t>Year 1</w:t>
            </w:r>
          </w:p>
          <w:p w:rsidR="00D41638" w:rsidRPr="000E4C8C" w:rsidRDefault="00D41638" w:rsidP="00D41638">
            <w:pPr>
              <w:rPr>
                <w:rFonts w:cs="Arial"/>
                <w:b/>
                <w:szCs w:val="24"/>
              </w:rPr>
            </w:pPr>
            <w:r w:rsidRPr="000E4C8C">
              <w:rPr>
                <w:rFonts w:cs="Arial"/>
                <w:b/>
                <w:szCs w:val="24"/>
              </w:rPr>
              <w:t>Part b)</w:t>
            </w:r>
          </w:p>
        </w:tc>
        <w:tc>
          <w:tcPr>
            <w:tcW w:w="4704" w:type="dxa"/>
          </w:tcPr>
          <w:p w:rsidR="00D06808" w:rsidRPr="0076510E" w:rsidRDefault="0076510E" w:rsidP="0076510E">
            <w:pPr>
              <w:rPr>
                <w:rFonts w:cs="Arial"/>
                <w:szCs w:val="24"/>
              </w:rPr>
            </w:pPr>
            <w:proofErr w:type="spellStart"/>
            <w:r>
              <w:rPr>
                <w:rFonts w:cs="Arial"/>
                <w:szCs w:val="24"/>
              </w:rPr>
              <w:t>i</w:t>
            </w:r>
            <w:proofErr w:type="spellEnd"/>
            <w:r>
              <w:rPr>
                <w:rFonts w:cs="Arial"/>
                <w:szCs w:val="24"/>
              </w:rPr>
              <w:t xml:space="preserve">) </w:t>
            </w:r>
            <w:r w:rsidRPr="0076510E">
              <w:rPr>
                <w:rFonts w:cs="Arial"/>
                <w:szCs w:val="24"/>
              </w:rPr>
              <w:t>Type 1 or 2 A&amp;E provider has demonstrable and credible planning in place to make the required preparations (e.g. by upgrading IT systems and training staff) so that the Emergency Care Data Set (ECDS) can be collected and returned from 1st October 2017.</w:t>
            </w:r>
            <w:r w:rsidR="00D06808" w:rsidRPr="0076510E">
              <w:rPr>
                <w:rFonts w:cs="Arial"/>
                <w:szCs w:val="24"/>
              </w:rPr>
              <w:t xml:space="preserve"> </w:t>
            </w:r>
          </w:p>
          <w:p w:rsidR="00D06808" w:rsidRDefault="00D06808" w:rsidP="00526046">
            <w:pPr>
              <w:pStyle w:val="ListParagraph"/>
              <w:rPr>
                <w:rFonts w:cs="Arial"/>
                <w:szCs w:val="24"/>
              </w:rPr>
            </w:pPr>
          </w:p>
          <w:p w:rsidR="00D06808" w:rsidRPr="0076510E" w:rsidRDefault="0076510E" w:rsidP="0076510E">
            <w:pPr>
              <w:rPr>
                <w:rFonts w:cs="Arial"/>
                <w:szCs w:val="24"/>
              </w:rPr>
            </w:pPr>
            <w:r>
              <w:rPr>
                <w:rFonts w:cs="Arial"/>
                <w:szCs w:val="24"/>
              </w:rPr>
              <w:t xml:space="preserve">ii) </w:t>
            </w:r>
            <w:r w:rsidRPr="0076510E">
              <w:rPr>
                <w:rFonts w:cs="Arial"/>
                <w:szCs w:val="24"/>
              </w:rPr>
              <w:t>Type 1 or 2 A&amp;E provider is returning data at least weekly AND 95% of patients have both a valid Chief Complaint and a Diagnosis (unless that patient is streamed to another service) so that 95% of patients have a diagnosis. Chief complaint should be any value from the ECDS Chief Complaint code set  (SNOMED CT). Diagnosis should be any value from the ECDS diagnosis code set (SNOMED CT).</w:t>
            </w:r>
          </w:p>
        </w:tc>
        <w:tc>
          <w:tcPr>
            <w:tcW w:w="1337" w:type="dxa"/>
          </w:tcPr>
          <w:p w:rsidR="00D06808" w:rsidRDefault="00D06808" w:rsidP="00526046">
            <w:pPr>
              <w:rPr>
                <w:rFonts w:cs="Arial"/>
                <w:szCs w:val="24"/>
              </w:rPr>
            </w:pPr>
            <w:r>
              <w:rPr>
                <w:rFonts w:cs="Arial"/>
                <w:szCs w:val="24"/>
              </w:rPr>
              <w:t xml:space="preserve">End of Quarter </w:t>
            </w:r>
            <w:r w:rsidR="00526046">
              <w:rPr>
                <w:rFonts w:cs="Arial"/>
                <w:szCs w:val="24"/>
              </w:rPr>
              <w:t>1</w:t>
            </w:r>
          </w:p>
          <w:p w:rsidR="00526046" w:rsidRDefault="00526046" w:rsidP="00526046">
            <w:pPr>
              <w:rPr>
                <w:rFonts w:cs="Arial"/>
                <w:szCs w:val="24"/>
              </w:rPr>
            </w:pPr>
          </w:p>
          <w:p w:rsidR="00526046" w:rsidRDefault="00526046" w:rsidP="00526046">
            <w:pPr>
              <w:rPr>
                <w:rFonts w:cs="Arial"/>
                <w:szCs w:val="24"/>
              </w:rPr>
            </w:pPr>
          </w:p>
          <w:p w:rsidR="00526046" w:rsidRDefault="00526046" w:rsidP="00526046">
            <w:pPr>
              <w:rPr>
                <w:rFonts w:cs="Arial"/>
                <w:szCs w:val="24"/>
              </w:rPr>
            </w:pPr>
          </w:p>
          <w:p w:rsidR="00526046" w:rsidRDefault="00526046" w:rsidP="00526046">
            <w:pPr>
              <w:rPr>
                <w:rFonts w:cs="Arial"/>
                <w:szCs w:val="24"/>
              </w:rPr>
            </w:pPr>
          </w:p>
          <w:p w:rsidR="0076510E" w:rsidRDefault="0076510E" w:rsidP="00526046">
            <w:pPr>
              <w:rPr>
                <w:rFonts w:cs="Arial"/>
                <w:szCs w:val="24"/>
              </w:rPr>
            </w:pPr>
          </w:p>
          <w:p w:rsidR="0076510E" w:rsidRDefault="0076510E" w:rsidP="00526046">
            <w:pPr>
              <w:rPr>
                <w:rFonts w:cs="Arial"/>
                <w:szCs w:val="24"/>
              </w:rPr>
            </w:pPr>
          </w:p>
          <w:p w:rsidR="00526046" w:rsidRPr="00B90B3E" w:rsidRDefault="00526046" w:rsidP="00526046">
            <w:pPr>
              <w:rPr>
                <w:rFonts w:cs="Arial"/>
                <w:bCs w:val="0"/>
                <w:szCs w:val="24"/>
              </w:rPr>
            </w:pPr>
            <w:r>
              <w:rPr>
                <w:rFonts w:cs="Arial"/>
                <w:szCs w:val="24"/>
              </w:rPr>
              <w:t>End of Quarter 3</w:t>
            </w:r>
          </w:p>
        </w:tc>
        <w:tc>
          <w:tcPr>
            <w:tcW w:w="1472" w:type="dxa"/>
          </w:tcPr>
          <w:p w:rsidR="00D06808" w:rsidRDefault="00526046" w:rsidP="00526046">
            <w:pPr>
              <w:rPr>
                <w:rFonts w:cs="Arial"/>
                <w:szCs w:val="24"/>
              </w:rPr>
            </w:pPr>
            <w:r>
              <w:rPr>
                <w:rFonts w:cs="Arial"/>
                <w:szCs w:val="24"/>
              </w:rPr>
              <w:t>15</w:t>
            </w:r>
            <w:r w:rsidR="00D06808">
              <w:rPr>
                <w:rFonts w:cs="Arial"/>
                <w:szCs w:val="24"/>
              </w:rPr>
              <w:t>% of 10</w:t>
            </w:r>
            <w:r w:rsidR="00D06808" w:rsidRPr="00DA4C5C">
              <w:rPr>
                <w:rFonts w:cs="Arial"/>
                <w:szCs w:val="24"/>
              </w:rPr>
              <w:t>0%</w:t>
            </w:r>
            <w:r w:rsidR="00D06808">
              <w:rPr>
                <w:rFonts w:cs="Arial"/>
                <w:szCs w:val="24"/>
              </w:rPr>
              <w:t xml:space="preserve"> in Year 1</w:t>
            </w:r>
          </w:p>
          <w:p w:rsidR="00A56E0A" w:rsidRDefault="00A56E0A" w:rsidP="00526046">
            <w:pPr>
              <w:rPr>
                <w:rFonts w:cs="Arial"/>
                <w:szCs w:val="24"/>
              </w:rPr>
            </w:pPr>
          </w:p>
          <w:p w:rsidR="00A56E0A" w:rsidRDefault="00A56E0A" w:rsidP="00526046">
            <w:pPr>
              <w:rPr>
                <w:rFonts w:cs="Arial"/>
                <w:szCs w:val="24"/>
              </w:rPr>
            </w:pPr>
          </w:p>
          <w:p w:rsidR="00A56E0A" w:rsidRDefault="00A56E0A" w:rsidP="00526046">
            <w:pPr>
              <w:rPr>
                <w:rFonts w:cs="Arial"/>
                <w:szCs w:val="24"/>
              </w:rPr>
            </w:pPr>
          </w:p>
          <w:p w:rsidR="0076510E" w:rsidRDefault="0076510E" w:rsidP="00526046">
            <w:pPr>
              <w:rPr>
                <w:rFonts w:cs="Arial"/>
                <w:szCs w:val="24"/>
              </w:rPr>
            </w:pPr>
          </w:p>
          <w:p w:rsidR="0076510E" w:rsidRDefault="0076510E" w:rsidP="00526046">
            <w:pPr>
              <w:rPr>
                <w:rFonts w:cs="Arial"/>
                <w:szCs w:val="24"/>
              </w:rPr>
            </w:pPr>
          </w:p>
          <w:p w:rsidR="00A56E0A" w:rsidRDefault="00A56E0A" w:rsidP="00526046">
            <w:pPr>
              <w:rPr>
                <w:rFonts w:cs="Arial"/>
                <w:szCs w:val="24"/>
              </w:rPr>
            </w:pPr>
            <w:r>
              <w:rPr>
                <w:rFonts w:cs="Arial"/>
                <w:szCs w:val="24"/>
              </w:rPr>
              <w:t>5% of 10</w:t>
            </w:r>
            <w:r w:rsidRPr="00DA4C5C">
              <w:rPr>
                <w:rFonts w:cs="Arial"/>
                <w:szCs w:val="24"/>
              </w:rPr>
              <w:t>0%</w:t>
            </w:r>
            <w:r>
              <w:rPr>
                <w:rFonts w:cs="Arial"/>
                <w:szCs w:val="24"/>
              </w:rPr>
              <w:t xml:space="preserve"> in Year 1</w:t>
            </w:r>
          </w:p>
          <w:p w:rsidR="00A56E0A" w:rsidRDefault="00A56E0A" w:rsidP="00526046">
            <w:pPr>
              <w:rPr>
                <w:rFonts w:cs="Arial"/>
                <w:bCs w:val="0"/>
                <w:szCs w:val="24"/>
              </w:rPr>
            </w:pPr>
          </w:p>
        </w:tc>
      </w:tr>
      <w:tr w:rsidR="008A2F58" w:rsidRPr="009D7F8B" w:rsidTr="0076510E">
        <w:trPr>
          <w:cantSplit/>
          <w:trHeight w:val="5231"/>
        </w:trPr>
        <w:tc>
          <w:tcPr>
            <w:tcW w:w="1418" w:type="dxa"/>
          </w:tcPr>
          <w:p w:rsidR="00725FEE" w:rsidRPr="000E4C8C" w:rsidRDefault="00725FEE" w:rsidP="00725FEE">
            <w:pPr>
              <w:rPr>
                <w:rFonts w:cs="Arial"/>
                <w:b/>
                <w:szCs w:val="24"/>
              </w:rPr>
            </w:pPr>
            <w:r>
              <w:rPr>
                <w:rFonts w:cs="Arial"/>
                <w:b/>
                <w:szCs w:val="24"/>
              </w:rPr>
              <w:lastRenderedPageBreak/>
              <w:t xml:space="preserve">Q1 </w:t>
            </w:r>
            <w:r w:rsidRPr="000E4C8C">
              <w:rPr>
                <w:rFonts w:cs="Arial"/>
                <w:b/>
                <w:szCs w:val="24"/>
              </w:rPr>
              <w:t>Year 2</w:t>
            </w:r>
          </w:p>
          <w:p w:rsidR="008A2F58" w:rsidRDefault="00725FEE" w:rsidP="00725FEE">
            <w:pPr>
              <w:rPr>
                <w:rFonts w:cs="Arial"/>
                <w:b/>
                <w:szCs w:val="24"/>
              </w:rPr>
            </w:pPr>
            <w:r w:rsidRPr="000E4C8C">
              <w:rPr>
                <w:rFonts w:cs="Arial"/>
                <w:b/>
                <w:szCs w:val="24"/>
              </w:rPr>
              <w:t>Part b)</w:t>
            </w:r>
          </w:p>
          <w:p w:rsidR="00725FEE" w:rsidRDefault="00725FEE" w:rsidP="00725FEE">
            <w:pPr>
              <w:rPr>
                <w:rFonts w:cs="Arial"/>
                <w:b/>
                <w:szCs w:val="24"/>
              </w:rPr>
            </w:pPr>
          </w:p>
          <w:p w:rsidR="00725FEE" w:rsidRDefault="00725FEE" w:rsidP="00725FEE">
            <w:pPr>
              <w:rPr>
                <w:rFonts w:cs="Arial"/>
                <w:b/>
                <w:szCs w:val="24"/>
              </w:rPr>
            </w:pPr>
          </w:p>
          <w:p w:rsidR="00725FEE" w:rsidRDefault="00725FEE" w:rsidP="00725FEE">
            <w:pPr>
              <w:rPr>
                <w:rFonts w:cs="Arial"/>
                <w:b/>
                <w:szCs w:val="24"/>
              </w:rPr>
            </w:pPr>
          </w:p>
          <w:p w:rsidR="00725FEE" w:rsidRDefault="00725FEE" w:rsidP="00725FEE">
            <w:pPr>
              <w:rPr>
                <w:rFonts w:cs="Arial"/>
                <w:b/>
                <w:szCs w:val="24"/>
              </w:rPr>
            </w:pPr>
          </w:p>
          <w:p w:rsidR="00725FEE" w:rsidRDefault="00725FEE" w:rsidP="00725FEE">
            <w:pPr>
              <w:rPr>
                <w:rFonts w:cs="Arial"/>
                <w:b/>
                <w:szCs w:val="24"/>
              </w:rPr>
            </w:pPr>
          </w:p>
          <w:p w:rsidR="00725FEE" w:rsidRDefault="00725FEE" w:rsidP="00725FEE">
            <w:pPr>
              <w:rPr>
                <w:rFonts w:cs="Arial"/>
                <w:b/>
                <w:szCs w:val="24"/>
              </w:rPr>
            </w:pPr>
          </w:p>
          <w:p w:rsidR="00725FEE" w:rsidRDefault="00725FEE" w:rsidP="00725FEE">
            <w:pPr>
              <w:rPr>
                <w:rFonts w:cs="Arial"/>
                <w:b/>
                <w:szCs w:val="24"/>
              </w:rPr>
            </w:pPr>
          </w:p>
          <w:p w:rsidR="00725FEE" w:rsidRDefault="00725FEE" w:rsidP="00725FEE">
            <w:pPr>
              <w:rPr>
                <w:rFonts w:cs="Arial"/>
                <w:b/>
                <w:szCs w:val="24"/>
              </w:rPr>
            </w:pPr>
          </w:p>
          <w:p w:rsidR="00725FEE" w:rsidRPr="000E4C8C" w:rsidRDefault="00725FEE" w:rsidP="00725FEE">
            <w:pPr>
              <w:rPr>
                <w:rFonts w:cs="Arial"/>
                <w:b/>
                <w:szCs w:val="24"/>
              </w:rPr>
            </w:pPr>
            <w:r>
              <w:rPr>
                <w:rFonts w:cs="Arial"/>
                <w:b/>
                <w:szCs w:val="24"/>
              </w:rPr>
              <w:t xml:space="preserve">Q1 </w:t>
            </w:r>
            <w:r w:rsidRPr="000E4C8C">
              <w:rPr>
                <w:rFonts w:cs="Arial"/>
                <w:b/>
                <w:szCs w:val="24"/>
              </w:rPr>
              <w:t>Year 2</w:t>
            </w:r>
          </w:p>
          <w:p w:rsidR="00725FEE" w:rsidRDefault="00725FEE" w:rsidP="00725FEE">
            <w:pPr>
              <w:rPr>
                <w:rFonts w:cs="Arial"/>
                <w:b/>
                <w:szCs w:val="24"/>
              </w:rPr>
            </w:pPr>
            <w:r w:rsidRPr="000E4C8C">
              <w:rPr>
                <w:rFonts w:cs="Arial"/>
                <w:b/>
                <w:szCs w:val="24"/>
              </w:rPr>
              <w:t>Part b)</w:t>
            </w:r>
          </w:p>
          <w:p w:rsidR="00725FEE" w:rsidRDefault="00725FEE" w:rsidP="00725FEE">
            <w:pPr>
              <w:rPr>
                <w:rFonts w:cs="Arial"/>
                <w:b/>
                <w:szCs w:val="24"/>
              </w:rPr>
            </w:pPr>
          </w:p>
          <w:p w:rsidR="00725FEE" w:rsidRDefault="00725FEE" w:rsidP="00725FEE">
            <w:pPr>
              <w:rPr>
                <w:rFonts w:cs="Arial"/>
                <w:b/>
                <w:szCs w:val="24"/>
              </w:rPr>
            </w:pPr>
          </w:p>
          <w:p w:rsidR="00725FEE" w:rsidRDefault="00725FEE" w:rsidP="00725FEE">
            <w:pPr>
              <w:rPr>
                <w:rFonts w:cs="Arial"/>
                <w:b/>
                <w:szCs w:val="24"/>
              </w:rPr>
            </w:pPr>
          </w:p>
          <w:p w:rsidR="00725FEE" w:rsidRDefault="00725FEE" w:rsidP="00725FEE">
            <w:pPr>
              <w:rPr>
                <w:rFonts w:cs="Arial"/>
                <w:b/>
                <w:szCs w:val="24"/>
              </w:rPr>
            </w:pPr>
          </w:p>
          <w:p w:rsidR="00725FEE" w:rsidRDefault="00725FEE" w:rsidP="00725FEE">
            <w:pPr>
              <w:rPr>
                <w:rFonts w:cs="Arial"/>
                <w:b/>
                <w:szCs w:val="24"/>
              </w:rPr>
            </w:pPr>
          </w:p>
          <w:p w:rsidR="00725FEE" w:rsidRDefault="00725FEE" w:rsidP="00725FEE">
            <w:pPr>
              <w:rPr>
                <w:rFonts w:cs="Arial"/>
                <w:b/>
                <w:szCs w:val="24"/>
              </w:rPr>
            </w:pPr>
          </w:p>
          <w:p w:rsidR="00725FEE" w:rsidRDefault="00725FEE" w:rsidP="00725FEE">
            <w:pPr>
              <w:rPr>
                <w:rFonts w:cs="Arial"/>
                <w:b/>
                <w:szCs w:val="24"/>
              </w:rPr>
            </w:pPr>
          </w:p>
          <w:p w:rsidR="00725FEE" w:rsidRDefault="00725FEE" w:rsidP="00725FEE">
            <w:pPr>
              <w:rPr>
                <w:rFonts w:cs="Arial"/>
                <w:b/>
                <w:szCs w:val="24"/>
              </w:rPr>
            </w:pPr>
          </w:p>
          <w:p w:rsidR="00725FEE" w:rsidRDefault="00725FEE" w:rsidP="00725FEE">
            <w:pPr>
              <w:rPr>
                <w:rFonts w:cs="Arial"/>
                <w:b/>
                <w:szCs w:val="24"/>
              </w:rPr>
            </w:pPr>
          </w:p>
          <w:p w:rsidR="00725FEE" w:rsidRPr="000E4C8C" w:rsidRDefault="00725FEE" w:rsidP="00725FEE">
            <w:pPr>
              <w:rPr>
                <w:rFonts w:cs="Arial"/>
                <w:b/>
                <w:szCs w:val="24"/>
              </w:rPr>
            </w:pPr>
            <w:r>
              <w:rPr>
                <w:rFonts w:cs="Arial"/>
                <w:b/>
                <w:szCs w:val="24"/>
              </w:rPr>
              <w:t xml:space="preserve">Q1 </w:t>
            </w:r>
            <w:r w:rsidRPr="000E4C8C">
              <w:rPr>
                <w:rFonts w:cs="Arial"/>
                <w:b/>
                <w:szCs w:val="24"/>
              </w:rPr>
              <w:t>Year 2</w:t>
            </w:r>
          </w:p>
          <w:p w:rsidR="00725FEE" w:rsidRDefault="00725FEE" w:rsidP="00725FEE">
            <w:pPr>
              <w:rPr>
                <w:rFonts w:cs="Arial"/>
                <w:b/>
                <w:szCs w:val="24"/>
              </w:rPr>
            </w:pPr>
            <w:r w:rsidRPr="000E4C8C">
              <w:rPr>
                <w:rFonts w:cs="Arial"/>
                <w:b/>
                <w:szCs w:val="24"/>
              </w:rPr>
              <w:t>Part b)</w:t>
            </w:r>
          </w:p>
          <w:p w:rsidR="00725FEE" w:rsidRPr="000E4C8C" w:rsidRDefault="00725FEE" w:rsidP="00725FEE">
            <w:pPr>
              <w:rPr>
                <w:rFonts w:cs="Arial"/>
                <w:b/>
                <w:szCs w:val="24"/>
              </w:rPr>
            </w:pPr>
          </w:p>
        </w:tc>
        <w:tc>
          <w:tcPr>
            <w:tcW w:w="4704" w:type="dxa"/>
          </w:tcPr>
          <w:p w:rsidR="008A2F58" w:rsidRDefault="00725FEE" w:rsidP="00725FEE">
            <w:pPr>
              <w:rPr>
                <w:rFonts w:cs="Arial"/>
                <w:szCs w:val="24"/>
              </w:rPr>
            </w:pPr>
            <w:r>
              <w:rPr>
                <w:rFonts w:cs="Arial"/>
                <w:szCs w:val="24"/>
              </w:rPr>
              <w:t>T</w:t>
            </w:r>
            <w:r w:rsidRPr="00725FEE">
              <w:rPr>
                <w:rFonts w:cs="Arial"/>
                <w:szCs w:val="24"/>
              </w:rPr>
              <w:t>ype 1 or 2 A&amp;E provider is returning data daily AND 99% of patients have both a valid Chief Complaint and a Diagnosis (unless that patient is streamed to another service) so that 99% of patients have a diagnosis AND 99% of patients have a measure of acuity recorded.</w:t>
            </w:r>
            <w:r>
              <w:rPr>
                <w:rFonts w:cs="Arial"/>
                <w:szCs w:val="24"/>
              </w:rPr>
              <w:t xml:space="preserve"> </w:t>
            </w:r>
            <w:r w:rsidRPr="00725FEE">
              <w:rPr>
                <w:rFonts w:cs="Arial"/>
                <w:szCs w:val="24"/>
              </w:rPr>
              <w:t>Acuity should be any value from the ECDS acuity set</w:t>
            </w:r>
          </w:p>
          <w:p w:rsidR="00725FEE" w:rsidRDefault="00725FEE" w:rsidP="00725FEE">
            <w:pPr>
              <w:rPr>
                <w:rFonts w:cs="Arial"/>
                <w:szCs w:val="24"/>
              </w:rPr>
            </w:pPr>
          </w:p>
          <w:p w:rsidR="00725FEE" w:rsidRDefault="00725FEE" w:rsidP="00725FEE">
            <w:pPr>
              <w:rPr>
                <w:rFonts w:cs="Arial"/>
                <w:szCs w:val="24"/>
              </w:rPr>
            </w:pPr>
            <w:r>
              <w:rPr>
                <w:rFonts w:cs="Arial"/>
                <w:szCs w:val="24"/>
              </w:rPr>
              <w:t>T</w:t>
            </w:r>
            <w:r w:rsidRPr="00725FEE">
              <w:rPr>
                <w:rFonts w:cs="Arial"/>
                <w:szCs w:val="24"/>
              </w:rPr>
              <w:t>ype 1 or 2 A&amp;E provider is returning data daily AND 100% of patients have both a valid Chief Complaint and a Diagnosis (unless that patient is streamed to another service) so that 100% of patients have a diagnosis AND 100% of patients have a measure of acuity recorded AND 100% of patients record the discharging clinician (using the GMC/NMC/HCPC number).</w:t>
            </w:r>
          </w:p>
          <w:p w:rsidR="00725FEE" w:rsidRDefault="00725FEE" w:rsidP="00725FEE">
            <w:pPr>
              <w:rPr>
                <w:rFonts w:cs="Arial"/>
                <w:szCs w:val="24"/>
              </w:rPr>
            </w:pPr>
          </w:p>
          <w:p w:rsidR="00725FEE" w:rsidRDefault="00725FEE" w:rsidP="00725FEE">
            <w:pPr>
              <w:rPr>
                <w:rFonts w:cs="Arial"/>
                <w:szCs w:val="24"/>
              </w:rPr>
            </w:pPr>
            <w:r>
              <w:rPr>
                <w:rFonts w:cs="Arial"/>
                <w:szCs w:val="24"/>
              </w:rPr>
              <w:t>T</w:t>
            </w:r>
            <w:r w:rsidRPr="00725FEE">
              <w:rPr>
                <w:rFonts w:cs="Arial"/>
                <w:szCs w:val="24"/>
              </w:rPr>
              <w:t>ype 1 or 2 A&amp;E provider is returning data daily AND 100% of patients have both a valid Chief Complaint and a Diagnosis (unless that patient is streamed to another service) so that 100% of patients have a diagnosis AND 100% of patients have a measure of acuity recorded AND 100% of patients record the discharging clinician (using the GMC/NMC/HCPC number) AND 100% of patients have the referral source recorded. Referral source should be any value from the EDCS referral source set.</w:t>
            </w:r>
          </w:p>
          <w:p w:rsidR="00725FEE" w:rsidRPr="00A56E0A" w:rsidRDefault="00725FEE" w:rsidP="00725FEE">
            <w:pPr>
              <w:rPr>
                <w:rFonts w:cs="Arial"/>
                <w:szCs w:val="24"/>
              </w:rPr>
            </w:pPr>
          </w:p>
        </w:tc>
        <w:tc>
          <w:tcPr>
            <w:tcW w:w="1337" w:type="dxa"/>
          </w:tcPr>
          <w:p w:rsidR="008A2F58" w:rsidRDefault="00A56E0A" w:rsidP="00526046">
            <w:pPr>
              <w:rPr>
                <w:rFonts w:cs="Arial"/>
                <w:szCs w:val="24"/>
              </w:rPr>
            </w:pPr>
            <w:r>
              <w:rPr>
                <w:rFonts w:cs="Arial"/>
                <w:szCs w:val="24"/>
              </w:rPr>
              <w:t xml:space="preserve">End of Q1 </w:t>
            </w: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A56E0A" w:rsidRDefault="00A56E0A" w:rsidP="00A56E0A">
            <w:pPr>
              <w:rPr>
                <w:rFonts w:cs="Arial"/>
                <w:szCs w:val="24"/>
              </w:rPr>
            </w:pPr>
            <w:r>
              <w:rPr>
                <w:rFonts w:cs="Arial"/>
                <w:szCs w:val="24"/>
              </w:rPr>
              <w:t>End of Q2</w:t>
            </w: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A56E0A" w:rsidRDefault="00A56E0A" w:rsidP="00A56E0A">
            <w:pPr>
              <w:rPr>
                <w:rFonts w:cs="Arial"/>
                <w:szCs w:val="24"/>
              </w:rPr>
            </w:pPr>
            <w:r>
              <w:rPr>
                <w:rFonts w:cs="Arial"/>
                <w:szCs w:val="24"/>
              </w:rPr>
              <w:t>End of Q3</w:t>
            </w: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725FEE" w:rsidRDefault="00725FEE" w:rsidP="00A56E0A">
            <w:pPr>
              <w:rPr>
                <w:rFonts w:cs="Arial"/>
                <w:szCs w:val="24"/>
              </w:rPr>
            </w:pPr>
          </w:p>
          <w:p w:rsidR="00A56E0A" w:rsidRDefault="00A56E0A" w:rsidP="00A56E0A">
            <w:pPr>
              <w:rPr>
                <w:rFonts w:cs="Arial"/>
                <w:szCs w:val="24"/>
              </w:rPr>
            </w:pPr>
          </w:p>
        </w:tc>
        <w:tc>
          <w:tcPr>
            <w:tcW w:w="1472" w:type="dxa"/>
          </w:tcPr>
          <w:p w:rsidR="008A2F58" w:rsidRDefault="00A56E0A" w:rsidP="00526046">
            <w:pPr>
              <w:rPr>
                <w:rFonts w:cs="Arial"/>
                <w:szCs w:val="24"/>
              </w:rPr>
            </w:pPr>
            <w:r>
              <w:rPr>
                <w:rFonts w:cs="Arial"/>
                <w:szCs w:val="24"/>
              </w:rPr>
              <w:t>5%</w:t>
            </w: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A56E0A" w:rsidRDefault="00A56E0A" w:rsidP="00526046">
            <w:pPr>
              <w:rPr>
                <w:rFonts w:cs="Arial"/>
                <w:szCs w:val="24"/>
              </w:rPr>
            </w:pPr>
            <w:r w:rsidRPr="00A56E0A">
              <w:rPr>
                <w:rFonts w:cs="Arial"/>
                <w:szCs w:val="24"/>
              </w:rPr>
              <w:t>5%</w:t>
            </w: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A56E0A" w:rsidRDefault="00A56E0A" w:rsidP="00526046">
            <w:pPr>
              <w:rPr>
                <w:rFonts w:cs="Arial"/>
                <w:szCs w:val="24"/>
              </w:rPr>
            </w:pPr>
            <w:r w:rsidRPr="00A56E0A">
              <w:rPr>
                <w:rFonts w:cs="Arial"/>
                <w:szCs w:val="24"/>
              </w:rPr>
              <w:t>5%</w:t>
            </w: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725FEE" w:rsidRDefault="00725FEE" w:rsidP="00526046">
            <w:pPr>
              <w:rPr>
                <w:rFonts w:cs="Arial"/>
                <w:szCs w:val="24"/>
              </w:rPr>
            </w:pPr>
          </w:p>
          <w:p w:rsidR="00A56E0A" w:rsidRDefault="00A56E0A" w:rsidP="00526046">
            <w:pPr>
              <w:rPr>
                <w:rFonts w:cs="Arial"/>
                <w:szCs w:val="24"/>
              </w:rPr>
            </w:pPr>
            <w:r>
              <w:rPr>
                <w:rFonts w:cs="Arial"/>
                <w:szCs w:val="24"/>
              </w:rPr>
              <w:t xml:space="preserve"> </w:t>
            </w:r>
          </w:p>
        </w:tc>
      </w:tr>
      <w:tr w:rsidR="00725FEE" w:rsidRPr="009D7F8B" w:rsidTr="0076510E">
        <w:trPr>
          <w:cantSplit/>
          <w:trHeight w:val="5231"/>
        </w:trPr>
        <w:tc>
          <w:tcPr>
            <w:tcW w:w="1418" w:type="dxa"/>
          </w:tcPr>
          <w:p w:rsidR="00725FEE" w:rsidRPr="000E4C8C" w:rsidRDefault="00725FEE" w:rsidP="00725FEE">
            <w:pPr>
              <w:rPr>
                <w:rFonts w:cs="Arial"/>
                <w:b/>
                <w:szCs w:val="24"/>
              </w:rPr>
            </w:pPr>
            <w:r>
              <w:rPr>
                <w:rFonts w:cs="Arial"/>
                <w:b/>
                <w:szCs w:val="24"/>
              </w:rPr>
              <w:lastRenderedPageBreak/>
              <w:t xml:space="preserve">Q1 </w:t>
            </w:r>
            <w:r w:rsidRPr="000E4C8C">
              <w:rPr>
                <w:rFonts w:cs="Arial"/>
                <w:b/>
                <w:szCs w:val="24"/>
              </w:rPr>
              <w:t>Year 2</w:t>
            </w:r>
          </w:p>
          <w:p w:rsidR="00725FEE" w:rsidRPr="000E4C8C" w:rsidRDefault="00725FEE" w:rsidP="00725FEE">
            <w:pPr>
              <w:rPr>
                <w:rFonts w:cs="Arial"/>
                <w:b/>
                <w:szCs w:val="24"/>
              </w:rPr>
            </w:pPr>
            <w:r w:rsidRPr="000E4C8C">
              <w:rPr>
                <w:rFonts w:cs="Arial"/>
                <w:b/>
                <w:szCs w:val="24"/>
              </w:rPr>
              <w:t>Part b)</w:t>
            </w:r>
          </w:p>
        </w:tc>
        <w:tc>
          <w:tcPr>
            <w:tcW w:w="4704" w:type="dxa"/>
          </w:tcPr>
          <w:p w:rsidR="00725FEE" w:rsidRDefault="00725FEE" w:rsidP="00725FEE">
            <w:pPr>
              <w:rPr>
                <w:rFonts w:cs="Arial"/>
                <w:szCs w:val="24"/>
              </w:rPr>
            </w:pPr>
            <w:r w:rsidRPr="00725FEE">
              <w:rPr>
                <w:rFonts w:cs="Arial"/>
                <w:szCs w:val="24"/>
              </w:rPr>
              <w:t>Type 1 or 2 A&amp;E provider is returning data daily AND 100% of patients have both a valid Chief Complaint and a Diagnosis (unless that patient is streamed to another service) so that 100% of patients have a diagnosis AND 100% of patients have a measure of acuity recorded AND 100% of patients record the discharging clinician (using the GMC/NMC/HCPC number) AND 100% of patients have the referral source recorded AND 100% of patients have discharge status recorded. Discharge status should be any value from the EDCS discharge status set.</w:t>
            </w:r>
          </w:p>
        </w:tc>
        <w:tc>
          <w:tcPr>
            <w:tcW w:w="1337" w:type="dxa"/>
          </w:tcPr>
          <w:p w:rsidR="00725FEE" w:rsidRDefault="00725FEE" w:rsidP="00526046">
            <w:pPr>
              <w:rPr>
                <w:rFonts w:cs="Arial"/>
                <w:szCs w:val="24"/>
              </w:rPr>
            </w:pPr>
            <w:r w:rsidRPr="00725FEE">
              <w:rPr>
                <w:rFonts w:cs="Arial"/>
                <w:szCs w:val="24"/>
              </w:rPr>
              <w:t>End of Q4</w:t>
            </w:r>
          </w:p>
        </w:tc>
        <w:tc>
          <w:tcPr>
            <w:tcW w:w="1472" w:type="dxa"/>
          </w:tcPr>
          <w:p w:rsidR="00725FEE" w:rsidRPr="00725FEE" w:rsidRDefault="00725FEE" w:rsidP="00725FEE">
            <w:pPr>
              <w:rPr>
                <w:rFonts w:cs="Arial"/>
                <w:szCs w:val="24"/>
              </w:rPr>
            </w:pPr>
            <w:r w:rsidRPr="00725FEE">
              <w:rPr>
                <w:rFonts w:cs="Arial"/>
                <w:szCs w:val="24"/>
              </w:rPr>
              <w:t>5%</w:t>
            </w:r>
          </w:p>
          <w:p w:rsidR="00725FEE" w:rsidRPr="00725FEE" w:rsidRDefault="00725FEE" w:rsidP="00725FEE">
            <w:pPr>
              <w:rPr>
                <w:rFonts w:cs="Arial"/>
                <w:szCs w:val="24"/>
              </w:rPr>
            </w:pPr>
          </w:p>
          <w:p w:rsidR="00725FEE" w:rsidRDefault="00725FEE" w:rsidP="00725FEE">
            <w:pPr>
              <w:rPr>
                <w:rFonts w:cs="Arial"/>
                <w:szCs w:val="24"/>
              </w:rPr>
            </w:pPr>
          </w:p>
          <w:p w:rsidR="00725FEE" w:rsidRDefault="00725FEE" w:rsidP="00725FEE">
            <w:pPr>
              <w:rPr>
                <w:rFonts w:cs="Arial"/>
                <w:szCs w:val="24"/>
              </w:rPr>
            </w:pPr>
            <w:r w:rsidRPr="00725FEE">
              <w:rPr>
                <w:rFonts w:cs="Arial"/>
                <w:szCs w:val="24"/>
              </w:rPr>
              <w:t>In total 20% of 100% in Year 2</w:t>
            </w:r>
          </w:p>
        </w:tc>
      </w:tr>
    </w:tbl>
    <w:p w:rsidR="00725FEE" w:rsidRDefault="00725FEE" w:rsidP="00D06808">
      <w:pPr>
        <w:rPr>
          <w:rFonts w:cs="Arial"/>
          <w:b/>
          <w:bCs w:val="0"/>
          <w:color w:val="0070C0"/>
          <w:szCs w:val="24"/>
          <w:lang w:eastAsia="en-GB"/>
        </w:rPr>
      </w:pPr>
    </w:p>
    <w:p w:rsidR="007A6DE5" w:rsidRDefault="00D06808" w:rsidP="000D4728">
      <w:pPr>
        <w:pStyle w:val="Heading4"/>
        <w:rPr>
          <w:bCs/>
          <w:lang w:eastAsia="en-GB"/>
        </w:rPr>
      </w:pPr>
      <w:r w:rsidRPr="009D7F8B">
        <w:rPr>
          <w:lang w:eastAsia="en-GB"/>
        </w:rPr>
        <w:t xml:space="preserve">Rules for partial achievement </w:t>
      </w:r>
      <w:r>
        <w:t>for indicator 8a – Acute Trusts</w:t>
      </w:r>
      <w:r w:rsidR="007A6DE5">
        <w:rPr>
          <w:bCs/>
          <w:lang w:eastAsia="en-GB"/>
        </w:rPr>
        <w:t xml:space="preserve"> - </w:t>
      </w:r>
      <w:r w:rsidR="007A6DE5">
        <w:rPr>
          <w:lang w:eastAsia="en-GB"/>
        </w:rPr>
        <w:t>Part c)</w:t>
      </w:r>
    </w:p>
    <w:p w:rsidR="007A6DE5" w:rsidRDefault="007A6DE5" w:rsidP="00D06808">
      <w:pPr>
        <w:rPr>
          <w:rFonts w:cs="Arial"/>
          <w:b/>
          <w:szCs w:val="24"/>
          <w:lang w:eastAsia="en-GB"/>
        </w:rPr>
      </w:pPr>
    </w:p>
    <w:p w:rsidR="00D06808" w:rsidRPr="00064564" w:rsidRDefault="00D06808" w:rsidP="00D06808">
      <w:pPr>
        <w:rPr>
          <w:rFonts w:cs="Arial"/>
          <w:b/>
          <w:bCs w:val="0"/>
          <w:szCs w:val="24"/>
          <w:lang w:eastAsia="en-GB"/>
        </w:rPr>
      </w:pPr>
      <w:r w:rsidRPr="00064564">
        <w:rPr>
          <w:rFonts w:cs="Arial"/>
          <w:b/>
          <w:szCs w:val="24"/>
          <w:lang w:eastAsia="en-GB"/>
        </w:rPr>
        <w:t>This payment will be calculated on the combined total of provider and community contributions not on an individual provider performance.</w:t>
      </w:r>
    </w:p>
    <w:p w:rsidR="00D06808" w:rsidRDefault="00D06808" w:rsidP="00D06808">
      <w:pPr>
        <w:rPr>
          <w:rFonts w:cs="Arial"/>
          <w:b/>
          <w:bCs w:val="0"/>
          <w:szCs w:val="24"/>
          <w:lang w:eastAsia="en-GB"/>
        </w:rPr>
      </w:pPr>
    </w:p>
    <w:p w:rsidR="00D06808" w:rsidRPr="00917F86" w:rsidRDefault="00D06808" w:rsidP="00D06808">
      <w:pPr>
        <w:rPr>
          <w:rFonts w:cs="Arial"/>
          <w:b/>
          <w:bCs w:val="0"/>
          <w:szCs w:val="24"/>
          <w:lang w:eastAsia="en-GB"/>
        </w:rPr>
      </w:pPr>
      <w:r w:rsidRPr="00917F86">
        <w:rPr>
          <w:rFonts w:cs="Arial"/>
          <w:b/>
          <w:szCs w:val="24"/>
          <w:lang w:eastAsia="en-GB"/>
        </w:rPr>
        <w:t xml:space="preserve">Percentage </w:t>
      </w:r>
      <w:r>
        <w:rPr>
          <w:rFonts w:cs="Arial"/>
          <w:b/>
          <w:szCs w:val="24"/>
          <w:lang w:eastAsia="en-GB"/>
        </w:rPr>
        <w:t>point i</w:t>
      </w:r>
      <w:r w:rsidRPr="00917F86">
        <w:rPr>
          <w:rFonts w:cs="Arial"/>
          <w:b/>
          <w:szCs w:val="24"/>
          <w:lang w:eastAsia="en-GB"/>
        </w:rPr>
        <w:t>ncrease in discharge to usual place of residence</w:t>
      </w:r>
    </w:p>
    <w:p w:rsidR="00D06808" w:rsidRPr="00505963" w:rsidRDefault="00D06808" w:rsidP="00D06808">
      <w:pPr>
        <w:rPr>
          <w:rFonts w:cs="Arial"/>
          <w:b/>
          <w:bCs w:val="0"/>
          <w:szCs w:val="24"/>
          <w:lang w:eastAsia="en-GB"/>
        </w:rPr>
      </w:pPr>
      <w:r w:rsidRPr="00505963">
        <w:rPr>
          <w:rFonts w:cs="Arial"/>
          <w:b/>
          <w:szCs w:val="24"/>
          <w:lang w:eastAsia="en-GB"/>
        </w:rPr>
        <w:t>Year 1 (17/18)</w:t>
      </w:r>
    </w:p>
    <w:p w:rsidR="007A6DE5" w:rsidRDefault="007A6DE5" w:rsidP="00D06808">
      <w:pPr>
        <w:rPr>
          <w:rFonts w:cs="Arial"/>
          <w:b/>
          <w:szCs w:val="24"/>
          <w:lang w:eastAsia="en-GB"/>
        </w:rPr>
      </w:pPr>
    </w:p>
    <w:p w:rsidR="00D06808" w:rsidRDefault="00D06808" w:rsidP="00D06808">
      <w:pPr>
        <w:rPr>
          <w:rFonts w:cs="Arial"/>
          <w:b/>
          <w:szCs w:val="24"/>
          <w:lang w:eastAsia="en-GB"/>
        </w:rPr>
      </w:pPr>
      <w:r w:rsidRPr="00505963">
        <w:rPr>
          <w:rFonts w:cs="Arial"/>
          <w:b/>
          <w:szCs w:val="24"/>
          <w:lang w:eastAsia="en-GB"/>
        </w:rPr>
        <w:t xml:space="preserve">By the end of Q4 </w:t>
      </w:r>
      <w:r>
        <w:rPr>
          <w:rFonts w:cs="Arial"/>
          <w:b/>
          <w:szCs w:val="24"/>
          <w:lang w:eastAsia="en-GB"/>
        </w:rPr>
        <w:t>2.5</w:t>
      </w:r>
      <w:r w:rsidRPr="00505963">
        <w:rPr>
          <w:rFonts w:cs="Arial"/>
          <w:b/>
          <w:szCs w:val="24"/>
          <w:lang w:eastAsia="en-GB"/>
        </w:rPr>
        <w:t xml:space="preserve">% </w:t>
      </w:r>
      <w:r>
        <w:rPr>
          <w:rFonts w:cs="Arial"/>
          <w:b/>
          <w:szCs w:val="24"/>
          <w:lang w:eastAsia="en-GB"/>
        </w:rPr>
        <w:t>point increase from baseline in no.</w:t>
      </w:r>
      <w:r w:rsidRPr="00505963">
        <w:rPr>
          <w:rFonts w:cs="Arial"/>
          <w:b/>
          <w:szCs w:val="24"/>
          <w:lang w:eastAsia="en-GB"/>
        </w:rPr>
        <w:t xml:space="preserve"> patients discharged to usual place of residence </w:t>
      </w:r>
    </w:p>
    <w:p w:rsidR="007A6DE5" w:rsidRPr="00505963" w:rsidRDefault="007A6DE5" w:rsidP="00D06808">
      <w:pPr>
        <w:rPr>
          <w:rFonts w:cs="Arial"/>
          <w:b/>
          <w:bCs w:val="0"/>
          <w:szCs w:val="24"/>
          <w:lang w:eastAsia="en-GB"/>
        </w:rPr>
      </w:pPr>
    </w:p>
    <w:tbl>
      <w:tblPr>
        <w:tblW w:w="8931" w:type="dxa"/>
        <w:tblInd w:w="-34" w:type="dxa"/>
        <w:tblLook w:val="0000" w:firstRow="0" w:lastRow="0" w:firstColumn="0" w:lastColumn="0" w:noHBand="0" w:noVBand="0"/>
      </w:tblPr>
      <w:tblGrid>
        <w:gridCol w:w="4253"/>
        <w:gridCol w:w="4678"/>
      </w:tblGrid>
      <w:tr w:rsidR="00D06808" w:rsidRPr="008204EB" w:rsidTr="00567305">
        <w:trPr>
          <w:trHeight w:val="700"/>
          <w:tblHeader/>
        </w:trPr>
        <w:tc>
          <w:tcPr>
            <w:tcW w:w="4253" w:type="dxa"/>
            <w:tcBorders>
              <w:top w:val="single" w:sz="4" w:space="0" w:color="auto"/>
              <w:left w:val="single" w:sz="4" w:space="0" w:color="auto"/>
              <w:bottom w:val="single" w:sz="4" w:space="0" w:color="auto"/>
              <w:right w:val="nil"/>
            </w:tcBorders>
            <w:shd w:val="clear" w:color="auto" w:fill="0070C0"/>
            <w:noWrap/>
          </w:tcPr>
          <w:p w:rsidR="00D06808" w:rsidRPr="000D76E9" w:rsidRDefault="00D06808" w:rsidP="00526046">
            <w:pPr>
              <w:rPr>
                <w:rFonts w:cs="Arial"/>
                <w:b/>
                <w:color w:val="FFFFFF" w:themeColor="background1"/>
                <w:lang w:eastAsia="en-GB"/>
              </w:rPr>
            </w:pPr>
            <w:r w:rsidRPr="000D76E9">
              <w:rPr>
                <w:rFonts w:cs="Arial"/>
                <w:b/>
                <w:color w:val="FFFFFF" w:themeColor="background1"/>
                <w:lang w:eastAsia="en-GB"/>
              </w:rPr>
              <w:t>Final indicator value for the partial achievement threshold</w:t>
            </w:r>
          </w:p>
        </w:tc>
        <w:tc>
          <w:tcPr>
            <w:tcW w:w="4678" w:type="dxa"/>
            <w:tcBorders>
              <w:top w:val="single" w:sz="4" w:space="0" w:color="auto"/>
              <w:left w:val="single" w:sz="4" w:space="0" w:color="auto"/>
              <w:bottom w:val="single" w:sz="4" w:space="0" w:color="auto"/>
              <w:right w:val="single" w:sz="4" w:space="0" w:color="auto"/>
            </w:tcBorders>
            <w:shd w:val="clear" w:color="auto" w:fill="0070C0"/>
          </w:tcPr>
          <w:p w:rsidR="00D06808" w:rsidRPr="000D76E9" w:rsidRDefault="00D06808" w:rsidP="00526046">
            <w:pPr>
              <w:rPr>
                <w:rFonts w:cs="Arial"/>
                <w:b/>
                <w:color w:val="FFFFFF" w:themeColor="background1"/>
                <w:lang w:eastAsia="en-GB"/>
              </w:rPr>
            </w:pPr>
            <w:r>
              <w:rPr>
                <w:rFonts w:cs="Arial"/>
                <w:b/>
                <w:color w:val="FFFFFF" w:themeColor="background1"/>
                <w:lang w:eastAsia="en-GB"/>
              </w:rPr>
              <w:t>%</w:t>
            </w:r>
            <w:r w:rsidRPr="000D76E9">
              <w:rPr>
                <w:rFonts w:cs="Arial"/>
                <w:b/>
                <w:color w:val="FFFFFF" w:themeColor="background1"/>
                <w:lang w:eastAsia="en-GB"/>
              </w:rPr>
              <w:t xml:space="preserve"> of CQUIN scheme available for meeting final indicator value</w:t>
            </w:r>
          </w:p>
        </w:tc>
      </w:tr>
      <w:tr w:rsidR="00D06808" w:rsidRPr="00A27794" w:rsidTr="00567305">
        <w:trPr>
          <w:trHeight w:val="348"/>
        </w:trPr>
        <w:tc>
          <w:tcPr>
            <w:tcW w:w="4253" w:type="dxa"/>
            <w:tcBorders>
              <w:top w:val="nil"/>
              <w:left w:val="single" w:sz="4" w:space="0" w:color="auto"/>
              <w:bottom w:val="single" w:sz="4" w:space="0" w:color="auto"/>
              <w:right w:val="nil"/>
            </w:tcBorders>
          </w:tcPr>
          <w:p w:rsidR="00D06808" w:rsidRPr="000758CD" w:rsidRDefault="00D06808" w:rsidP="00526046">
            <w:pPr>
              <w:rPr>
                <w:rFonts w:cs="Arial"/>
                <w:bCs w:val="0"/>
                <w:lang w:eastAsia="en-GB"/>
              </w:rPr>
            </w:pPr>
            <w:r w:rsidRPr="000758CD">
              <w:rPr>
                <w:rFonts w:cs="Arial"/>
                <w:lang w:eastAsia="en-GB"/>
              </w:rPr>
              <w:t xml:space="preserve">Less than </w:t>
            </w:r>
            <w:r>
              <w:rPr>
                <w:rFonts w:cs="Arial"/>
                <w:lang w:eastAsia="en-GB"/>
              </w:rPr>
              <w:t>1.5</w:t>
            </w:r>
            <w:r w:rsidRPr="000758CD">
              <w:rPr>
                <w:rFonts w:cs="Arial"/>
                <w:lang w:eastAsia="en-GB"/>
              </w:rPr>
              <w:t>% point increase</w:t>
            </w:r>
          </w:p>
        </w:tc>
        <w:tc>
          <w:tcPr>
            <w:tcW w:w="4678" w:type="dxa"/>
            <w:tcBorders>
              <w:top w:val="nil"/>
              <w:left w:val="single" w:sz="4" w:space="0" w:color="auto"/>
              <w:bottom w:val="single" w:sz="4" w:space="0" w:color="auto"/>
              <w:right w:val="single" w:sz="4" w:space="0" w:color="auto"/>
            </w:tcBorders>
          </w:tcPr>
          <w:p w:rsidR="00D06808" w:rsidRPr="00A27794" w:rsidRDefault="00D06808" w:rsidP="00526046">
            <w:pPr>
              <w:rPr>
                <w:rFonts w:cs="Arial"/>
                <w:bCs w:val="0"/>
                <w:lang w:eastAsia="en-GB"/>
              </w:rPr>
            </w:pPr>
            <w:r w:rsidRPr="00A27794">
              <w:rPr>
                <w:rFonts w:cs="Arial"/>
                <w:lang w:eastAsia="en-GB"/>
              </w:rPr>
              <w:t>No payment</w:t>
            </w:r>
          </w:p>
        </w:tc>
      </w:tr>
      <w:tr w:rsidR="00D06808" w:rsidRPr="00A27794" w:rsidTr="00567305">
        <w:trPr>
          <w:trHeight w:val="348"/>
        </w:trPr>
        <w:tc>
          <w:tcPr>
            <w:tcW w:w="4253" w:type="dxa"/>
            <w:tcBorders>
              <w:top w:val="nil"/>
              <w:left w:val="single" w:sz="4" w:space="0" w:color="auto"/>
              <w:bottom w:val="single" w:sz="4" w:space="0" w:color="auto"/>
              <w:right w:val="nil"/>
            </w:tcBorders>
          </w:tcPr>
          <w:p w:rsidR="00D06808" w:rsidRPr="000758CD" w:rsidRDefault="00D06808" w:rsidP="00526046">
            <w:pPr>
              <w:rPr>
                <w:rFonts w:cs="Arial"/>
                <w:bCs w:val="0"/>
              </w:rPr>
            </w:pPr>
            <w:r>
              <w:rPr>
                <w:rFonts w:cs="Arial"/>
                <w:lang w:eastAsia="en-GB"/>
              </w:rPr>
              <w:t>1.5 up to 1.99</w:t>
            </w:r>
            <w:r w:rsidRPr="000758CD">
              <w:rPr>
                <w:rFonts w:cs="Arial"/>
                <w:lang w:eastAsia="en-GB"/>
              </w:rPr>
              <w:t xml:space="preserve">% point increase </w:t>
            </w:r>
          </w:p>
        </w:tc>
        <w:tc>
          <w:tcPr>
            <w:tcW w:w="4678" w:type="dxa"/>
            <w:tcBorders>
              <w:top w:val="nil"/>
              <w:left w:val="single" w:sz="4" w:space="0" w:color="auto"/>
              <w:bottom w:val="single" w:sz="4" w:space="0" w:color="auto"/>
              <w:right w:val="single" w:sz="4" w:space="0" w:color="auto"/>
            </w:tcBorders>
          </w:tcPr>
          <w:p w:rsidR="00D06808" w:rsidRPr="00A27794" w:rsidRDefault="00D06808" w:rsidP="00526046">
            <w:pPr>
              <w:rPr>
                <w:rFonts w:cs="Arial"/>
                <w:bCs w:val="0"/>
              </w:rPr>
            </w:pPr>
            <w:r w:rsidRPr="00A27794">
              <w:rPr>
                <w:rFonts w:cs="Arial"/>
                <w:lang w:eastAsia="en-GB"/>
              </w:rPr>
              <w:t>5</w:t>
            </w:r>
            <w:r>
              <w:rPr>
                <w:rFonts w:cs="Arial"/>
                <w:lang w:eastAsia="en-GB"/>
              </w:rPr>
              <w:t>0</w:t>
            </w:r>
            <w:r w:rsidRPr="00A27794">
              <w:rPr>
                <w:rFonts w:cs="Arial"/>
                <w:lang w:eastAsia="en-GB"/>
              </w:rPr>
              <w:t>% payment</w:t>
            </w:r>
          </w:p>
        </w:tc>
      </w:tr>
      <w:tr w:rsidR="00D06808" w:rsidRPr="00A27794" w:rsidTr="00567305">
        <w:trPr>
          <w:trHeight w:val="348"/>
        </w:trPr>
        <w:tc>
          <w:tcPr>
            <w:tcW w:w="4253" w:type="dxa"/>
            <w:tcBorders>
              <w:top w:val="nil"/>
              <w:left w:val="single" w:sz="4" w:space="0" w:color="auto"/>
              <w:bottom w:val="single" w:sz="4" w:space="0" w:color="auto"/>
              <w:right w:val="nil"/>
            </w:tcBorders>
          </w:tcPr>
          <w:p w:rsidR="00D06808" w:rsidRPr="000758CD" w:rsidRDefault="00D06808" w:rsidP="00526046">
            <w:pPr>
              <w:rPr>
                <w:rFonts w:cs="Arial"/>
                <w:bCs w:val="0"/>
                <w:lang w:eastAsia="en-GB"/>
              </w:rPr>
            </w:pPr>
            <w:r>
              <w:rPr>
                <w:rFonts w:cs="Arial"/>
                <w:lang w:eastAsia="en-GB"/>
              </w:rPr>
              <w:t>2 up to 2</w:t>
            </w:r>
            <w:r w:rsidRPr="000758CD">
              <w:rPr>
                <w:rFonts w:cs="Arial"/>
                <w:lang w:eastAsia="en-GB"/>
              </w:rPr>
              <w:t>.</w:t>
            </w:r>
            <w:r>
              <w:rPr>
                <w:rFonts w:cs="Arial"/>
                <w:lang w:eastAsia="en-GB"/>
              </w:rPr>
              <w:t>49</w:t>
            </w:r>
            <w:r w:rsidRPr="000758CD">
              <w:rPr>
                <w:rFonts w:cs="Arial"/>
                <w:lang w:eastAsia="en-GB"/>
              </w:rPr>
              <w:t>% point increase</w:t>
            </w:r>
          </w:p>
        </w:tc>
        <w:tc>
          <w:tcPr>
            <w:tcW w:w="4678" w:type="dxa"/>
            <w:tcBorders>
              <w:top w:val="nil"/>
              <w:left w:val="single" w:sz="4" w:space="0" w:color="auto"/>
              <w:bottom w:val="single" w:sz="4" w:space="0" w:color="auto"/>
              <w:right w:val="single" w:sz="4" w:space="0" w:color="auto"/>
            </w:tcBorders>
          </w:tcPr>
          <w:p w:rsidR="00D06808" w:rsidRPr="00A27794" w:rsidDel="005C5DEB" w:rsidRDefault="00D06808" w:rsidP="00526046">
            <w:pPr>
              <w:rPr>
                <w:rFonts w:cs="Arial"/>
                <w:bCs w:val="0"/>
                <w:lang w:eastAsia="en-GB"/>
              </w:rPr>
            </w:pPr>
            <w:r>
              <w:rPr>
                <w:rFonts w:cs="Arial"/>
                <w:lang w:eastAsia="en-GB"/>
              </w:rPr>
              <w:t>80% payment</w:t>
            </w:r>
          </w:p>
        </w:tc>
      </w:tr>
      <w:tr w:rsidR="00D06808" w:rsidRPr="00A27794" w:rsidTr="00567305">
        <w:trPr>
          <w:trHeight w:val="403"/>
        </w:trPr>
        <w:tc>
          <w:tcPr>
            <w:tcW w:w="4253" w:type="dxa"/>
            <w:tcBorders>
              <w:top w:val="nil"/>
              <w:left w:val="single" w:sz="4" w:space="0" w:color="auto"/>
              <w:bottom w:val="single" w:sz="4" w:space="0" w:color="auto"/>
              <w:right w:val="nil"/>
            </w:tcBorders>
          </w:tcPr>
          <w:p w:rsidR="00D06808" w:rsidRPr="000758CD" w:rsidRDefault="00D06808" w:rsidP="00526046">
            <w:pPr>
              <w:rPr>
                <w:rFonts w:cs="Arial"/>
                <w:bCs w:val="0"/>
                <w:lang w:eastAsia="en-GB"/>
              </w:rPr>
            </w:pPr>
            <w:r>
              <w:rPr>
                <w:rFonts w:cs="Arial"/>
                <w:lang w:eastAsia="en-GB"/>
              </w:rPr>
              <w:t>2</w:t>
            </w:r>
            <w:r w:rsidRPr="000758CD">
              <w:rPr>
                <w:rFonts w:cs="Arial"/>
                <w:lang w:eastAsia="en-GB"/>
              </w:rPr>
              <w:t>.5%</w:t>
            </w:r>
            <w:r>
              <w:rPr>
                <w:rFonts w:cs="Arial"/>
                <w:lang w:eastAsia="en-GB"/>
              </w:rPr>
              <w:t xml:space="preserve"> </w:t>
            </w:r>
            <w:r w:rsidRPr="000758CD">
              <w:rPr>
                <w:rFonts w:cs="Arial"/>
                <w:lang w:eastAsia="en-GB"/>
              </w:rPr>
              <w:t>point increase</w:t>
            </w:r>
            <w:r>
              <w:rPr>
                <w:rFonts w:cs="Arial"/>
                <w:lang w:eastAsia="en-GB"/>
              </w:rPr>
              <w:t xml:space="preserve"> or greater</w:t>
            </w:r>
          </w:p>
        </w:tc>
        <w:tc>
          <w:tcPr>
            <w:tcW w:w="4678" w:type="dxa"/>
            <w:tcBorders>
              <w:top w:val="nil"/>
              <w:left w:val="single" w:sz="4" w:space="0" w:color="auto"/>
              <w:bottom w:val="single" w:sz="4" w:space="0" w:color="auto"/>
              <w:right w:val="single" w:sz="4" w:space="0" w:color="auto"/>
            </w:tcBorders>
          </w:tcPr>
          <w:p w:rsidR="00D06808" w:rsidRPr="00A27794" w:rsidRDefault="00D06808" w:rsidP="00526046">
            <w:pPr>
              <w:rPr>
                <w:rFonts w:cs="Arial"/>
                <w:bCs w:val="0"/>
                <w:lang w:eastAsia="en-GB"/>
              </w:rPr>
            </w:pPr>
            <w:r w:rsidRPr="00A27794">
              <w:rPr>
                <w:rFonts w:cs="Arial"/>
                <w:lang w:eastAsia="en-GB"/>
              </w:rPr>
              <w:t>100% payment</w:t>
            </w:r>
          </w:p>
        </w:tc>
      </w:tr>
    </w:tbl>
    <w:p w:rsidR="00D06808" w:rsidRDefault="00D06808" w:rsidP="00D06808">
      <w:pPr>
        <w:rPr>
          <w:rFonts w:cs="Arial"/>
          <w:b/>
          <w:bCs w:val="0"/>
          <w:szCs w:val="24"/>
          <w:lang w:eastAsia="en-GB"/>
        </w:rPr>
      </w:pPr>
    </w:p>
    <w:p w:rsidR="007A6DE5" w:rsidRDefault="007A6DE5" w:rsidP="007A6DE5">
      <w:pPr>
        <w:rPr>
          <w:rFonts w:cs="Arial"/>
          <w:b/>
          <w:bCs w:val="0"/>
          <w:szCs w:val="24"/>
          <w:lang w:eastAsia="en-GB"/>
        </w:rPr>
      </w:pPr>
      <w:r>
        <w:rPr>
          <w:rFonts w:cs="Arial"/>
          <w:b/>
          <w:bCs w:val="0"/>
          <w:szCs w:val="24"/>
          <w:lang w:eastAsia="en-GB"/>
        </w:rPr>
        <w:t>Or</w:t>
      </w:r>
    </w:p>
    <w:p w:rsidR="000D4728" w:rsidRDefault="000D4728">
      <w:pPr>
        <w:rPr>
          <w:rFonts w:cs="Arial"/>
          <w:b/>
          <w:bCs w:val="0"/>
          <w:szCs w:val="24"/>
          <w:lang w:eastAsia="en-GB"/>
        </w:rPr>
      </w:pPr>
      <w:r>
        <w:rPr>
          <w:rFonts w:cs="Arial"/>
          <w:b/>
          <w:bCs w:val="0"/>
          <w:szCs w:val="24"/>
          <w:lang w:eastAsia="en-GB"/>
        </w:rPr>
        <w:br w:type="page"/>
      </w:r>
    </w:p>
    <w:p w:rsidR="007A6DE5" w:rsidRPr="00505963" w:rsidRDefault="007A6DE5" w:rsidP="007A6DE5">
      <w:pPr>
        <w:rPr>
          <w:rFonts w:cs="Arial"/>
          <w:b/>
          <w:bCs w:val="0"/>
          <w:szCs w:val="24"/>
          <w:lang w:eastAsia="en-GB"/>
        </w:rPr>
      </w:pPr>
      <w:r w:rsidRPr="00505963">
        <w:rPr>
          <w:rFonts w:cs="Arial"/>
          <w:b/>
          <w:szCs w:val="24"/>
          <w:lang w:eastAsia="en-GB"/>
        </w:rPr>
        <w:lastRenderedPageBreak/>
        <w:t>Year 1 (17/18)</w:t>
      </w:r>
    </w:p>
    <w:p w:rsidR="007A6DE5" w:rsidRDefault="007A6DE5" w:rsidP="007A6DE5">
      <w:pPr>
        <w:rPr>
          <w:rFonts w:cs="Arial"/>
          <w:b/>
          <w:szCs w:val="24"/>
          <w:lang w:eastAsia="en-GB"/>
        </w:rPr>
      </w:pPr>
      <w:r w:rsidRPr="00505963">
        <w:rPr>
          <w:rFonts w:cs="Arial"/>
          <w:b/>
          <w:szCs w:val="24"/>
          <w:lang w:eastAsia="en-GB"/>
        </w:rPr>
        <w:t xml:space="preserve">By the end of Q4 </w:t>
      </w:r>
      <w:r>
        <w:rPr>
          <w:rFonts w:cs="Arial"/>
          <w:b/>
          <w:szCs w:val="24"/>
          <w:lang w:eastAsia="en-GB"/>
        </w:rPr>
        <w:t>47.5</w:t>
      </w:r>
      <w:r w:rsidRPr="00505963">
        <w:rPr>
          <w:rFonts w:cs="Arial"/>
          <w:b/>
          <w:szCs w:val="24"/>
          <w:lang w:eastAsia="en-GB"/>
        </w:rPr>
        <w:t xml:space="preserve">% </w:t>
      </w:r>
      <w:r>
        <w:rPr>
          <w:rFonts w:cs="Arial"/>
          <w:b/>
          <w:szCs w:val="24"/>
          <w:lang w:eastAsia="en-GB"/>
        </w:rPr>
        <w:t>in % of</w:t>
      </w:r>
      <w:r w:rsidRPr="00505963">
        <w:rPr>
          <w:rFonts w:cs="Arial"/>
          <w:b/>
          <w:szCs w:val="24"/>
          <w:lang w:eastAsia="en-GB"/>
        </w:rPr>
        <w:t xml:space="preserve"> patients discharged to usual place of residence </w:t>
      </w:r>
    </w:p>
    <w:p w:rsidR="007A6DE5" w:rsidRPr="00505963" w:rsidRDefault="007A6DE5" w:rsidP="007A6DE5">
      <w:pPr>
        <w:rPr>
          <w:rFonts w:cs="Arial"/>
          <w:b/>
          <w:bCs w:val="0"/>
          <w:szCs w:val="24"/>
          <w:lang w:eastAsia="en-GB"/>
        </w:rPr>
      </w:pPr>
    </w:p>
    <w:tbl>
      <w:tblPr>
        <w:tblW w:w="8931" w:type="dxa"/>
        <w:tblInd w:w="-34" w:type="dxa"/>
        <w:tblLook w:val="0000" w:firstRow="0" w:lastRow="0" w:firstColumn="0" w:lastColumn="0" w:noHBand="0" w:noVBand="0"/>
      </w:tblPr>
      <w:tblGrid>
        <w:gridCol w:w="4253"/>
        <w:gridCol w:w="4678"/>
      </w:tblGrid>
      <w:tr w:rsidR="007A6DE5" w:rsidRPr="008204EB" w:rsidTr="00567305">
        <w:trPr>
          <w:trHeight w:val="700"/>
          <w:tblHeader/>
        </w:trPr>
        <w:tc>
          <w:tcPr>
            <w:tcW w:w="4253" w:type="dxa"/>
            <w:tcBorders>
              <w:top w:val="single" w:sz="4" w:space="0" w:color="auto"/>
              <w:left w:val="single" w:sz="4" w:space="0" w:color="auto"/>
              <w:bottom w:val="single" w:sz="4" w:space="0" w:color="auto"/>
              <w:right w:val="nil"/>
            </w:tcBorders>
            <w:shd w:val="clear" w:color="auto" w:fill="0070C0"/>
            <w:noWrap/>
          </w:tcPr>
          <w:p w:rsidR="007A6DE5" w:rsidRPr="000D76E9" w:rsidRDefault="007A6DE5" w:rsidP="00A15ABD">
            <w:pPr>
              <w:rPr>
                <w:rFonts w:cs="Arial"/>
                <w:b/>
                <w:color w:val="FFFFFF" w:themeColor="background1"/>
                <w:lang w:eastAsia="en-GB"/>
              </w:rPr>
            </w:pPr>
            <w:r w:rsidRPr="000D76E9">
              <w:rPr>
                <w:rFonts w:cs="Arial"/>
                <w:b/>
                <w:color w:val="FFFFFF" w:themeColor="background1"/>
                <w:lang w:eastAsia="en-GB"/>
              </w:rPr>
              <w:t>Final indicator value for the partial achievement threshold</w:t>
            </w:r>
          </w:p>
        </w:tc>
        <w:tc>
          <w:tcPr>
            <w:tcW w:w="4678" w:type="dxa"/>
            <w:tcBorders>
              <w:top w:val="single" w:sz="4" w:space="0" w:color="auto"/>
              <w:left w:val="single" w:sz="4" w:space="0" w:color="auto"/>
              <w:bottom w:val="single" w:sz="4" w:space="0" w:color="auto"/>
              <w:right w:val="single" w:sz="4" w:space="0" w:color="auto"/>
            </w:tcBorders>
            <w:shd w:val="clear" w:color="auto" w:fill="0070C0"/>
          </w:tcPr>
          <w:p w:rsidR="007A6DE5" w:rsidRPr="000D76E9" w:rsidRDefault="007A6DE5" w:rsidP="00A15ABD">
            <w:pPr>
              <w:rPr>
                <w:rFonts w:cs="Arial"/>
                <w:b/>
                <w:color w:val="FFFFFF" w:themeColor="background1"/>
                <w:lang w:eastAsia="en-GB"/>
              </w:rPr>
            </w:pPr>
            <w:r>
              <w:rPr>
                <w:rFonts w:cs="Arial"/>
                <w:b/>
                <w:color w:val="FFFFFF" w:themeColor="background1"/>
                <w:lang w:eastAsia="en-GB"/>
              </w:rPr>
              <w:t>%</w:t>
            </w:r>
            <w:r w:rsidRPr="000D76E9">
              <w:rPr>
                <w:rFonts w:cs="Arial"/>
                <w:b/>
                <w:color w:val="FFFFFF" w:themeColor="background1"/>
                <w:lang w:eastAsia="en-GB"/>
              </w:rPr>
              <w:t xml:space="preserve"> of CQUIN scheme available for meeting final indicator value</w:t>
            </w:r>
          </w:p>
        </w:tc>
      </w:tr>
      <w:tr w:rsidR="007A6DE5" w:rsidRPr="00A27794" w:rsidTr="00567305">
        <w:trPr>
          <w:trHeight w:val="348"/>
        </w:trPr>
        <w:tc>
          <w:tcPr>
            <w:tcW w:w="4253" w:type="dxa"/>
            <w:tcBorders>
              <w:top w:val="nil"/>
              <w:left w:val="single" w:sz="4" w:space="0" w:color="auto"/>
              <w:bottom w:val="single" w:sz="4" w:space="0" w:color="auto"/>
              <w:right w:val="nil"/>
            </w:tcBorders>
          </w:tcPr>
          <w:p w:rsidR="007A6DE5" w:rsidRPr="000758CD" w:rsidRDefault="007A6DE5" w:rsidP="00A15ABD">
            <w:pPr>
              <w:rPr>
                <w:rFonts w:cs="Arial"/>
                <w:bCs w:val="0"/>
                <w:lang w:eastAsia="en-GB"/>
              </w:rPr>
            </w:pPr>
            <w:r>
              <w:rPr>
                <w:rFonts w:cs="Arial"/>
                <w:lang w:eastAsia="en-GB"/>
              </w:rPr>
              <w:t>Less than 40%</w:t>
            </w:r>
          </w:p>
        </w:tc>
        <w:tc>
          <w:tcPr>
            <w:tcW w:w="4678" w:type="dxa"/>
            <w:tcBorders>
              <w:top w:val="nil"/>
              <w:left w:val="single" w:sz="4" w:space="0" w:color="auto"/>
              <w:bottom w:val="single" w:sz="4" w:space="0" w:color="auto"/>
              <w:right w:val="single" w:sz="4" w:space="0" w:color="auto"/>
            </w:tcBorders>
          </w:tcPr>
          <w:p w:rsidR="007A6DE5" w:rsidRPr="00A27794" w:rsidRDefault="007A6DE5" w:rsidP="00A15ABD">
            <w:pPr>
              <w:rPr>
                <w:rFonts w:cs="Arial"/>
                <w:bCs w:val="0"/>
                <w:lang w:eastAsia="en-GB"/>
              </w:rPr>
            </w:pPr>
            <w:r w:rsidRPr="00A27794">
              <w:rPr>
                <w:rFonts w:cs="Arial"/>
                <w:lang w:eastAsia="en-GB"/>
              </w:rPr>
              <w:t>No payment</w:t>
            </w:r>
          </w:p>
        </w:tc>
      </w:tr>
      <w:tr w:rsidR="007A6DE5" w:rsidRPr="00A27794" w:rsidTr="00567305">
        <w:trPr>
          <w:trHeight w:val="348"/>
        </w:trPr>
        <w:tc>
          <w:tcPr>
            <w:tcW w:w="4253" w:type="dxa"/>
            <w:tcBorders>
              <w:top w:val="nil"/>
              <w:left w:val="single" w:sz="4" w:space="0" w:color="auto"/>
              <w:bottom w:val="single" w:sz="4" w:space="0" w:color="auto"/>
              <w:right w:val="nil"/>
            </w:tcBorders>
          </w:tcPr>
          <w:p w:rsidR="007A6DE5" w:rsidRPr="000758CD" w:rsidRDefault="007A6DE5" w:rsidP="00A15ABD">
            <w:pPr>
              <w:rPr>
                <w:rFonts w:cs="Arial"/>
                <w:bCs w:val="0"/>
              </w:rPr>
            </w:pPr>
            <w:r>
              <w:rPr>
                <w:rFonts w:cs="Arial"/>
              </w:rPr>
              <w:t>40% up to 44.9%</w:t>
            </w:r>
          </w:p>
        </w:tc>
        <w:tc>
          <w:tcPr>
            <w:tcW w:w="4678" w:type="dxa"/>
            <w:tcBorders>
              <w:top w:val="nil"/>
              <w:left w:val="single" w:sz="4" w:space="0" w:color="auto"/>
              <w:bottom w:val="single" w:sz="4" w:space="0" w:color="auto"/>
              <w:right w:val="single" w:sz="4" w:space="0" w:color="auto"/>
            </w:tcBorders>
          </w:tcPr>
          <w:p w:rsidR="007A6DE5" w:rsidRPr="00A27794" w:rsidRDefault="007A6DE5" w:rsidP="00A15ABD">
            <w:pPr>
              <w:rPr>
                <w:rFonts w:cs="Arial"/>
                <w:bCs w:val="0"/>
              </w:rPr>
            </w:pPr>
            <w:r w:rsidRPr="00A27794">
              <w:rPr>
                <w:rFonts w:cs="Arial"/>
                <w:lang w:eastAsia="en-GB"/>
              </w:rPr>
              <w:t>5</w:t>
            </w:r>
            <w:r>
              <w:rPr>
                <w:rFonts w:cs="Arial"/>
                <w:lang w:eastAsia="en-GB"/>
              </w:rPr>
              <w:t>0</w:t>
            </w:r>
            <w:r w:rsidRPr="00A27794">
              <w:rPr>
                <w:rFonts w:cs="Arial"/>
                <w:lang w:eastAsia="en-GB"/>
              </w:rPr>
              <w:t>% payment</w:t>
            </w:r>
          </w:p>
        </w:tc>
      </w:tr>
      <w:tr w:rsidR="007A6DE5" w:rsidRPr="00A27794" w:rsidTr="00567305">
        <w:trPr>
          <w:trHeight w:val="348"/>
        </w:trPr>
        <w:tc>
          <w:tcPr>
            <w:tcW w:w="4253" w:type="dxa"/>
            <w:tcBorders>
              <w:top w:val="nil"/>
              <w:left w:val="single" w:sz="4" w:space="0" w:color="auto"/>
              <w:bottom w:val="single" w:sz="4" w:space="0" w:color="auto"/>
              <w:right w:val="nil"/>
            </w:tcBorders>
          </w:tcPr>
          <w:p w:rsidR="007A6DE5" w:rsidRPr="000758CD" w:rsidRDefault="007A6DE5" w:rsidP="00A15ABD">
            <w:pPr>
              <w:rPr>
                <w:rFonts w:cs="Arial"/>
                <w:bCs w:val="0"/>
                <w:lang w:eastAsia="en-GB"/>
              </w:rPr>
            </w:pPr>
            <w:r>
              <w:rPr>
                <w:rFonts w:cs="Arial"/>
                <w:lang w:eastAsia="en-GB"/>
              </w:rPr>
              <w:t>45% up to 47.4%</w:t>
            </w:r>
          </w:p>
        </w:tc>
        <w:tc>
          <w:tcPr>
            <w:tcW w:w="4678" w:type="dxa"/>
            <w:tcBorders>
              <w:top w:val="nil"/>
              <w:left w:val="single" w:sz="4" w:space="0" w:color="auto"/>
              <w:bottom w:val="single" w:sz="4" w:space="0" w:color="auto"/>
              <w:right w:val="single" w:sz="4" w:space="0" w:color="auto"/>
            </w:tcBorders>
          </w:tcPr>
          <w:p w:rsidR="007A6DE5" w:rsidRPr="00A27794" w:rsidDel="005C5DEB" w:rsidRDefault="007A6DE5" w:rsidP="00A15ABD">
            <w:pPr>
              <w:rPr>
                <w:rFonts w:cs="Arial"/>
                <w:bCs w:val="0"/>
                <w:lang w:eastAsia="en-GB"/>
              </w:rPr>
            </w:pPr>
            <w:r>
              <w:rPr>
                <w:rFonts w:cs="Arial"/>
                <w:lang w:eastAsia="en-GB"/>
              </w:rPr>
              <w:t>80% payment</w:t>
            </w:r>
          </w:p>
        </w:tc>
      </w:tr>
      <w:tr w:rsidR="007A6DE5" w:rsidRPr="00A27794" w:rsidTr="00567305">
        <w:trPr>
          <w:trHeight w:val="403"/>
        </w:trPr>
        <w:tc>
          <w:tcPr>
            <w:tcW w:w="4253" w:type="dxa"/>
            <w:tcBorders>
              <w:top w:val="nil"/>
              <w:left w:val="single" w:sz="4" w:space="0" w:color="auto"/>
              <w:bottom w:val="single" w:sz="4" w:space="0" w:color="auto"/>
              <w:right w:val="nil"/>
            </w:tcBorders>
          </w:tcPr>
          <w:p w:rsidR="007A6DE5" w:rsidRPr="000758CD" w:rsidRDefault="007A6DE5" w:rsidP="00A15ABD">
            <w:pPr>
              <w:rPr>
                <w:rFonts w:cs="Arial"/>
                <w:bCs w:val="0"/>
                <w:lang w:eastAsia="en-GB"/>
              </w:rPr>
            </w:pPr>
            <w:r>
              <w:rPr>
                <w:rFonts w:cs="Arial"/>
                <w:lang w:eastAsia="en-GB"/>
              </w:rPr>
              <w:t>47.5% or greater</w:t>
            </w:r>
          </w:p>
        </w:tc>
        <w:tc>
          <w:tcPr>
            <w:tcW w:w="4678" w:type="dxa"/>
            <w:tcBorders>
              <w:top w:val="nil"/>
              <w:left w:val="single" w:sz="4" w:space="0" w:color="auto"/>
              <w:bottom w:val="single" w:sz="4" w:space="0" w:color="auto"/>
              <w:right w:val="single" w:sz="4" w:space="0" w:color="auto"/>
            </w:tcBorders>
          </w:tcPr>
          <w:p w:rsidR="007A6DE5" w:rsidRPr="00A27794" w:rsidRDefault="007A6DE5" w:rsidP="00A15ABD">
            <w:pPr>
              <w:rPr>
                <w:rFonts w:cs="Arial"/>
                <w:bCs w:val="0"/>
                <w:lang w:eastAsia="en-GB"/>
              </w:rPr>
            </w:pPr>
            <w:r w:rsidRPr="00A27794">
              <w:rPr>
                <w:rFonts w:cs="Arial"/>
                <w:lang w:eastAsia="en-GB"/>
              </w:rPr>
              <w:t>100% payment</w:t>
            </w:r>
          </w:p>
        </w:tc>
      </w:tr>
    </w:tbl>
    <w:p w:rsidR="007A6DE5" w:rsidRDefault="007A6DE5" w:rsidP="00D06808">
      <w:pPr>
        <w:rPr>
          <w:rFonts w:cs="Arial"/>
          <w:b/>
          <w:bCs w:val="0"/>
          <w:szCs w:val="24"/>
          <w:lang w:eastAsia="en-GB"/>
        </w:rPr>
      </w:pPr>
    </w:p>
    <w:p w:rsidR="007A6DE5" w:rsidRPr="00A27794" w:rsidRDefault="007A6DE5" w:rsidP="00D06808">
      <w:pPr>
        <w:rPr>
          <w:rFonts w:cs="Arial"/>
          <w:b/>
          <w:bCs w:val="0"/>
          <w:szCs w:val="24"/>
          <w:lang w:eastAsia="en-GB"/>
        </w:rPr>
      </w:pPr>
    </w:p>
    <w:p w:rsidR="00D06808" w:rsidRPr="00A27794" w:rsidRDefault="00D06808" w:rsidP="00D06808">
      <w:pPr>
        <w:rPr>
          <w:rFonts w:cs="Arial"/>
          <w:b/>
          <w:bCs w:val="0"/>
          <w:szCs w:val="24"/>
          <w:lang w:eastAsia="en-GB"/>
        </w:rPr>
      </w:pPr>
      <w:r w:rsidRPr="00A27794">
        <w:rPr>
          <w:rFonts w:cs="Arial"/>
          <w:b/>
          <w:szCs w:val="24"/>
          <w:lang w:eastAsia="en-GB"/>
        </w:rPr>
        <w:t>Year 2 (18/19)</w:t>
      </w:r>
    </w:p>
    <w:p w:rsidR="00D06808" w:rsidRPr="00A27794" w:rsidRDefault="00D06808" w:rsidP="00D06808">
      <w:pPr>
        <w:rPr>
          <w:rFonts w:cs="Arial"/>
          <w:b/>
          <w:bCs w:val="0"/>
          <w:szCs w:val="24"/>
          <w:lang w:eastAsia="en-GB"/>
        </w:rPr>
      </w:pPr>
      <w:r w:rsidRPr="00505963">
        <w:rPr>
          <w:rFonts w:cs="Arial"/>
          <w:b/>
          <w:szCs w:val="24"/>
          <w:lang w:eastAsia="en-GB"/>
        </w:rPr>
        <w:t xml:space="preserve">By the end of Q4 </w:t>
      </w:r>
      <w:r>
        <w:rPr>
          <w:rFonts w:cs="Arial"/>
          <w:b/>
          <w:szCs w:val="24"/>
          <w:lang w:eastAsia="en-GB"/>
        </w:rPr>
        <w:t>7.5</w:t>
      </w:r>
      <w:r w:rsidRPr="00505963">
        <w:rPr>
          <w:rFonts w:cs="Arial"/>
          <w:b/>
          <w:szCs w:val="24"/>
          <w:lang w:eastAsia="en-GB"/>
        </w:rPr>
        <w:t xml:space="preserve">% </w:t>
      </w:r>
      <w:r>
        <w:rPr>
          <w:rFonts w:cs="Arial"/>
          <w:b/>
          <w:szCs w:val="24"/>
          <w:lang w:eastAsia="en-GB"/>
        </w:rPr>
        <w:t>point increase from baseline in no.</w:t>
      </w:r>
      <w:r w:rsidRPr="00505963">
        <w:rPr>
          <w:rFonts w:cs="Arial"/>
          <w:b/>
          <w:szCs w:val="24"/>
          <w:lang w:eastAsia="en-GB"/>
        </w:rPr>
        <w:t xml:space="preserve"> patients discharged to usual place of residence </w:t>
      </w:r>
    </w:p>
    <w:tbl>
      <w:tblPr>
        <w:tblW w:w="8931" w:type="dxa"/>
        <w:tblInd w:w="-34" w:type="dxa"/>
        <w:tblLook w:val="0000" w:firstRow="0" w:lastRow="0" w:firstColumn="0" w:lastColumn="0" w:noHBand="0" w:noVBand="0"/>
      </w:tblPr>
      <w:tblGrid>
        <w:gridCol w:w="4253"/>
        <w:gridCol w:w="4678"/>
      </w:tblGrid>
      <w:tr w:rsidR="00D06808" w:rsidRPr="00A27794" w:rsidTr="00567305">
        <w:trPr>
          <w:trHeight w:val="700"/>
          <w:tblHeader/>
        </w:trPr>
        <w:tc>
          <w:tcPr>
            <w:tcW w:w="4253" w:type="dxa"/>
            <w:tcBorders>
              <w:top w:val="single" w:sz="4" w:space="0" w:color="auto"/>
              <w:left w:val="single" w:sz="4" w:space="0" w:color="auto"/>
              <w:bottom w:val="single" w:sz="4" w:space="0" w:color="auto"/>
              <w:right w:val="nil"/>
            </w:tcBorders>
            <w:shd w:val="clear" w:color="auto" w:fill="0070C0"/>
            <w:noWrap/>
          </w:tcPr>
          <w:p w:rsidR="00D06808" w:rsidRPr="000758CD" w:rsidRDefault="00D06808" w:rsidP="00526046">
            <w:pPr>
              <w:rPr>
                <w:rFonts w:cs="Arial"/>
                <w:b/>
                <w:color w:val="FFFFFF" w:themeColor="background1"/>
                <w:lang w:eastAsia="en-GB"/>
              </w:rPr>
            </w:pPr>
            <w:r w:rsidRPr="000758CD">
              <w:rPr>
                <w:rFonts w:cs="Arial"/>
                <w:b/>
                <w:color w:val="FFFFFF" w:themeColor="background1"/>
                <w:lang w:eastAsia="en-GB"/>
              </w:rPr>
              <w:t>Final indicator value for the partial achievement threshold</w:t>
            </w:r>
          </w:p>
        </w:tc>
        <w:tc>
          <w:tcPr>
            <w:tcW w:w="4678" w:type="dxa"/>
            <w:tcBorders>
              <w:top w:val="single" w:sz="4" w:space="0" w:color="auto"/>
              <w:left w:val="single" w:sz="4" w:space="0" w:color="auto"/>
              <w:bottom w:val="single" w:sz="4" w:space="0" w:color="auto"/>
              <w:right w:val="single" w:sz="4" w:space="0" w:color="auto"/>
            </w:tcBorders>
            <w:shd w:val="clear" w:color="auto" w:fill="0070C0"/>
          </w:tcPr>
          <w:p w:rsidR="00D06808" w:rsidRPr="000758CD" w:rsidRDefault="00D06808" w:rsidP="00526046">
            <w:pPr>
              <w:rPr>
                <w:rFonts w:cs="Arial"/>
                <w:b/>
                <w:color w:val="FFFFFF" w:themeColor="background1"/>
                <w:lang w:eastAsia="en-GB"/>
              </w:rPr>
            </w:pPr>
            <w:r w:rsidRPr="000758CD">
              <w:rPr>
                <w:rFonts w:cs="Arial"/>
                <w:b/>
                <w:color w:val="FFFFFF" w:themeColor="background1"/>
                <w:lang w:eastAsia="en-GB"/>
              </w:rPr>
              <w:t>% of CQUIN scheme available for meeting final indicator value</w:t>
            </w:r>
          </w:p>
        </w:tc>
      </w:tr>
      <w:tr w:rsidR="00D06808" w:rsidRPr="00A27794" w:rsidTr="00567305">
        <w:trPr>
          <w:trHeight w:val="348"/>
        </w:trPr>
        <w:tc>
          <w:tcPr>
            <w:tcW w:w="4253" w:type="dxa"/>
            <w:tcBorders>
              <w:top w:val="nil"/>
              <w:left w:val="single" w:sz="4" w:space="0" w:color="auto"/>
              <w:bottom w:val="single" w:sz="4" w:space="0" w:color="auto"/>
              <w:right w:val="nil"/>
            </w:tcBorders>
          </w:tcPr>
          <w:p w:rsidR="00D06808" w:rsidRPr="000758CD" w:rsidRDefault="00D06808" w:rsidP="00526046">
            <w:pPr>
              <w:rPr>
                <w:rFonts w:cs="Arial"/>
                <w:bCs w:val="0"/>
                <w:lang w:eastAsia="en-GB"/>
              </w:rPr>
            </w:pPr>
            <w:r w:rsidRPr="000758CD">
              <w:rPr>
                <w:rFonts w:cs="Arial"/>
                <w:lang w:eastAsia="en-GB"/>
              </w:rPr>
              <w:t xml:space="preserve">Less than </w:t>
            </w:r>
            <w:r>
              <w:rPr>
                <w:rFonts w:cs="Arial"/>
                <w:lang w:eastAsia="en-GB"/>
              </w:rPr>
              <w:t>3</w:t>
            </w:r>
            <w:r w:rsidRPr="000758CD">
              <w:rPr>
                <w:rFonts w:cs="Arial"/>
                <w:lang w:eastAsia="en-GB"/>
              </w:rPr>
              <w:t>%</w:t>
            </w:r>
            <w:r>
              <w:rPr>
                <w:rFonts w:cs="Arial"/>
                <w:lang w:eastAsia="en-GB"/>
              </w:rPr>
              <w:t xml:space="preserve"> point increase </w:t>
            </w:r>
          </w:p>
        </w:tc>
        <w:tc>
          <w:tcPr>
            <w:tcW w:w="4678" w:type="dxa"/>
            <w:tcBorders>
              <w:top w:val="nil"/>
              <w:left w:val="single" w:sz="4" w:space="0" w:color="auto"/>
              <w:bottom w:val="single" w:sz="4" w:space="0" w:color="auto"/>
              <w:right w:val="single" w:sz="4" w:space="0" w:color="auto"/>
            </w:tcBorders>
          </w:tcPr>
          <w:p w:rsidR="00D06808" w:rsidRPr="00A27794" w:rsidRDefault="00D06808" w:rsidP="00526046">
            <w:pPr>
              <w:rPr>
                <w:rFonts w:cs="Arial"/>
                <w:bCs w:val="0"/>
                <w:lang w:eastAsia="en-GB"/>
              </w:rPr>
            </w:pPr>
            <w:r w:rsidRPr="00A27794">
              <w:rPr>
                <w:rFonts w:cs="Arial"/>
                <w:lang w:eastAsia="en-GB"/>
              </w:rPr>
              <w:t>No payment</w:t>
            </w:r>
          </w:p>
        </w:tc>
      </w:tr>
      <w:tr w:rsidR="00D06808" w:rsidRPr="00A27794" w:rsidTr="00567305">
        <w:trPr>
          <w:trHeight w:val="348"/>
        </w:trPr>
        <w:tc>
          <w:tcPr>
            <w:tcW w:w="4253" w:type="dxa"/>
            <w:tcBorders>
              <w:top w:val="nil"/>
              <w:left w:val="single" w:sz="4" w:space="0" w:color="auto"/>
              <w:bottom w:val="single" w:sz="4" w:space="0" w:color="auto"/>
              <w:right w:val="nil"/>
            </w:tcBorders>
          </w:tcPr>
          <w:p w:rsidR="00D06808" w:rsidRPr="000758CD" w:rsidRDefault="00D06808" w:rsidP="00526046">
            <w:pPr>
              <w:rPr>
                <w:rFonts w:cs="Arial"/>
                <w:bCs w:val="0"/>
                <w:lang w:eastAsia="en-GB"/>
              </w:rPr>
            </w:pPr>
            <w:r>
              <w:rPr>
                <w:rFonts w:cs="Arial"/>
                <w:lang w:eastAsia="en-GB"/>
              </w:rPr>
              <w:t>3 up to 6</w:t>
            </w:r>
            <w:r w:rsidRPr="000758CD">
              <w:rPr>
                <w:rFonts w:cs="Arial"/>
                <w:lang w:eastAsia="en-GB"/>
              </w:rPr>
              <w:t>.</w:t>
            </w:r>
            <w:r>
              <w:rPr>
                <w:rFonts w:cs="Arial"/>
                <w:lang w:eastAsia="en-GB"/>
              </w:rPr>
              <w:t>49</w:t>
            </w:r>
            <w:r w:rsidRPr="000758CD">
              <w:rPr>
                <w:rFonts w:cs="Arial"/>
                <w:lang w:eastAsia="en-GB"/>
              </w:rPr>
              <w:t xml:space="preserve">% point increase </w:t>
            </w:r>
            <w:r>
              <w:rPr>
                <w:rFonts w:cs="Arial"/>
                <w:lang w:eastAsia="en-GB"/>
              </w:rPr>
              <w:t xml:space="preserve"> </w:t>
            </w:r>
          </w:p>
        </w:tc>
        <w:tc>
          <w:tcPr>
            <w:tcW w:w="4678" w:type="dxa"/>
            <w:tcBorders>
              <w:top w:val="nil"/>
              <w:left w:val="single" w:sz="4" w:space="0" w:color="auto"/>
              <w:bottom w:val="single" w:sz="4" w:space="0" w:color="auto"/>
              <w:right w:val="single" w:sz="4" w:space="0" w:color="auto"/>
            </w:tcBorders>
          </w:tcPr>
          <w:p w:rsidR="00D06808" w:rsidRPr="00A27794" w:rsidRDefault="00D06808" w:rsidP="00526046">
            <w:pPr>
              <w:rPr>
                <w:rFonts w:cs="Arial"/>
                <w:bCs w:val="0"/>
                <w:lang w:eastAsia="en-GB"/>
              </w:rPr>
            </w:pPr>
            <w:r w:rsidRPr="00A27794">
              <w:rPr>
                <w:rFonts w:cs="Arial"/>
                <w:lang w:eastAsia="en-GB"/>
              </w:rPr>
              <w:t xml:space="preserve">50% of payment </w:t>
            </w:r>
          </w:p>
        </w:tc>
      </w:tr>
      <w:tr w:rsidR="00D06808" w:rsidRPr="00A27794" w:rsidTr="00567305">
        <w:trPr>
          <w:trHeight w:val="348"/>
        </w:trPr>
        <w:tc>
          <w:tcPr>
            <w:tcW w:w="4253" w:type="dxa"/>
            <w:tcBorders>
              <w:top w:val="nil"/>
              <w:left w:val="single" w:sz="4" w:space="0" w:color="auto"/>
              <w:bottom w:val="single" w:sz="4" w:space="0" w:color="auto"/>
              <w:right w:val="nil"/>
            </w:tcBorders>
          </w:tcPr>
          <w:p w:rsidR="00D06808" w:rsidRPr="000758CD" w:rsidRDefault="00D06808" w:rsidP="00526046">
            <w:pPr>
              <w:rPr>
                <w:rFonts w:cs="Arial"/>
                <w:bCs w:val="0"/>
                <w:lang w:eastAsia="en-GB"/>
              </w:rPr>
            </w:pPr>
            <w:r>
              <w:rPr>
                <w:rFonts w:cs="Arial"/>
                <w:lang w:eastAsia="en-GB"/>
              </w:rPr>
              <w:t>6.5 up to 7.49</w:t>
            </w:r>
            <w:r w:rsidRPr="000758CD">
              <w:rPr>
                <w:rFonts w:cs="Arial"/>
                <w:lang w:eastAsia="en-GB"/>
              </w:rPr>
              <w:t>% point increase</w:t>
            </w:r>
          </w:p>
        </w:tc>
        <w:tc>
          <w:tcPr>
            <w:tcW w:w="4678" w:type="dxa"/>
            <w:tcBorders>
              <w:top w:val="nil"/>
              <w:left w:val="single" w:sz="4" w:space="0" w:color="auto"/>
              <w:bottom w:val="single" w:sz="4" w:space="0" w:color="auto"/>
              <w:right w:val="single" w:sz="4" w:space="0" w:color="auto"/>
            </w:tcBorders>
          </w:tcPr>
          <w:p w:rsidR="00D06808" w:rsidRPr="00A27794" w:rsidRDefault="00D06808" w:rsidP="00526046">
            <w:pPr>
              <w:rPr>
                <w:rFonts w:cs="Arial"/>
                <w:bCs w:val="0"/>
                <w:lang w:eastAsia="en-GB"/>
              </w:rPr>
            </w:pPr>
            <w:r>
              <w:rPr>
                <w:rFonts w:cs="Arial"/>
                <w:lang w:eastAsia="en-GB"/>
              </w:rPr>
              <w:t>80</w:t>
            </w:r>
            <w:r w:rsidRPr="00A27794">
              <w:rPr>
                <w:rFonts w:cs="Arial"/>
                <w:lang w:eastAsia="en-GB"/>
              </w:rPr>
              <w:t>% of payment</w:t>
            </w:r>
          </w:p>
        </w:tc>
      </w:tr>
      <w:tr w:rsidR="00D06808" w:rsidRPr="00A27794" w:rsidTr="00567305">
        <w:trPr>
          <w:trHeight w:val="346"/>
        </w:trPr>
        <w:tc>
          <w:tcPr>
            <w:tcW w:w="4253" w:type="dxa"/>
            <w:tcBorders>
              <w:top w:val="nil"/>
              <w:left w:val="single" w:sz="4" w:space="0" w:color="auto"/>
              <w:bottom w:val="single" w:sz="4" w:space="0" w:color="auto"/>
              <w:right w:val="nil"/>
            </w:tcBorders>
          </w:tcPr>
          <w:p w:rsidR="00D06808" w:rsidRPr="000758CD" w:rsidRDefault="00D06808" w:rsidP="00526046">
            <w:pPr>
              <w:rPr>
                <w:rFonts w:cs="Arial"/>
                <w:bCs w:val="0"/>
                <w:lang w:eastAsia="en-GB"/>
              </w:rPr>
            </w:pPr>
            <w:r>
              <w:rPr>
                <w:rFonts w:cs="Arial"/>
                <w:lang w:eastAsia="en-GB"/>
              </w:rPr>
              <w:t>7.5</w:t>
            </w:r>
            <w:r w:rsidRPr="000758CD">
              <w:rPr>
                <w:rFonts w:cs="Arial"/>
                <w:lang w:eastAsia="en-GB"/>
              </w:rPr>
              <w:t>% point increase</w:t>
            </w:r>
          </w:p>
        </w:tc>
        <w:tc>
          <w:tcPr>
            <w:tcW w:w="4678" w:type="dxa"/>
            <w:tcBorders>
              <w:top w:val="nil"/>
              <w:left w:val="single" w:sz="4" w:space="0" w:color="auto"/>
              <w:bottom w:val="single" w:sz="4" w:space="0" w:color="auto"/>
              <w:right w:val="single" w:sz="4" w:space="0" w:color="auto"/>
            </w:tcBorders>
          </w:tcPr>
          <w:p w:rsidR="00D06808" w:rsidRPr="00A27794" w:rsidRDefault="00D06808" w:rsidP="00526046">
            <w:pPr>
              <w:rPr>
                <w:rFonts w:cs="Arial"/>
                <w:bCs w:val="0"/>
                <w:lang w:eastAsia="en-GB"/>
              </w:rPr>
            </w:pPr>
            <w:r w:rsidRPr="00A27794">
              <w:rPr>
                <w:rFonts w:cs="Arial"/>
                <w:lang w:eastAsia="en-GB"/>
              </w:rPr>
              <w:t>100% of payment</w:t>
            </w:r>
          </w:p>
        </w:tc>
      </w:tr>
      <w:bookmarkEnd w:id="66"/>
      <w:bookmarkEnd w:id="67"/>
      <w:bookmarkEnd w:id="68"/>
    </w:tbl>
    <w:p w:rsidR="00D06808" w:rsidRDefault="00D06808" w:rsidP="00D06808">
      <w:pPr>
        <w:rPr>
          <w:rFonts w:cs="Arial"/>
          <w:b/>
          <w:bCs w:val="0"/>
          <w:szCs w:val="24"/>
          <w:lang w:eastAsia="en-GB"/>
        </w:rPr>
      </w:pPr>
    </w:p>
    <w:p w:rsidR="007A6DE5" w:rsidRDefault="007A6DE5" w:rsidP="00D06808">
      <w:pPr>
        <w:rPr>
          <w:rFonts w:cs="Arial"/>
          <w:b/>
          <w:bCs w:val="0"/>
          <w:szCs w:val="24"/>
          <w:lang w:eastAsia="en-GB"/>
        </w:rPr>
      </w:pPr>
      <w:r>
        <w:rPr>
          <w:rFonts w:cs="Arial"/>
          <w:b/>
          <w:bCs w:val="0"/>
          <w:szCs w:val="24"/>
          <w:lang w:eastAsia="en-GB"/>
        </w:rPr>
        <w:t>Or</w:t>
      </w:r>
    </w:p>
    <w:p w:rsidR="00D06808" w:rsidRDefault="00D06808">
      <w:pPr>
        <w:rPr>
          <w:rFonts w:cs="Arial"/>
          <w:b/>
          <w:szCs w:val="24"/>
          <w:lang w:eastAsia="en-GB"/>
        </w:rPr>
      </w:pPr>
    </w:p>
    <w:p w:rsidR="00D06808" w:rsidRPr="00A27794" w:rsidRDefault="00D06808" w:rsidP="00D06808">
      <w:pPr>
        <w:rPr>
          <w:rFonts w:cs="Arial"/>
          <w:b/>
          <w:bCs w:val="0"/>
          <w:szCs w:val="24"/>
          <w:lang w:eastAsia="en-GB"/>
        </w:rPr>
      </w:pPr>
      <w:r w:rsidRPr="00A27794">
        <w:rPr>
          <w:rFonts w:cs="Arial"/>
          <w:b/>
          <w:szCs w:val="24"/>
          <w:lang w:eastAsia="en-GB"/>
        </w:rPr>
        <w:t>Year 2 (18/19)</w:t>
      </w:r>
    </w:p>
    <w:p w:rsidR="00D06808" w:rsidRPr="00505963" w:rsidRDefault="00D06808" w:rsidP="00D06808">
      <w:pPr>
        <w:rPr>
          <w:rFonts w:cs="Arial"/>
          <w:b/>
          <w:bCs w:val="0"/>
          <w:szCs w:val="24"/>
          <w:lang w:eastAsia="en-GB"/>
        </w:rPr>
      </w:pPr>
      <w:r w:rsidRPr="00505963">
        <w:rPr>
          <w:rFonts w:cs="Arial"/>
          <w:b/>
          <w:szCs w:val="24"/>
          <w:lang w:eastAsia="en-GB"/>
        </w:rPr>
        <w:t xml:space="preserve">By the end of Q4 </w:t>
      </w:r>
      <w:r>
        <w:rPr>
          <w:rFonts w:cs="Arial"/>
          <w:b/>
          <w:szCs w:val="24"/>
          <w:lang w:eastAsia="en-GB"/>
        </w:rPr>
        <w:t>50</w:t>
      </w:r>
      <w:r w:rsidRPr="00505963">
        <w:rPr>
          <w:rFonts w:cs="Arial"/>
          <w:b/>
          <w:szCs w:val="24"/>
          <w:lang w:eastAsia="en-GB"/>
        </w:rPr>
        <w:t xml:space="preserve">% </w:t>
      </w:r>
      <w:r>
        <w:rPr>
          <w:rFonts w:cs="Arial"/>
          <w:b/>
          <w:szCs w:val="24"/>
          <w:lang w:eastAsia="en-GB"/>
        </w:rPr>
        <w:t>in % of</w:t>
      </w:r>
      <w:r w:rsidRPr="00505963">
        <w:rPr>
          <w:rFonts w:cs="Arial"/>
          <w:b/>
          <w:szCs w:val="24"/>
          <w:lang w:eastAsia="en-GB"/>
        </w:rPr>
        <w:t xml:space="preserve"> patients discharged to usual place of residence </w:t>
      </w:r>
    </w:p>
    <w:tbl>
      <w:tblPr>
        <w:tblW w:w="8931" w:type="dxa"/>
        <w:tblInd w:w="-34" w:type="dxa"/>
        <w:tblLook w:val="0000" w:firstRow="0" w:lastRow="0" w:firstColumn="0" w:lastColumn="0" w:noHBand="0" w:noVBand="0"/>
      </w:tblPr>
      <w:tblGrid>
        <w:gridCol w:w="4253"/>
        <w:gridCol w:w="4678"/>
      </w:tblGrid>
      <w:tr w:rsidR="00D06808" w:rsidRPr="00A27794" w:rsidTr="00567305">
        <w:trPr>
          <w:trHeight w:val="700"/>
          <w:tblHeader/>
        </w:trPr>
        <w:tc>
          <w:tcPr>
            <w:tcW w:w="4253" w:type="dxa"/>
            <w:tcBorders>
              <w:top w:val="single" w:sz="4" w:space="0" w:color="auto"/>
              <w:left w:val="single" w:sz="4" w:space="0" w:color="auto"/>
              <w:bottom w:val="single" w:sz="4" w:space="0" w:color="auto"/>
              <w:right w:val="nil"/>
            </w:tcBorders>
            <w:shd w:val="clear" w:color="auto" w:fill="0070C0"/>
            <w:noWrap/>
          </w:tcPr>
          <w:p w:rsidR="00D06808" w:rsidRPr="000758CD" w:rsidRDefault="00D06808" w:rsidP="00526046">
            <w:pPr>
              <w:rPr>
                <w:rFonts w:cs="Arial"/>
                <w:b/>
                <w:color w:val="FFFFFF" w:themeColor="background1"/>
                <w:lang w:eastAsia="en-GB"/>
              </w:rPr>
            </w:pPr>
            <w:r w:rsidRPr="000758CD">
              <w:rPr>
                <w:rFonts w:cs="Arial"/>
                <w:b/>
                <w:color w:val="FFFFFF" w:themeColor="background1"/>
                <w:lang w:eastAsia="en-GB"/>
              </w:rPr>
              <w:t>Final indicator value for the partial achievement threshold</w:t>
            </w:r>
          </w:p>
        </w:tc>
        <w:tc>
          <w:tcPr>
            <w:tcW w:w="4678" w:type="dxa"/>
            <w:tcBorders>
              <w:top w:val="single" w:sz="4" w:space="0" w:color="auto"/>
              <w:left w:val="single" w:sz="4" w:space="0" w:color="auto"/>
              <w:bottom w:val="single" w:sz="4" w:space="0" w:color="auto"/>
              <w:right w:val="single" w:sz="4" w:space="0" w:color="auto"/>
            </w:tcBorders>
            <w:shd w:val="clear" w:color="auto" w:fill="0070C0"/>
          </w:tcPr>
          <w:p w:rsidR="00D06808" w:rsidRPr="000758CD" w:rsidRDefault="00D06808" w:rsidP="00526046">
            <w:pPr>
              <w:rPr>
                <w:rFonts w:cs="Arial"/>
                <w:b/>
                <w:color w:val="FFFFFF" w:themeColor="background1"/>
                <w:lang w:eastAsia="en-GB"/>
              </w:rPr>
            </w:pPr>
            <w:r w:rsidRPr="000758CD">
              <w:rPr>
                <w:rFonts w:cs="Arial"/>
                <w:b/>
                <w:color w:val="FFFFFF" w:themeColor="background1"/>
                <w:lang w:eastAsia="en-GB"/>
              </w:rPr>
              <w:t>% of CQUIN scheme available for meeting final indicator value</w:t>
            </w:r>
          </w:p>
        </w:tc>
      </w:tr>
      <w:tr w:rsidR="00D06808" w:rsidRPr="00A27794" w:rsidTr="00567305">
        <w:trPr>
          <w:trHeight w:val="348"/>
        </w:trPr>
        <w:tc>
          <w:tcPr>
            <w:tcW w:w="4253" w:type="dxa"/>
            <w:tcBorders>
              <w:top w:val="nil"/>
              <w:left w:val="single" w:sz="4" w:space="0" w:color="auto"/>
              <w:bottom w:val="single" w:sz="4" w:space="0" w:color="auto"/>
              <w:right w:val="nil"/>
            </w:tcBorders>
          </w:tcPr>
          <w:p w:rsidR="00D06808" w:rsidRPr="000758CD" w:rsidRDefault="00D06808" w:rsidP="00526046">
            <w:pPr>
              <w:rPr>
                <w:rFonts w:cs="Arial"/>
                <w:bCs w:val="0"/>
                <w:lang w:eastAsia="en-GB"/>
              </w:rPr>
            </w:pPr>
            <w:r>
              <w:rPr>
                <w:rFonts w:cs="Arial"/>
                <w:lang w:eastAsia="en-GB"/>
              </w:rPr>
              <w:t>Less than 45%</w:t>
            </w:r>
          </w:p>
        </w:tc>
        <w:tc>
          <w:tcPr>
            <w:tcW w:w="4678" w:type="dxa"/>
            <w:tcBorders>
              <w:top w:val="nil"/>
              <w:left w:val="single" w:sz="4" w:space="0" w:color="auto"/>
              <w:bottom w:val="single" w:sz="4" w:space="0" w:color="auto"/>
              <w:right w:val="single" w:sz="4" w:space="0" w:color="auto"/>
            </w:tcBorders>
          </w:tcPr>
          <w:p w:rsidR="00D06808" w:rsidRPr="00A27794" w:rsidRDefault="00D06808" w:rsidP="00526046">
            <w:pPr>
              <w:rPr>
                <w:rFonts w:cs="Arial"/>
                <w:bCs w:val="0"/>
                <w:lang w:eastAsia="en-GB"/>
              </w:rPr>
            </w:pPr>
            <w:r w:rsidRPr="00A27794">
              <w:rPr>
                <w:rFonts w:cs="Arial"/>
                <w:lang w:eastAsia="en-GB"/>
              </w:rPr>
              <w:t>No payment</w:t>
            </w:r>
          </w:p>
        </w:tc>
      </w:tr>
      <w:tr w:rsidR="00D06808" w:rsidRPr="00A27794" w:rsidTr="00567305">
        <w:trPr>
          <w:trHeight w:val="348"/>
        </w:trPr>
        <w:tc>
          <w:tcPr>
            <w:tcW w:w="4253" w:type="dxa"/>
            <w:tcBorders>
              <w:top w:val="nil"/>
              <w:left w:val="single" w:sz="4" w:space="0" w:color="auto"/>
              <w:bottom w:val="single" w:sz="4" w:space="0" w:color="auto"/>
              <w:right w:val="nil"/>
            </w:tcBorders>
          </w:tcPr>
          <w:p w:rsidR="00D06808" w:rsidRPr="000758CD" w:rsidRDefault="00D06808" w:rsidP="00526046">
            <w:pPr>
              <w:rPr>
                <w:rFonts w:cs="Arial"/>
                <w:bCs w:val="0"/>
              </w:rPr>
            </w:pPr>
            <w:r>
              <w:rPr>
                <w:rFonts w:cs="Arial"/>
                <w:lang w:eastAsia="en-GB"/>
              </w:rPr>
              <w:t>45% up to 47.49%</w:t>
            </w:r>
          </w:p>
        </w:tc>
        <w:tc>
          <w:tcPr>
            <w:tcW w:w="4678" w:type="dxa"/>
            <w:tcBorders>
              <w:top w:val="nil"/>
              <w:left w:val="single" w:sz="4" w:space="0" w:color="auto"/>
              <w:bottom w:val="single" w:sz="4" w:space="0" w:color="auto"/>
              <w:right w:val="single" w:sz="4" w:space="0" w:color="auto"/>
            </w:tcBorders>
          </w:tcPr>
          <w:p w:rsidR="00D06808" w:rsidRPr="00A27794" w:rsidRDefault="00D06808" w:rsidP="00526046">
            <w:pPr>
              <w:rPr>
                <w:rFonts w:cs="Arial"/>
                <w:bCs w:val="0"/>
                <w:lang w:eastAsia="en-GB"/>
              </w:rPr>
            </w:pPr>
            <w:r w:rsidRPr="00A27794">
              <w:rPr>
                <w:rFonts w:cs="Arial"/>
                <w:lang w:eastAsia="en-GB"/>
              </w:rPr>
              <w:t xml:space="preserve">50% of payment </w:t>
            </w:r>
          </w:p>
        </w:tc>
      </w:tr>
      <w:tr w:rsidR="00D06808" w:rsidRPr="00A27794" w:rsidTr="00567305">
        <w:trPr>
          <w:trHeight w:val="348"/>
        </w:trPr>
        <w:tc>
          <w:tcPr>
            <w:tcW w:w="4253" w:type="dxa"/>
            <w:tcBorders>
              <w:top w:val="nil"/>
              <w:left w:val="single" w:sz="4" w:space="0" w:color="auto"/>
              <w:bottom w:val="single" w:sz="4" w:space="0" w:color="auto"/>
              <w:right w:val="nil"/>
            </w:tcBorders>
          </w:tcPr>
          <w:p w:rsidR="00D06808" w:rsidRPr="000758CD" w:rsidRDefault="00D06808" w:rsidP="00526046">
            <w:pPr>
              <w:rPr>
                <w:rFonts w:cs="Arial"/>
                <w:bCs w:val="0"/>
                <w:lang w:eastAsia="en-GB"/>
              </w:rPr>
            </w:pPr>
            <w:r>
              <w:rPr>
                <w:rFonts w:cs="Arial"/>
                <w:lang w:eastAsia="en-GB"/>
              </w:rPr>
              <w:t>47.5% up to 49.9%</w:t>
            </w:r>
          </w:p>
        </w:tc>
        <w:tc>
          <w:tcPr>
            <w:tcW w:w="4678" w:type="dxa"/>
            <w:tcBorders>
              <w:top w:val="nil"/>
              <w:left w:val="single" w:sz="4" w:space="0" w:color="auto"/>
              <w:bottom w:val="single" w:sz="4" w:space="0" w:color="auto"/>
              <w:right w:val="single" w:sz="4" w:space="0" w:color="auto"/>
            </w:tcBorders>
          </w:tcPr>
          <w:p w:rsidR="00D06808" w:rsidRPr="00A27794" w:rsidRDefault="00D06808" w:rsidP="00526046">
            <w:pPr>
              <w:rPr>
                <w:rFonts w:cs="Arial"/>
                <w:bCs w:val="0"/>
                <w:lang w:eastAsia="en-GB"/>
              </w:rPr>
            </w:pPr>
            <w:r>
              <w:rPr>
                <w:rFonts w:cs="Arial"/>
                <w:lang w:eastAsia="en-GB"/>
              </w:rPr>
              <w:t>80</w:t>
            </w:r>
            <w:r w:rsidRPr="00A27794">
              <w:rPr>
                <w:rFonts w:cs="Arial"/>
                <w:lang w:eastAsia="en-GB"/>
              </w:rPr>
              <w:t>% of payment</w:t>
            </w:r>
          </w:p>
        </w:tc>
      </w:tr>
      <w:tr w:rsidR="00D06808" w:rsidRPr="00A27794" w:rsidTr="00567305">
        <w:trPr>
          <w:trHeight w:val="346"/>
        </w:trPr>
        <w:tc>
          <w:tcPr>
            <w:tcW w:w="4253" w:type="dxa"/>
            <w:tcBorders>
              <w:top w:val="nil"/>
              <w:left w:val="single" w:sz="4" w:space="0" w:color="auto"/>
              <w:bottom w:val="single" w:sz="4" w:space="0" w:color="auto"/>
              <w:right w:val="nil"/>
            </w:tcBorders>
          </w:tcPr>
          <w:p w:rsidR="00D06808" w:rsidRPr="000758CD" w:rsidRDefault="00D06808" w:rsidP="00526046">
            <w:pPr>
              <w:rPr>
                <w:rFonts w:cs="Arial"/>
                <w:bCs w:val="0"/>
                <w:lang w:eastAsia="en-GB"/>
              </w:rPr>
            </w:pPr>
            <w:r>
              <w:rPr>
                <w:rFonts w:cs="Arial"/>
                <w:lang w:eastAsia="en-GB"/>
              </w:rPr>
              <w:t>50% or greater</w:t>
            </w:r>
          </w:p>
        </w:tc>
        <w:tc>
          <w:tcPr>
            <w:tcW w:w="4678" w:type="dxa"/>
            <w:tcBorders>
              <w:top w:val="nil"/>
              <w:left w:val="single" w:sz="4" w:space="0" w:color="auto"/>
              <w:bottom w:val="single" w:sz="4" w:space="0" w:color="auto"/>
              <w:right w:val="single" w:sz="4" w:space="0" w:color="auto"/>
            </w:tcBorders>
          </w:tcPr>
          <w:p w:rsidR="00D06808" w:rsidRPr="00A27794" w:rsidRDefault="00D06808" w:rsidP="00526046">
            <w:pPr>
              <w:rPr>
                <w:rFonts w:cs="Arial"/>
                <w:bCs w:val="0"/>
                <w:lang w:eastAsia="en-GB"/>
              </w:rPr>
            </w:pPr>
            <w:r w:rsidRPr="00A27794">
              <w:rPr>
                <w:rFonts w:cs="Arial"/>
                <w:lang w:eastAsia="en-GB"/>
              </w:rPr>
              <w:t>100% of payment</w:t>
            </w:r>
          </w:p>
        </w:tc>
      </w:tr>
    </w:tbl>
    <w:p w:rsidR="00D06808" w:rsidRDefault="00D06808" w:rsidP="00DF18AB">
      <w:pPr>
        <w:rPr>
          <w:lang w:eastAsia="en-GB"/>
        </w:rPr>
      </w:pPr>
    </w:p>
    <w:p w:rsidR="000D4728" w:rsidRDefault="000D4728">
      <w:pPr>
        <w:rPr>
          <w:rFonts w:eastAsiaTheme="majorEastAsia" w:cstheme="majorBidi"/>
          <w:b/>
          <w:bCs w:val="0"/>
          <w:iCs/>
          <w:color w:val="A00054" w:themeColor="accent2"/>
          <w:lang w:eastAsia="en-GB"/>
        </w:rPr>
      </w:pPr>
      <w:r>
        <w:rPr>
          <w:lang w:eastAsia="en-GB"/>
        </w:rPr>
        <w:br w:type="page"/>
      </w:r>
    </w:p>
    <w:p w:rsidR="00D06808" w:rsidRDefault="00D06808" w:rsidP="00D06808">
      <w:pPr>
        <w:pStyle w:val="Heading4"/>
        <w:rPr>
          <w:lang w:eastAsia="en-GB"/>
        </w:rPr>
      </w:pPr>
      <w:r>
        <w:rPr>
          <w:lang w:eastAsia="en-GB"/>
        </w:rPr>
        <w:lastRenderedPageBreak/>
        <w:t>Indicator 8b – Community Trusts</w:t>
      </w:r>
    </w:p>
    <w:p w:rsidR="00D06808" w:rsidRDefault="00D06808" w:rsidP="00D06808">
      <w:pPr>
        <w:rPr>
          <w:lang w:eastAsia="en-GB"/>
        </w:rPr>
      </w:pPr>
    </w:p>
    <w:tbl>
      <w:tblPr>
        <w:tblStyle w:val="TableGrid5"/>
        <w:tblW w:w="0" w:type="auto"/>
        <w:tblLook w:val="04A0" w:firstRow="1" w:lastRow="0" w:firstColumn="1" w:lastColumn="0" w:noHBand="0" w:noVBand="1"/>
        <w:tblCaption w:val="Indicator"/>
      </w:tblPr>
      <w:tblGrid>
        <w:gridCol w:w="2518"/>
        <w:gridCol w:w="6379"/>
      </w:tblGrid>
      <w:tr w:rsidR="007B719E" w:rsidRPr="000758CD" w:rsidTr="00A15ABD">
        <w:trPr>
          <w:tblHeader/>
        </w:trPr>
        <w:tc>
          <w:tcPr>
            <w:tcW w:w="8897" w:type="dxa"/>
            <w:gridSpan w:val="2"/>
            <w:shd w:val="clear" w:color="auto" w:fill="0070C0"/>
          </w:tcPr>
          <w:p w:rsidR="007B719E" w:rsidRPr="000758CD" w:rsidRDefault="007B719E" w:rsidP="007B719E">
            <w:pPr>
              <w:jc w:val="center"/>
              <w:rPr>
                <w:rFonts w:cs="Arial"/>
              </w:rPr>
            </w:pPr>
            <w:r w:rsidRPr="000758CD">
              <w:rPr>
                <w:rFonts w:cs="Arial"/>
                <w:b/>
                <w:color w:val="FFFFFF" w:themeColor="background1"/>
              </w:rPr>
              <w:t>Indicator</w:t>
            </w:r>
            <w:r>
              <w:rPr>
                <w:rFonts w:cs="Arial"/>
                <w:b/>
                <w:color w:val="FFFFFF" w:themeColor="background1"/>
              </w:rPr>
              <w:t xml:space="preserve"> 8b – Community Trusts</w:t>
            </w:r>
          </w:p>
        </w:tc>
      </w:tr>
      <w:tr w:rsidR="007B719E" w:rsidRPr="000758CD" w:rsidTr="00A15ABD">
        <w:tc>
          <w:tcPr>
            <w:tcW w:w="2518" w:type="dxa"/>
          </w:tcPr>
          <w:p w:rsidR="007B719E" w:rsidRPr="000E4C8C" w:rsidRDefault="007B719E" w:rsidP="00A15ABD">
            <w:pPr>
              <w:rPr>
                <w:rFonts w:cs="Arial"/>
                <w:b/>
              </w:rPr>
            </w:pPr>
            <w:r w:rsidRPr="000E4C8C">
              <w:rPr>
                <w:rFonts w:cs="Arial"/>
                <w:b/>
                <w:color w:val="000000"/>
              </w:rPr>
              <w:t>Indicator name</w:t>
            </w:r>
          </w:p>
        </w:tc>
        <w:tc>
          <w:tcPr>
            <w:tcW w:w="6379" w:type="dxa"/>
          </w:tcPr>
          <w:p w:rsidR="007B719E" w:rsidRPr="000758CD" w:rsidRDefault="007B719E" w:rsidP="007B719E">
            <w:pPr>
              <w:rPr>
                <w:rFonts w:cs="Arial"/>
              </w:rPr>
            </w:pPr>
            <w:r w:rsidRPr="000758CD">
              <w:rPr>
                <w:rFonts w:cs="Arial"/>
              </w:rPr>
              <w:t>Supporting Proactive and Safe Discharge</w:t>
            </w:r>
            <w:r>
              <w:rPr>
                <w:rFonts w:cs="Arial"/>
              </w:rPr>
              <w:t xml:space="preserve"> – Community Providers</w:t>
            </w:r>
          </w:p>
        </w:tc>
      </w:tr>
      <w:tr w:rsidR="007B719E" w:rsidRPr="000758CD" w:rsidTr="00A15ABD">
        <w:tc>
          <w:tcPr>
            <w:tcW w:w="2518" w:type="dxa"/>
          </w:tcPr>
          <w:p w:rsidR="007B719E" w:rsidRPr="000E4C8C" w:rsidRDefault="007B719E" w:rsidP="00A15ABD">
            <w:pPr>
              <w:rPr>
                <w:rFonts w:cs="Arial"/>
                <w:b/>
              </w:rPr>
            </w:pPr>
            <w:r w:rsidRPr="000E4C8C">
              <w:rPr>
                <w:rFonts w:cs="Arial"/>
                <w:b/>
                <w:color w:val="000000"/>
              </w:rPr>
              <w:t xml:space="preserve">Indicator weighting </w:t>
            </w:r>
            <w:r w:rsidRPr="000E4C8C">
              <w:rPr>
                <w:rFonts w:cs="Arial"/>
                <w:b/>
                <w:color w:val="000000"/>
              </w:rPr>
              <w:br/>
              <w:t>(% of CQUIN scheme available)</w:t>
            </w:r>
          </w:p>
        </w:tc>
        <w:tc>
          <w:tcPr>
            <w:tcW w:w="6379" w:type="dxa"/>
          </w:tcPr>
          <w:p w:rsidR="007B719E" w:rsidRPr="000758CD" w:rsidRDefault="007B719E" w:rsidP="00A15ABD">
            <w:pPr>
              <w:rPr>
                <w:rFonts w:cs="Arial"/>
                <w:bCs w:val="0"/>
                <w:color w:val="000000"/>
              </w:rPr>
            </w:pPr>
            <w:r>
              <w:rPr>
                <w:rFonts w:cs="Arial"/>
                <w:color w:val="000000"/>
              </w:rPr>
              <w:t>0.25%</w:t>
            </w:r>
          </w:p>
        </w:tc>
      </w:tr>
      <w:tr w:rsidR="007B719E" w:rsidRPr="000758CD" w:rsidTr="00A15ABD">
        <w:tc>
          <w:tcPr>
            <w:tcW w:w="2518" w:type="dxa"/>
          </w:tcPr>
          <w:p w:rsidR="007B719E" w:rsidRPr="000E4C8C" w:rsidRDefault="007B719E" w:rsidP="00A15ABD">
            <w:pPr>
              <w:rPr>
                <w:rFonts w:cs="Arial"/>
                <w:b/>
              </w:rPr>
            </w:pPr>
            <w:r w:rsidRPr="000E4C8C">
              <w:rPr>
                <w:rFonts w:cs="Arial"/>
                <w:b/>
                <w:color w:val="000000"/>
              </w:rPr>
              <w:t>Description of indicator</w:t>
            </w:r>
          </w:p>
        </w:tc>
        <w:tc>
          <w:tcPr>
            <w:tcW w:w="6379" w:type="dxa"/>
          </w:tcPr>
          <w:p w:rsidR="007B719E" w:rsidRPr="000758CD" w:rsidRDefault="007B719E" w:rsidP="00A15ABD">
            <w:pPr>
              <w:keepNext/>
              <w:rPr>
                <w:b/>
              </w:rPr>
            </w:pPr>
            <w:r w:rsidRPr="000758CD">
              <w:rPr>
                <w:b/>
              </w:rPr>
              <w:t>Year 1 17/18</w:t>
            </w:r>
          </w:p>
          <w:p w:rsidR="007B719E" w:rsidRPr="000758CD" w:rsidRDefault="007B719E" w:rsidP="00A15ABD">
            <w:pPr>
              <w:keepNext/>
            </w:pPr>
          </w:p>
          <w:p w:rsidR="007B719E" w:rsidRPr="00BE236F" w:rsidRDefault="007B719E" w:rsidP="00A15ABD">
            <w:pPr>
              <w:pStyle w:val="ListParagraph"/>
              <w:keepNext/>
              <w:numPr>
                <w:ilvl w:val="0"/>
                <w:numId w:val="138"/>
              </w:numPr>
            </w:pPr>
            <w:r>
              <w:rPr>
                <w:rFonts w:eastAsia="HGSMinchoE"/>
                <w:szCs w:val="24"/>
              </w:rPr>
              <w:t>Part a) 6</w:t>
            </w:r>
            <w:r w:rsidRPr="00CC12C1">
              <w:rPr>
                <w:rFonts w:eastAsia="HGSMinchoE"/>
                <w:szCs w:val="24"/>
              </w:rPr>
              <w:t xml:space="preserve">0% of weighting for this measure </w:t>
            </w:r>
          </w:p>
          <w:p w:rsidR="007B719E" w:rsidRDefault="007B719E" w:rsidP="00A15ABD">
            <w:pPr>
              <w:keepNext/>
            </w:pPr>
          </w:p>
          <w:p w:rsidR="007B719E" w:rsidRDefault="007B719E" w:rsidP="00A15ABD">
            <w:pPr>
              <w:keepNext/>
            </w:pPr>
            <w:r w:rsidRPr="000758CD">
              <w:t>Actions to map existing discharge pathways, roll-out new protocols</w:t>
            </w:r>
            <w:r>
              <w:t>,</w:t>
            </w:r>
            <w:r w:rsidRPr="000758CD">
              <w:t xml:space="preserve"> collect baseline/trajectories</w:t>
            </w:r>
            <w:r>
              <w:t xml:space="preserve"> </w:t>
            </w:r>
          </w:p>
          <w:p w:rsidR="007B719E" w:rsidRPr="00BE236F" w:rsidRDefault="007B719E" w:rsidP="00A15ABD">
            <w:pPr>
              <w:pStyle w:val="ListParagraph"/>
              <w:keepNext/>
            </w:pPr>
          </w:p>
          <w:p w:rsidR="007B719E" w:rsidRPr="00BE236F" w:rsidRDefault="007B719E" w:rsidP="00A15ABD">
            <w:pPr>
              <w:pStyle w:val="ListParagraph"/>
              <w:keepNext/>
              <w:numPr>
                <w:ilvl w:val="0"/>
                <w:numId w:val="138"/>
              </w:numPr>
            </w:pPr>
            <w:r>
              <w:rPr>
                <w:rFonts w:eastAsia="HGSMinchoE"/>
                <w:szCs w:val="24"/>
              </w:rPr>
              <w:t>Part b</w:t>
            </w:r>
            <w:r w:rsidRPr="00CC12C1">
              <w:rPr>
                <w:rFonts w:eastAsia="HGSMinchoE"/>
                <w:szCs w:val="24"/>
              </w:rPr>
              <w:t>) 40% of weighting for this measure</w:t>
            </w:r>
          </w:p>
          <w:p w:rsidR="007B719E" w:rsidRDefault="007B719E" w:rsidP="00A15ABD">
            <w:pPr>
              <w:keepNext/>
              <w:contextualSpacing/>
            </w:pPr>
          </w:p>
          <w:p w:rsidR="007B719E" w:rsidRDefault="007B719E" w:rsidP="00A15ABD">
            <w:pPr>
              <w:keepNext/>
              <w:contextualSpacing/>
              <w:rPr>
                <w:b/>
              </w:rPr>
            </w:pPr>
            <w:r w:rsidRPr="000758CD">
              <w:t xml:space="preserve">Increasing proportion of patients admitted via </w:t>
            </w:r>
            <w:r w:rsidRPr="000758CD">
              <w:rPr>
                <w:rFonts w:cs="Arial"/>
              </w:rPr>
              <w:t>non-elective route</w:t>
            </w:r>
            <w:r w:rsidRPr="000758CD">
              <w:t xml:space="preserve"> discharged from acute hospitals to their usual place of residence within 7 days of admission </w:t>
            </w:r>
            <w:r>
              <w:t>by 2.5</w:t>
            </w:r>
            <w:r w:rsidRPr="000758CD">
              <w:t>%</w:t>
            </w:r>
            <w:r>
              <w:t xml:space="preserve"> points</w:t>
            </w:r>
            <w:r w:rsidRPr="000758CD">
              <w:t xml:space="preserve"> from baseline</w:t>
            </w:r>
            <w:r>
              <w:t xml:space="preserve"> (Q3 and Q4 2016/17</w:t>
            </w:r>
            <w:r w:rsidRPr="0092391F">
              <w:t>).</w:t>
            </w:r>
            <w:r>
              <w:t xml:space="preserve"> </w:t>
            </w:r>
            <w:r>
              <w:rPr>
                <w:rFonts w:eastAsiaTheme="minorHAnsi" w:cs="Arial"/>
              </w:rPr>
              <w:t>Inappropriate, early discharge carries risks to patients and therefore p</w:t>
            </w:r>
            <w:r w:rsidRPr="0092391F">
              <w:rPr>
                <w:rFonts w:eastAsiaTheme="minorHAnsi" w:cs="Arial"/>
              </w:rPr>
              <w:t>roviders and commissioners should carefully monitor readmission rate.</w:t>
            </w:r>
          </w:p>
          <w:p w:rsidR="007B719E" w:rsidRDefault="007B719E" w:rsidP="00A15ABD">
            <w:pPr>
              <w:keepNext/>
              <w:rPr>
                <w:b/>
              </w:rPr>
            </w:pPr>
          </w:p>
          <w:p w:rsidR="007B719E" w:rsidRPr="000758CD" w:rsidRDefault="007B719E" w:rsidP="00A15ABD">
            <w:pPr>
              <w:keepNext/>
              <w:rPr>
                <w:b/>
              </w:rPr>
            </w:pPr>
            <w:r w:rsidRPr="000758CD">
              <w:rPr>
                <w:b/>
              </w:rPr>
              <w:t>Year 2 18/19</w:t>
            </w:r>
          </w:p>
          <w:p w:rsidR="007B719E" w:rsidRPr="000758CD" w:rsidRDefault="007B719E" w:rsidP="00A15ABD">
            <w:pPr>
              <w:keepNext/>
            </w:pPr>
          </w:p>
          <w:p w:rsidR="007B719E" w:rsidRPr="00BE236F" w:rsidRDefault="007B719E" w:rsidP="00A15ABD">
            <w:pPr>
              <w:pStyle w:val="ListParagraph"/>
              <w:keepNext/>
              <w:numPr>
                <w:ilvl w:val="0"/>
                <w:numId w:val="138"/>
              </w:numPr>
            </w:pPr>
            <w:r>
              <w:rPr>
                <w:rFonts w:eastAsia="HGSMinchoE"/>
                <w:szCs w:val="24"/>
              </w:rPr>
              <w:t>Part a) 10</w:t>
            </w:r>
            <w:r w:rsidRPr="00CC12C1">
              <w:rPr>
                <w:rFonts w:eastAsia="HGSMinchoE"/>
                <w:szCs w:val="24"/>
              </w:rPr>
              <w:t xml:space="preserve">0% of weighting for this measure </w:t>
            </w:r>
          </w:p>
          <w:p w:rsidR="007B719E" w:rsidRPr="000758CD" w:rsidRDefault="007B719E" w:rsidP="00A15ABD">
            <w:pPr>
              <w:keepNext/>
            </w:pPr>
          </w:p>
          <w:p w:rsidR="007B719E" w:rsidRPr="007B719E" w:rsidRDefault="007B719E" w:rsidP="007B719E">
            <w:pPr>
              <w:keepNext/>
              <w:contextualSpacing/>
            </w:pPr>
            <w:r w:rsidRPr="000758CD">
              <w:t xml:space="preserve">Increasing proportion of patients admitted via </w:t>
            </w:r>
            <w:r w:rsidRPr="000758CD">
              <w:rPr>
                <w:rFonts w:cs="Arial"/>
              </w:rPr>
              <w:t>non-elective route</w:t>
            </w:r>
            <w:r w:rsidRPr="000758CD">
              <w:t xml:space="preserve"> discharged from acute hospitals to their usual place of residence </w:t>
            </w:r>
            <w:r>
              <w:t>within 7 days of admission by 7.5</w:t>
            </w:r>
            <w:r w:rsidRPr="000758CD">
              <w:t xml:space="preserve">% </w:t>
            </w:r>
            <w:r w:rsidRPr="0092391F">
              <w:rPr>
                <w:rFonts w:eastAsiaTheme="minorHAnsi" w:cs="Arial"/>
              </w:rPr>
              <w:t>points from 2017/18</w:t>
            </w:r>
            <w:r>
              <w:rPr>
                <w:rFonts w:eastAsiaTheme="minorHAnsi" w:cs="Arial"/>
              </w:rPr>
              <w:t>.</w:t>
            </w:r>
            <w:r w:rsidRPr="00785AEE">
              <w:rPr>
                <w:rFonts w:eastAsiaTheme="minorHAnsi" w:cs="Arial"/>
              </w:rPr>
              <w:t xml:space="preserve"> Inappropriate, early discharge carries risks to patients and therefore providers and commissioners should carefully monitor readmission rate.</w:t>
            </w:r>
            <w:r w:rsidRPr="0092391F" w:rsidDel="00785AEE">
              <w:rPr>
                <w:rFonts w:eastAsiaTheme="minorHAnsi" w:cs="Arial"/>
              </w:rPr>
              <w:t xml:space="preserve"> </w:t>
            </w:r>
          </w:p>
        </w:tc>
      </w:tr>
      <w:tr w:rsidR="007B719E" w:rsidRPr="000758CD" w:rsidTr="00A15ABD">
        <w:tc>
          <w:tcPr>
            <w:tcW w:w="2518" w:type="dxa"/>
          </w:tcPr>
          <w:p w:rsidR="007B719E" w:rsidRPr="000E4C8C" w:rsidRDefault="007B719E" w:rsidP="00A15ABD">
            <w:pPr>
              <w:rPr>
                <w:rFonts w:cs="Arial"/>
                <w:b/>
              </w:rPr>
            </w:pPr>
            <w:r w:rsidRPr="000E4C8C">
              <w:rPr>
                <w:rFonts w:cs="Arial"/>
                <w:b/>
                <w:color w:val="000000"/>
              </w:rPr>
              <w:t>Numerator</w:t>
            </w:r>
          </w:p>
        </w:tc>
        <w:tc>
          <w:tcPr>
            <w:tcW w:w="6379" w:type="dxa"/>
          </w:tcPr>
          <w:p w:rsidR="007B719E" w:rsidRDefault="007B719E" w:rsidP="00A15ABD">
            <w:pPr>
              <w:keepNext/>
              <w:contextualSpacing/>
              <w:rPr>
                <w:rFonts w:cs="Arial"/>
              </w:rPr>
            </w:pPr>
            <w:r>
              <w:rPr>
                <w:rFonts w:cs="Arial"/>
              </w:rPr>
              <w:t>Year 1</w:t>
            </w:r>
          </w:p>
          <w:p w:rsidR="007B719E" w:rsidRDefault="007B719E" w:rsidP="00A15ABD">
            <w:pPr>
              <w:keepNext/>
              <w:contextualSpacing/>
              <w:rPr>
                <w:rFonts w:cs="Arial"/>
              </w:rPr>
            </w:pPr>
            <w:r w:rsidRPr="000758CD">
              <w:rPr>
                <w:rFonts w:cs="Arial"/>
              </w:rPr>
              <w:t xml:space="preserve">Finished discharge episodes within </w:t>
            </w:r>
            <w:r>
              <w:rPr>
                <w:rFonts w:cs="Arial"/>
              </w:rPr>
              <w:t xml:space="preserve">Q3 and 4 of </w:t>
            </w:r>
            <w:r w:rsidRPr="000758CD">
              <w:rPr>
                <w:rFonts w:cs="Arial"/>
              </w:rPr>
              <w:t>2017/18</w:t>
            </w:r>
            <w:r>
              <w:rPr>
                <w:rFonts w:cs="Arial"/>
              </w:rPr>
              <w:t xml:space="preserve"> </w:t>
            </w:r>
            <w:r w:rsidRPr="000758CD">
              <w:rPr>
                <w:rFonts w:cs="Arial"/>
              </w:rPr>
              <w:t>, discharged to usual place of residence within</w:t>
            </w:r>
            <w:r>
              <w:rPr>
                <w:rFonts w:cs="Arial"/>
              </w:rPr>
              <w:t xml:space="preserve"> 3-</w:t>
            </w:r>
            <w:r w:rsidRPr="000758CD">
              <w:rPr>
                <w:rFonts w:cs="Arial"/>
              </w:rPr>
              <w:t xml:space="preserve"> 7 days of admission of patients aged 65+ admitted via non-elective route </w:t>
            </w:r>
          </w:p>
          <w:p w:rsidR="007B719E" w:rsidRDefault="007B719E" w:rsidP="00A15ABD">
            <w:pPr>
              <w:keepNext/>
              <w:contextualSpacing/>
              <w:rPr>
                <w:rFonts w:cs="Arial"/>
              </w:rPr>
            </w:pPr>
          </w:p>
          <w:p w:rsidR="007B719E" w:rsidRDefault="007B719E" w:rsidP="00A15ABD">
            <w:pPr>
              <w:keepNext/>
              <w:contextualSpacing/>
              <w:rPr>
                <w:rFonts w:cs="Arial"/>
              </w:rPr>
            </w:pPr>
            <w:r>
              <w:rPr>
                <w:rFonts w:cs="Arial"/>
              </w:rPr>
              <w:t>Year 2</w:t>
            </w:r>
          </w:p>
          <w:p w:rsidR="007B719E" w:rsidRPr="000758CD" w:rsidRDefault="007B719E" w:rsidP="00A15ABD">
            <w:pPr>
              <w:keepNext/>
              <w:contextualSpacing/>
              <w:rPr>
                <w:rFonts w:cs="Arial"/>
              </w:rPr>
            </w:pPr>
            <w:r w:rsidRPr="000758CD">
              <w:rPr>
                <w:rFonts w:cs="Arial"/>
              </w:rPr>
              <w:t>Finished discharge episodes</w:t>
            </w:r>
            <w:r>
              <w:rPr>
                <w:rFonts w:cs="Arial"/>
              </w:rPr>
              <w:t xml:space="preserve"> within 2018</w:t>
            </w:r>
            <w:r w:rsidRPr="000758CD">
              <w:rPr>
                <w:rFonts w:cs="Arial"/>
              </w:rPr>
              <w:t>/1</w:t>
            </w:r>
            <w:r>
              <w:rPr>
                <w:rFonts w:cs="Arial"/>
              </w:rPr>
              <w:t xml:space="preserve">9 </w:t>
            </w:r>
            <w:r w:rsidRPr="000758CD">
              <w:rPr>
                <w:rFonts w:cs="Arial"/>
              </w:rPr>
              <w:t>, discharged to usual place of residence within</w:t>
            </w:r>
            <w:r>
              <w:rPr>
                <w:rFonts w:cs="Arial"/>
              </w:rPr>
              <w:t xml:space="preserve"> 3-</w:t>
            </w:r>
            <w:r w:rsidRPr="000758CD">
              <w:rPr>
                <w:rFonts w:cs="Arial"/>
              </w:rPr>
              <w:t xml:space="preserve"> 7 days of admission of patients aged 65+ admitted via non-elective route</w:t>
            </w:r>
          </w:p>
        </w:tc>
      </w:tr>
      <w:tr w:rsidR="007B719E" w:rsidRPr="000758CD" w:rsidTr="00A15ABD">
        <w:tc>
          <w:tcPr>
            <w:tcW w:w="2518" w:type="dxa"/>
          </w:tcPr>
          <w:p w:rsidR="007B719E" w:rsidRPr="000E4C8C" w:rsidRDefault="007B719E" w:rsidP="00A15ABD">
            <w:pPr>
              <w:rPr>
                <w:rFonts w:cs="Arial"/>
                <w:b/>
              </w:rPr>
            </w:pPr>
            <w:r w:rsidRPr="000E4C8C">
              <w:rPr>
                <w:rFonts w:cs="Arial"/>
                <w:b/>
                <w:color w:val="000000"/>
              </w:rPr>
              <w:t>Denominator</w:t>
            </w:r>
          </w:p>
        </w:tc>
        <w:tc>
          <w:tcPr>
            <w:tcW w:w="6379" w:type="dxa"/>
          </w:tcPr>
          <w:p w:rsidR="007B719E" w:rsidRDefault="007B719E" w:rsidP="00A15ABD">
            <w:pPr>
              <w:keepNext/>
              <w:contextualSpacing/>
              <w:rPr>
                <w:rFonts w:cs="Arial"/>
              </w:rPr>
            </w:pPr>
            <w:r>
              <w:rPr>
                <w:rFonts w:cs="Arial"/>
              </w:rPr>
              <w:t>Year 1</w:t>
            </w:r>
          </w:p>
          <w:p w:rsidR="007B719E" w:rsidRDefault="007B719E" w:rsidP="00A15ABD">
            <w:pPr>
              <w:keepNext/>
              <w:contextualSpacing/>
              <w:rPr>
                <w:rFonts w:cs="Arial"/>
              </w:rPr>
            </w:pPr>
            <w:r w:rsidRPr="000758CD">
              <w:rPr>
                <w:rFonts w:cs="Arial"/>
              </w:rPr>
              <w:t>Finished discharge episodes of patients aged 65+  admitted via non-elective route</w:t>
            </w:r>
            <w:r>
              <w:rPr>
                <w:rFonts w:cs="Arial"/>
              </w:rPr>
              <w:t xml:space="preserve"> within Q3 and 4</w:t>
            </w:r>
            <w:r w:rsidRPr="000758CD">
              <w:rPr>
                <w:rFonts w:cs="Arial"/>
              </w:rPr>
              <w:t xml:space="preserve"> with a LOS of </w:t>
            </w:r>
            <w:r>
              <w:rPr>
                <w:rFonts w:cs="Arial"/>
              </w:rPr>
              <w:t>&gt;2</w:t>
            </w:r>
          </w:p>
          <w:p w:rsidR="007B719E" w:rsidRDefault="007B719E" w:rsidP="00A15ABD">
            <w:pPr>
              <w:keepNext/>
              <w:contextualSpacing/>
              <w:rPr>
                <w:rFonts w:cs="Arial"/>
              </w:rPr>
            </w:pPr>
          </w:p>
          <w:p w:rsidR="007B719E" w:rsidRDefault="007B719E" w:rsidP="00A15ABD">
            <w:pPr>
              <w:keepNext/>
              <w:contextualSpacing/>
              <w:rPr>
                <w:rFonts w:cs="Arial"/>
              </w:rPr>
            </w:pPr>
            <w:r>
              <w:rPr>
                <w:rFonts w:cs="Arial"/>
              </w:rPr>
              <w:lastRenderedPageBreak/>
              <w:t>Year 2</w:t>
            </w:r>
          </w:p>
          <w:p w:rsidR="007B719E" w:rsidRPr="000758CD" w:rsidRDefault="007B719E" w:rsidP="00A15ABD">
            <w:pPr>
              <w:keepNext/>
              <w:contextualSpacing/>
              <w:rPr>
                <w:rFonts w:cs="Arial"/>
              </w:rPr>
            </w:pPr>
            <w:r w:rsidRPr="000758CD">
              <w:rPr>
                <w:rFonts w:cs="Arial"/>
              </w:rPr>
              <w:t>Finished discharge episodes of patients aged 65+  admitted via non-elective route</w:t>
            </w:r>
            <w:r>
              <w:rPr>
                <w:rFonts w:cs="Arial"/>
              </w:rPr>
              <w:t xml:space="preserve"> within</w:t>
            </w:r>
            <w:r w:rsidRPr="000758CD">
              <w:rPr>
                <w:rFonts w:cs="Arial"/>
              </w:rPr>
              <w:t xml:space="preserve"> 18/19 with a LOS of </w:t>
            </w:r>
            <w:r>
              <w:rPr>
                <w:rFonts w:cs="Arial"/>
              </w:rPr>
              <w:t>&gt;2</w:t>
            </w:r>
          </w:p>
        </w:tc>
      </w:tr>
      <w:tr w:rsidR="007B719E" w:rsidRPr="000758CD" w:rsidTr="00A15ABD">
        <w:tc>
          <w:tcPr>
            <w:tcW w:w="2518" w:type="dxa"/>
          </w:tcPr>
          <w:p w:rsidR="007B719E" w:rsidRPr="000E4C8C" w:rsidRDefault="007B719E" w:rsidP="00A15ABD">
            <w:pPr>
              <w:rPr>
                <w:rFonts w:cs="Arial"/>
                <w:b/>
              </w:rPr>
            </w:pPr>
            <w:r w:rsidRPr="000E4C8C">
              <w:rPr>
                <w:rFonts w:cs="Arial"/>
                <w:b/>
                <w:color w:val="000000"/>
              </w:rPr>
              <w:lastRenderedPageBreak/>
              <w:t>Rationale for inclusion</w:t>
            </w:r>
          </w:p>
        </w:tc>
        <w:tc>
          <w:tcPr>
            <w:tcW w:w="6379" w:type="dxa"/>
          </w:tcPr>
          <w:p w:rsidR="007B719E" w:rsidRPr="000758CD" w:rsidRDefault="007B719E" w:rsidP="004B058A">
            <w:pPr>
              <w:keepNext/>
              <w:contextualSpacing/>
              <w:rPr>
                <w:rFonts w:cs="Arial"/>
                <w:bCs w:val="0"/>
                <w:color w:val="000000"/>
              </w:rPr>
            </w:pPr>
            <w:r w:rsidRPr="000758CD">
              <w:rPr>
                <w:rFonts w:cs="Arial"/>
                <w:color w:val="000000"/>
              </w:rPr>
              <w:t>There is a considerable evidence for the harm caused by poor patient flow. Delays lead to poor outcomes for patients, create financial pressures and impact on key NHS performance measures</w:t>
            </w:r>
            <w:r w:rsidRPr="000758CD">
              <w:rPr>
                <w:rFonts w:cs="Arial"/>
              </w:rPr>
              <w:t>. Delayed discharge has serious impact across health and care systems, reducing the ability of emergency departments to respond to people’s needs, and increasing costs to local health economies.</w:t>
            </w:r>
          </w:p>
          <w:p w:rsidR="007B719E" w:rsidRPr="000758CD" w:rsidRDefault="007B719E" w:rsidP="004B058A">
            <w:pPr>
              <w:rPr>
                <w:rFonts w:cs="Arial"/>
                <w:bCs w:val="0"/>
              </w:rPr>
            </w:pPr>
          </w:p>
          <w:p w:rsidR="007B719E" w:rsidRPr="000758CD" w:rsidRDefault="007B719E" w:rsidP="004B058A">
            <w:pPr>
              <w:rPr>
                <w:rFonts w:cs="Arial"/>
                <w:bCs w:val="0"/>
              </w:rPr>
            </w:pPr>
            <w:r w:rsidRPr="000758CD">
              <w:rPr>
                <w:rFonts w:cs="Arial"/>
              </w:rPr>
              <w:t xml:space="preserve">Unnecessary delay in discharging older patients from hospital is a systemic problem with a rising trend - </w:t>
            </w:r>
            <w:r w:rsidRPr="000758CD">
              <w:rPr>
                <w:rFonts w:cs="Arial"/>
                <w:lang w:val="en"/>
              </w:rPr>
              <w:t>between 2013 and 2015 recorded delayed transfers of care rose 31 per cent and in 2015 accounted for 1.15 million bed days</w:t>
            </w:r>
            <w:r w:rsidRPr="000758CD">
              <w:rPr>
                <w:rStyle w:val="FootnoteReference"/>
                <w:rFonts w:cs="Arial"/>
              </w:rPr>
              <w:footnoteReference w:id="22"/>
            </w:r>
            <w:r w:rsidRPr="000758CD">
              <w:rPr>
                <w:rFonts w:cs="Arial"/>
                <w:lang w:val="en"/>
              </w:rPr>
              <w:t>.</w:t>
            </w:r>
            <w:r w:rsidRPr="000758CD">
              <w:rPr>
                <w:rFonts w:cs="Arial"/>
              </w:rPr>
              <w:t xml:space="preserve"> For older people in particular, we know that longer stays in hospital can lead to worse health outcomes and can increase their long-term care needs.</w:t>
            </w:r>
          </w:p>
          <w:p w:rsidR="007B719E" w:rsidRPr="000758CD" w:rsidRDefault="007B719E" w:rsidP="004B058A">
            <w:pPr>
              <w:rPr>
                <w:rFonts w:cs="Arial"/>
                <w:bCs w:val="0"/>
              </w:rPr>
            </w:pPr>
          </w:p>
          <w:p w:rsidR="007B719E" w:rsidRPr="000758CD" w:rsidRDefault="007B719E" w:rsidP="004B058A">
            <w:pPr>
              <w:spacing w:after="200"/>
              <w:rPr>
                <w:rFonts w:cs="Arial"/>
              </w:rPr>
            </w:pPr>
            <w:r w:rsidRPr="000758CD">
              <w:rPr>
                <w:rFonts w:cs="Arial"/>
              </w:rPr>
              <w:t xml:space="preserve">Local A&amp;E Delivery Boards are being asked in 2016/17 to implement key initiatives to address some of the major underlying issues causing delayed discharges. This CQUIN builds upon the 2016/17 A&amp;E Plan discharge-specific activity to support systems to streamline discharge pathways, embed and strengthen the discharge to assess* pathway to maximum effect, and to understand capacity within community services to support improved discharge. </w:t>
            </w:r>
          </w:p>
          <w:p w:rsidR="007B719E" w:rsidRPr="000758CD" w:rsidRDefault="007B719E" w:rsidP="004B058A">
            <w:pPr>
              <w:spacing w:after="200"/>
              <w:rPr>
                <w:rFonts w:cs="Arial"/>
              </w:rPr>
            </w:pPr>
            <w:r w:rsidRPr="000758CD">
              <w:rPr>
                <w:rFonts w:cs="Arial"/>
              </w:rPr>
              <w:t>This is a two year CQUIN that works across local health economies that aims to improve discharges for patients across all wards within hospitals.</w:t>
            </w:r>
          </w:p>
          <w:p w:rsidR="007B719E" w:rsidRPr="000758CD" w:rsidRDefault="007B719E" w:rsidP="004B058A">
            <w:pPr>
              <w:spacing w:after="200"/>
              <w:rPr>
                <w:rFonts w:cs="Arial"/>
              </w:rPr>
            </w:pPr>
            <w:r w:rsidRPr="000758CD">
              <w:rPr>
                <w:rFonts w:cs="Arial"/>
              </w:rPr>
              <w:t>The desired outcomes will be improvement in patient outcomes, improvement in patient flow, and reduction in delayed discharges (and thus reduction in associated costs).</w:t>
            </w:r>
          </w:p>
          <w:p w:rsidR="007B719E" w:rsidRPr="000758CD" w:rsidRDefault="007B719E" w:rsidP="004B058A">
            <w:pPr>
              <w:spacing w:after="200"/>
              <w:rPr>
                <w:rFonts w:cs="Arial"/>
              </w:rPr>
            </w:pPr>
            <w:r w:rsidRPr="000758CD">
              <w:rPr>
                <w:rFonts w:cs="Arial"/>
              </w:rPr>
              <w:t xml:space="preserve">Although </w:t>
            </w:r>
            <w:r w:rsidRPr="00301523">
              <w:rPr>
                <w:rFonts w:cs="Arial"/>
              </w:rPr>
              <w:t xml:space="preserve">this CQUIN includes a measure using acute data, it is an indicator of how well the whole system works to support timely discharge. Distribution of the CQUIN amount on achievement of the target between acute, community and NHS-commissioned care home beds </w:t>
            </w:r>
            <w:r w:rsidRPr="00301523">
              <w:rPr>
                <w:rFonts w:cs="Arial"/>
              </w:rPr>
              <w:lastRenderedPageBreak/>
              <w:t>would need to be determined locally</w:t>
            </w:r>
            <w:r>
              <w:rPr>
                <w:rFonts w:cs="Arial"/>
              </w:rPr>
              <w:t xml:space="preserve">. </w:t>
            </w:r>
          </w:p>
          <w:p w:rsidR="007B719E" w:rsidRPr="000758CD" w:rsidRDefault="007B719E" w:rsidP="004B058A">
            <w:pPr>
              <w:rPr>
                <w:rFonts w:cs="Arial"/>
              </w:rPr>
            </w:pPr>
            <w:r w:rsidRPr="000758CD">
              <w:rPr>
                <w:rFonts w:cs="Arial"/>
              </w:rPr>
              <w:t>*Definition of discharge to assess</w:t>
            </w:r>
            <w:r w:rsidRPr="000758CD">
              <w:rPr>
                <w:rStyle w:val="FootnoteReference"/>
                <w:rFonts w:cs="Arial"/>
              </w:rPr>
              <w:footnoteReference w:id="23"/>
            </w:r>
            <w:r w:rsidRPr="000758CD">
              <w:rPr>
                <w:rFonts w:cs="Arial"/>
              </w:rPr>
              <w:t>:</w:t>
            </w:r>
          </w:p>
          <w:p w:rsidR="007B719E" w:rsidRPr="000758CD" w:rsidRDefault="007B719E" w:rsidP="00A15ABD">
            <w:pPr>
              <w:rPr>
                <w:rFonts w:cs="Arial"/>
              </w:rPr>
            </w:pPr>
            <w:r w:rsidRPr="000758CD">
              <w:rPr>
                <w:rFonts w:cs="Arial"/>
              </w:rPr>
              <w:t>Where people who are clinically optimised and do not require an acute hospital bed, but may still require care services are provided with short term, funded support to be discharged to their own home (where possible) or another community setting. This is where assessment for longer -term care and support needs is then undertaken in the most appropriate setting and at the right time for the person. Commonly used terms for this are: ‘discharge to assess’, ‘home first’, ‘safely home’, ‘step down’.</w:t>
            </w:r>
          </w:p>
        </w:tc>
      </w:tr>
      <w:tr w:rsidR="007B719E" w:rsidRPr="000758CD" w:rsidTr="00A15ABD">
        <w:tc>
          <w:tcPr>
            <w:tcW w:w="2518" w:type="dxa"/>
          </w:tcPr>
          <w:p w:rsidR="007B719E" w:rsidRPr="000E4C8C" w:rsidRDefault="007B719E" w:rsidP="00A15ABD">
            <w:pPr>
              <w:rPr>
                <w:rFonts w:cs="Arial"/>
                <w:b/>
              </w:rPr>
            </w:pPr>
            <w:r w:rsidRPr="000E4C8C">
              <w:rPr>
                <w:rFonts w:cs="Arial"/>
                <w:b/>
                <w:color w:val="000000"/>
              </w:rPr>
              <w:lastRenderedPageBreak/>
              <w:t>Data source</w:t>
            </w:r>
          </w:p>
        </w:tc>
        <w:tc>
          <w:tcPr>
            <w:tcW w:w="6379" w:type="dxa"/>
          </w:tcPr>
          <w:p w:rsidR="007B719E" w:rsidRPr="000758CD" w:rsidRDefault="007B719E" w:rsidP="00A15ABD">
            <w:pPr>
              <w:keepNext/>
              <w:tabs>
                <w:tab w:val="left" w:pos="2074"/>
              </w:tabs>
              <w:rPr>
                <w:rFonts w:cs="Arial"/>
              </w:rPr>
            </w:pPr>
            <w:r>
              <w:rPr>
                <w:rFonts w:cs="Arial"/>
              </w:rPr>
              <w:t>HES</w:t>
            </w:r>
            <w:r w:rsidRPr="000758CD">
              <w:rPr>
                <w:rFonts w:cs="Arial"/>
              </w:rPr>
              <w:t xml:space="preserve"> </w:t>
            </w:r>
            <w:r>
              <w:rPr>
                <w:rFonts w:cs="Arial"/>
              </w:rPr>
              <w:t>/ SUS</w:t>
            </w:r>
          </w:p>
        </w:tc>
      </w:tr>
      <w:tr w:rsidR="007B719E" w:rsidRPr="000758CD" w:rsidTr="00A15ABD">
        <w:tc>
          <w:tcPr>
            <w:tcW w:w="2518" w:type="dxa"/>
          </w:tcPr>
          <w:p w:rsidR="007B719E" w:rsidRPr="000E4C8C" w:rsidRDefault="007B719E" w:rsidP="00A15ABD">
            <w:pPr>
              <w:rPr>
                <w:rFonts w:cs="Arial"/>
                <w:b/>
              </w:rPr>
            </w:pPr>
            <w:r w:rsidRPr="000E4C8C">
              <w:rPr>
                <w:rFonts w:cs="Arial"/>
                <w:b/>
                <w:color w:val="000000"/>
              </w:rPr>
              <w:t>Frequency of data collection</w:t>
            </w:r>
          </w:p>
        </w:tc>
        <w:tc>
          <w:tcPr>
            <w:tcW w:w="6379" w:type="dxa"/>
          </w:tcPr>
          <w:p w:rsidR="007B719E" w:rsidRPr="000758CD" w:rsidRDefault="007B719E" w:rsidP="00A15ABD">
            <w:pPr>
              <w:rPr>
                <w:rFonts w:cs="Arial"/>
              </w:rPr>
            </w:pPr>
            <w:r w:rsidRPr="000758CD">
              <w:rPr>
                <w:rFonts w:cs="Arial"/>
              </w:rPr>
              <w:t xml:space="preserve">Quarterly </w:t>
            </w:r>
          </w:p>
        </w:tc>
      </w:tr>
      <w:tr w:rsidR="007B719E" w:rsidRPr="000758CD" w:rsidTr="00A15ABD">
        <w:tc>
          <w:tcPr>
            <w:tcW w:w="2518" w:type="dxa"/>
          </w:tcPr>
          <w:p w:rsidR="007B719E" w:rsidRPr="000E4C8C" w:rsidRDefault="007B719E" w:rsidP="00A15ABD">
            <w:pPr>
              <w:rPr>
                <w:rFonts w:cs="Arial"/>
                <w:b/>
              </w:rPr>
            </w:pPr>
            <w:r w:rsidRPr="000E4C8C">
              <w:rPr>
                <w:rFonts w:cs="Arial"/>
                <w:b/>
                <w:color w:val="000000"/>
              </w:rPr>
              <w:t>Organisation responsible for data collection</w:t>
            </w:r>
          </w:p>
        </w:tc>
        <w:tc>
          <w:tcPr>
            <w:tcW w:w="6379" w:type="dxa"/>
          </w:tcPr>
          <w:p w:rsidR="007B719E" w:rsidRPr="000758CD" w:rsidRDefault="007B719E" w:rsidP="00A15ABD">
            <w:pPr>
              <w:rPr>
                <w:rFonts w:cs="Arial"/>
              </w:rPr>
            </w:pPr>
            <w:r w:rsidRPr="00136423">
              <w:rPr>
                <w:rFonts w:asciiTheme="minorHAnsi" w:eastAsiaTheme="minorHAnsi" w:hAnsiTheme="minorHAnsi" w:cstheme="minorBidi"/>
                <w:color w:val="1F497D"/>
                <w:sz w:val="22"/>
                <w:szCs w:val="22"/>
              </w:rPr>
              <w:t xml:space="preserve"> </w:t>
            </w:r>
            <w:r w:rsidRPr="00136423">
              <w:rPr>
                <w:rFonts w:cs="Arial"/>
              </w:rPr>
              <w:t>HES data available via NHS Digital</w:t>
            </w:r>
          </w:p>
        </w:tc>
      </w:tr>
      <w:tr w:rsidR="007B719E" w:rsidRPr="000758CD" w:rsidTr="00A15ABD">
        <w:tc>
          <w:tcPr>
            <w:tcW w:w="2518" w:type="dxa"/>
          </w:tcPr>
          <w:p w:rsidR="007B719E" w:rsidRPr="000E4C8C" w:rsidRDefault="007B719E" w:rsidP="00A15ABD">
            <w:pPr>
              <w:rPr>
                <w:rFonts w:cs="Arial"/>
                <w:b/>
              </w:rPr>
            </w:pPr>
            <w:r w:rsidRPr="000E4C8C">
              <w:rPr>
                <w:rFonts w:cs="Arial"/>
                <w:b/>
                <w:color w:val="000000"/>
              </w:rPr>
              <w:t>Frequency of reporting to commissioner</w:t>
            </w:r>
          </w:p>
        </w:tc>
        <w:tc>
          <w:tcPr>
            <w:tcW w:w="6379" w:type="dxa"/>
          </w:tcPr>
          <w:p w:rsidR="007B719E" w:rsidRPr="000758CD" w:rsidRDefault="007B719E" w:rsidP="00A15ABD">
            <w:pPr>
              <w:rPr>
                <w:rFonts w:cs="Arial"/>
                <w:b/>
              </w:rPr>
            </w:pPr>
            <w:r w:rsidRPr="000758CD">
              <w:rPr>
                <w:rFonts w:cs="Arial"/>
              </w:rPr>
              <w:t xml:space="preserve">Quarterly </w:t>
            </w:r>
          </w:p>
        </w:tc>
      </w:tr>
      <w:tr w:rsidR="007B719E" w:rsidRPr="000758CD" w:rsidTr="00A15ABD">
        <w:tc>
          <w:tcPr>
            <w:tcW w:w="2518" w:type="dxa"/>
          </w:tcPr>
          <w:p w:rsidR="007B719E" w:rsidRPr="000E4C8C" w:rsidRDefault="007B719E" w:rsidP="00A15ABD">
            <w:pPr>
              <w:rPr>
                <w:rFonts w:cs="Arial"/>
                <w:b/>
              </w:rPr>
            </w:pPr>
            <w:r w:rsidRPr="000E4C8C">
              <w:rPr>
                <w:rFonts w:cs="Arial"/>
                <w:b/>
                <w:color w:val="000000"/>
              </w:rPr>
              <w:t>Baseline period/date</w:t>
            </w:r>
          </w:p>
        </w:tc>
        <w:tc>
          <w:tcPr>
            <w:tcW w:w="6379" w:type="dxa"/>
          </w:tcPr>
          <w:p w:rsidR="007B719E" w:rsidRPr="000758CD" w:rsidRDefault="007B719E" w:rsidP="00A15ABD">
            <w:pPr>
              <w:rPr>
                <w:rFonts w:cs="Arial"/>
              </w:rPr>
            </w:pPr>
            <w:r>
              <w:rPr>
                <w:rFonts w:cs="Arial"/>
              </w:rPr>
              <w:t xml:space="preserve">Year 1 Q3 and Q4 </w:t>
            </w:r>
            <w:r w:rsidRPr="000758CD">
              <w:rPr>
                <w:rFonts w:cs="Arial"/>
              </w:rPr>
              <w:t xml:space="preserve">2016/17 </w:t>
            </w:r>
            <w:r>
              <w:rPr>
                <w:rFonts w:cs="Arial"/>
              </w:rPr>
              <w:t xml:space="preserve"> Year 2 2017/18</w:t>
            </w:r>
          </w:p>
        </w:tc>
      </w:tr>
      <w:tr w:rsidR="007B719E" w:rsidRPr="000758CD" w:rsidTr="00A15ABD">
        <w:tc>
          <w:tcPr>
            <w:tcW w:w="2518" w:type="dxa"/>
          </w:tcPr>
          <w:p w:rsidR="007B719E" w:rsidRPr="000E4C8C" w:rsidRDefault="007B719E" w:rsidP="00A15ABD">
            <w:pPr>
              <w:rPr>
                <w:rFonts w:cs="Arial"/>
                <w:b/>
              </w:rPr>
            </w:pPr>
            <w:r w:rsidRPr="000E4C8C">
              <w:rPr>
                <w:rFonts w:cs="Arial"/>
                <w:b/>
                <w:color w:val="000000"/>
              </w:rPr>
              <w:t>Baseline value</w:t>
            </w:r>
          </w:p>
        </w:tc>
        <w:tc>
          <w:tcPr>
            <w:tcW w:w="6379" w:type="dxa"/>
          </w:tcPr>
          <w:p w:rsidR="007B719E" w:rsidRPr="000758CD" w:rsidRDefault="007B719E" w:rsidP="00A15ABD">
            <w:pPr>
              <w:rPr>
                <w:rFonts w:cs="Arial"/>
              </w:rPr>
            </w:pPr>
          </w:p>
        </w:tc>
      </w:tr>
      <w:tr w:rsidR="007B719E" w:rsidRPr="000758CD" w:rsidTr="00A15ABD">
        <w:tc>
          <w:tcPr>
            <w:tcW w:w="2518" w:type="dxa"/>
          </w:tcPr>
          <w:p w:rsidR="007B719E" w:rsidRPr="000E4C8C" w:rsidRDefault="007B719E" w:rsidP="00A15ABD">
            <w:pPr>
              <w:rPr>
                <w:rFonts w:cs="Arial"/>
                <w:b/>
              </w:rPr>
            </w:pPr>
            <w:r w:rsidRPr="000E4C8C">
              <w:rPr>
                <w:rFonts w:cs="Arial"/>
                <w:b/>
                <w:color w:val="000000"/>
              </w:rPr>
              <w:t>Final indicator period/date (on which payment is based)</w:t>
            </w:r>
          </w:p>
        </w:tc>
        <w:tc>
          <w:tcPr>
            <w:tcW w:w="6379" w:type="dxa"/>
          </w:tcPr>
          <w:p w:rsidR="007B719E" w:rsidRPr="000758CD" w:rsidRDefault="007B719E" w:rsidP="00A15ABD">
            <w:pPr>
              <w:rPr>
                <w:rFonts w:cs="Arial"/>
              </w:rPr>
            </w:pPr>
            <w:r w:rsidRPr="000758CD">
              <w:rPr>
                <w:rFonts w:cs="Arial"/>
              </w:rPr>
              <w:t>Year 1 End of 2017/18</w:t>
            </w:r>
          </w:p>
          <w:p w:rsidR="007B719E" w:rsidRPr="000758CD" w:rsidRDefault="007B719E" w:rsidP="00A15ABD">
            <w:pPr>
              <w:rPr>
                <w:rFonts w:cs="Arial"/>
              </w:rPr>
            </w:pPr>
            <w:r w:rsidRPr="000758CD">
              <w:rPr>
                <w:rFonts w:cs="Arial"/>
              </w:rPr>
              <w:t>Year 2 End of 2018/19</w:t>
            </w:r>
          </w:p>
        </w:tc>
      </w:tr>
      <w:tr w:rsidR="007B719E" w:rsidRPr="000758CD" w:rsidTr="00A15ABD">
        <w:tc>
          <w:tcPr>
            <w:tcW w:w="2518" w:type="dxa"/>
          </w:tcPr>
          <w:p w:rsidR="007B719E" w:rsidRPr="000E4C8C" w:rsidRDefault="007B719E" w:rsidP="00A15ABD">
            <w:pPr>
              <w:rPr>
                <w:rFonts w:cs="Arial"/>
                <w:b/>
              </w:rPr>
            </w:pPr>
            <w:r w:rsidRPr="000E4C8C">
              <w:rPr>
                <w:rFonts w:cs="Arial"/>
                <w:b/>
                <w:color w:val="000000"/>
              </w:rPr>
              <w:t>Final indicator value (payment threshold)</w:t>
            </w:r>
          </w:p>
        </w:tc>
        <w:tc>
          <w:tcPr>
            <w:tcW w:w="6379" w:type="dxa"/>
          </w:tcPr>
          <w:p w:rsidR="007B719E" w:rsidRPr="000758CD" w:rsidRDefault="007B719E" w:rsidP="00A15ABD">
            <w:pPr>
              <w:rPr>
                <w:rFonts w:cs="Arial"/>
              </w:rPr>
            </w:pPr>
            <w:r w:rsidRPr="000758CD">
              <w:rPr>
                <w:rFonts w:cs="Arial"/>
              </w:rPr>
              <w:t>Year 1 (17/18):</w:t>
            </w:r>
          </w:p>
          <w:p w:rsidR="007B719E" w:rsidRPr="000758CD" w:rsidRDefault="007B719E" w:rsidP="00A15ABD">
            <w:pPr>
              <w:pStyle w:val="ListParagraph"/>
              <w:numPr>
                <w:ilvl w:val="0"/>
                <w:numId w:val="47"/>
              </w:numPr>
              <w:rPr>
                <w:rFonts w:cs="Arial"/>
              </w:rPr>
            </w:pPr>
            <w:r>
              <w:rPr>
                <w:rFonts w:eastAsia="HGSMinchoE" w:cs="Arial"/>
                <w:szCs w:val="24"/>
              </w:rPr>
              <w:t>2</w:t>
            </w:r>
            <w:r w:rsidRPr="000758CD">
              <w:rPr>
                <w:rFonts w:eastAsia="HGSMinchoE" w:cs="Arial"/>
                <w:szCs w:val="24"/>
              </w:rPr>
              <w:t xml:space="preserve">.5% point increase discharge to usual place of residence: </w:t>
            </w:r>
            <w:r>
              <w:rPr>
                <w:rFonts w:eastAsia="HGSMinchoE" w:cs="Arial"/>
                <w:szCs w:val="24"/>
              </w:rPr>
              <w:t xml:space="preserve">across </w:t>
            </w:r>
            <w:r w:rsidRPr="000758CD">
              <w:rPr>
                <w:rFonts w:eastAsia="HGSMinchoE" w:cs="Arial"/>
                <w:szCs w:val="24"/>
              </w:rPr>
              <w:t xml:space="preserve"> </w:t>
            </w:r>
            <w:r>
              <w:rPr>
                <w:rFonts w:eastAsia="HGSMinchoE" w:cs="Arial"/>
                <w:szCs w:val="24"/>
              </w:rPr>
              <w:t>Q3 and Q4 2017/18 OR an increase to 47.5% across Q3 and 4 2017/18</w:t>
            </w:r>
          </w:p>
          <w:p w:rsidR="007B719E" w:rsidRPr="000758CD" w:rsidRDefault="007B719E" w:rsidP="00A15ABD">
            <w:pPr>
              <w:ind w:firstLine="720"/>
              <w:rPr>
                <w:rFonts w:cs="Arial"/>
              </w:rPr>
            </w:pPr>
          </w:p>
          <w:p w:rsidR="007B719E" w:rsidRPr="000758CD" w:rsidRDefault="007B719E" w:rsidP="00A15ABD">
            <w:pPr>
              <w:rPr>
                <w:rFonts w:cs="Arial"/>
              </w:rPr>
            </w:pPr>
            <w:r w:rsidRPr="000758CD">
              <w:rPr>
                <w:rFonts w:cs="Arial"/>
              </w:rPr>
              <w:t xml:space="preserve">Year 2 (18/19) </w:t>
            </w:r>
          </w:p>
          <w:p w:rsidR="007B719E" w:rsidRPr="00CC12C1" w:rsidRDefault="007B719E" w:rsidP="00A15ABD">
            <w:pPr>
              <w:pStyle w:val="ListParagraph"/>
              <w:numPr>
                <w:ilvl w:val="0"/>
                <w:numId w:val="47"/>
              </w:numPr>
              <w:rPr>
                <w:rFonts w:cs="Arial"/>
              </w:rPr>
            </w:pPr>
            <w:r>
              <w:rPr>
                <w:rFonts w:eastAsia="HGSMinchoE" w:cs="Arial"/>
                <w:szCs w:val="24"/>
              </w:rPr>
              <w:t>7.5</w:t>
            </w:r>
            <w:r w:rsidRPr="000758CD">
              <w:rPr>
                <w:rFonts w:eastAsia="HGSMinchoE" w:cs="Arial"/>
                <w:szCs w:val="24"/>
              </w:rPr>
              <w:t>% point increase in discharge to usual place of residence from baseline</w:t>
            </w:r>
            <w:r>
              <w:rPr>
                <w:rFonts w:eastAsia="HGSMinchoE" w:cs="Arial"/>
                <w:szCs w:val="24"/>
              </w:rPr>
              <w:t xml:space="preserve"> 2017/18 baseline</w:t>
            </w:r>
            <w:r w:rsidRPr="000758CD">
              <w:rPr>
                <w:rFonts w:eastAsia="HGSMinchoE" w:cs="Arial"/>
                <w:szCs w:val="24"/>
              </w:rPr>
              <w:t xml:space="preserve"> to end of </w:t>
            </w:r>
            <w:r>
              <w:rPr>
                <w:rFonts w:eastAsia="HGSMinchoE" w:cs="Arial"/>
                <w:szCs w:val="24"/>
              </w:rPr>
              <w:t>18/19</w:t>
            </w:r>
            <w:r w:rsidRPr="000758CD">
              <w:rPr>
                <w:rFonts w:eastAsia="HGSMinchoE" w:cs="Arial"/>
                <w:szCs w:val="24"/>
              </w:rPr>
              <w:t xml:space="preserve"> </w:t>
            </w:r>
            <w:r>
              <w:rPr>
                <w:rFonts w:eastAsia="HGSMinchoE" w:cs="Arial"/>
                <w:szCs w:val="24"/>
              </w:rPr>
              <w:t xml:space="preserve">18 OR an increase from baseline </w:t>
            </w:r>
            <w:r w:rsidRPr="00241174">
              <w:rPr>
                <w:rFonts w:eastAsia="HGSMinchoE" w:cs="Arial"/>
                <w:szCs w:val="24"/>
              </w:rPr>
              <w:t xml:space="preserve">to 50% </w:t>
            </w:r>
            <w:r>
              <w:rPr>
                <w:rFonts w:eastAsia="HGSMinchoE" w:cs="Arial"/>
                <w:szCs w:val="24"/>
              </w:rPr>
              <w:t>across quarters in 2018/19</w:t>
            </w:r>
          </w:p>
          <w:p w:rsidR="007B719E" w:rsidRDefault="007B719E" w:rsidP="00A15ABD">
            <w:pPr>
              <w:rPr>
                <w:rFonts w:cs="Arial"/>
              </w:rPr>
            </w:pPr>
          </w:p>
          <w:p w:rsidR="007B719E" w:rsidRPr="00BE236F" w:rsidRDefault="007B719E" w:rsidP="00A15ABD">
            <w:pPr>
              <w:rPr>
                <w:rFonts w:eastAsia="HGSMinchoE" w:cs="Arial"/>
                <w:bCs w:val="0"/>
                <w:szCs w:val="24"/>
              </w:rPr>
            </w:pPr>
            <w:r>
              <w:rPr>
                <w:rFonts w:cs="Arial"/>
              </w:rPr>
              <w:t>T</w:t>
            </w:r>
            <w:r w:rsidRPr="007452A6">
              <w:rPr>
                <w:rFonts w:cs="Arial"/>
              </w:rPr>
              <w:t xml:space="preserve">hresholds for year 2 </w:t>
            </w:r>
            <w:r>
              <w:rPr>
                <w:rFonts w:cs="Arial"/>
              </w:rPr>
              <w:t xml:space="preserve">will be reviewed </w:t>
            </w:r>
            <w:r w:rsidRPr="007452A6">
              <w:rPr>
                <w:rFonts w:cs="Arial"/>
              </w:rPr>
              <w:t>in line with</w:t>
            </w:r>
            <w:r>
              <w:rPr>
                <w:rFonts w:cs="Arial"/>
              </w:rPr>
              <w:t xml:space="preserve"> </w:t>
            </w:r>
            <w:r w:rsidRPr="007452A6">
              <w:rPr>
                <w:rFonts w:cs="Arial"/>
              </w:rPr>
              <w:t>evidence</w:t>
            </w:r>
            <w:r>
              <w:rPr>
                <w:rFonts w:cs="Arial"/>
              </w:rPr>
              <w:t xml:space="preserve"> from 17/18</w:t>
            </w:r>
            <w:r w:rsidRPr="007452A6">
              <w:rPr>
                <w:rFonts w:cs="Arial"/>
              </w:rPr>
              <w:t>.</w:t>
            </w:r>
          </w:p>
          <w:p w:rsidR="007B719E" w:rsidRPr="000758CD" w:rsidRDefault="007B719E" w:rsidP="00A15ABD">
            <w:pPr>
              <w:pStyle w:val="ListParagraph"/>
              <w:rPr>
                <w:rFonts w:cs="Arial"/>
              </w:rPr>
            </w:pPr>
          </w:p>
        </w:tc>
      </w:tr>
      <w:tr w:rsidR="007B719E" w:rsidRPr="000758CD" w:rsidTr="00A15ABD">
        <w:tc>
          <w:tcPr>
            <w:tcW w:w="2518" w:type="dxa"/>
          </w:tcPr>
          <w:p w:rsidR="007B719E" w:rsidRPr="000E4C8C" w:rsidRDefault="007B719E" w:rsidP="00A15ABD">
            <w:pPr>
              <w:rPr>
                <w:rFonts w:cs="Arial"/>
                <w:b/>
              </w:rPr>
            </w:pPr>
            <w:r w:rsidRPr="000E4C8C">
              <w:rPr>
                <w:rFonts w:cs="Arial"/>
                <w:b/>
                <w:color w:val="000000"/>
              </w:rPr>
              <w:t>Final indicator reporting date</w:t>
            </w:r>
          </w:p>
        </w:tc>
        <w:tc>
          <w:tcPr>
            <w:tcW w:w="6379" w:type="dxa"/>
          </w:tcPr>
          <w:p w:rsidR="007B719E" w:rsidRPr="000758CD" w:rsidRDefault="007B719E" w:rsidP="00A15ABD">
            <w:pPr>
              <w:rPr>
                <w:rFonts w:cs="Arial"/>
              </w:rPr>
            </w:pPr>
            <w:r w:rsidRPr="000758CD">
              <w:rPr>
                <w:rFonts w:cs="Arial"/>
              </w:rPr>
              <w:t>Discharge to usual place of residence:</w:t>
            </w:r>
          </w:p>
          <w:p w:rsidR="007B719E" w:rsidRPr="000758CD" w:rsidRDefault="007B719E" w:rsidP="00A15ABD">
            <w:pPr>
              <w:rPr>
                <w:rFonts w:cs="Arial"/>
              </w:rPr>
            </w:pPr>
            <w:r w:rsidRPr="000758CD">
              <w:rPr>
                <w:rFonts w:cs="Arial"/>
              </w:rPr>
              <w:t>Year 1: End of Q4 2017/18</w:t>
            </w:r>
          </w:p>
          <w:p w:rsidR="007B719E" w:rsidRPr="000758CD" w:rsidRDefault="007B719E" w:rsidP="00A15ABD">
            <w:pPr>
              <w:rPr>
                <w:rFonts w:cs="Arial"/>
              </w:rPr>
            </w:pPr>
            <w:r w:rsidRPr="000758CD">
              <w:rPr>
                <w:rFonts w:cs="Arial"/>
              </w:rPr>
              <w:t>Year 2: End of Q4 2018/19</w:t>
            </w:r>
          </w:p>
        </w:tc>
      </w:tr>
      <w:tr w:rsidR="007B719E" w:rsidRPr="000758CD" w:rsidTr="00A15ABD">
        <w:tc>
          <w:tcPr>
            <w:tcW w:w="2518" w:type="dxa"/>
          </w:tcPr>
          <w:p w:rsidR="007B719E" w:rsidRPr="000E4C8C" w:rsidRDefault="007B719E" w:rsidP="00A15ABD">
            <w:pPr>
              <w:rPr>
                <w:rFonts w:cs="Arial"/>
                <w:b/>
              </w:rPr>
            </w:pPr>
            <w:r w:rsidRPr="000E4C8C">
              <w:rPr>
                <w:rFonts w:cs="Arial"/>
                <w:b/>
                <w:color w:val="000000"/>
              </w:rPr>
              <w:t xml:space="preserve">Are there rules for any agreed in-year </w:t>
            </w:r>
            <w:r w:rsidRPr="000E4C8C">
              <w:rPr>
                <w:rFonts w:cs="Arial"/>
                <w:b/>
                <w:color w:val="000000"/>
              </w:rPr>
              <w:lastRenderedPageBreak/>
              <w:t>milestones that result in payment?</w:t>
            </w:r>
          </w:p>
        </w:tc>
        <w:tc>
          <w:tcPr>
            <w:tcW w:w="6379" w:type="dxa"/>
          </w:tcPr>
          <w:p w:rsidR="007B719E" w:rsidRPr="000758CD" w:rsidRDefault="007B719E" w:rsidP="00A15ABD">
            <w:pPr>
              <w:rPr>
                <w:rFonts w:cs="Arial"/>
                <w:color w:val="FF0000"/>
              </w:rPr>
            </w:pPr>
            <w:r w:rsidRPr="000758CD">
              <w:rPr>
                <w:rFonts w:cs="Arial"/>
              </w:rPr>
              <w:lastRenderedPageBreak/>
              <w:t>Yes. See below.</w:t>
            </w:r>
          </w:p>
        </w:tc>
      </w:tr>
      <w:tr w:rsidR="007B719E" w:rsidRPr="009D7F8B" w:rsidTr="00A15ABD">
        <w:tc>
          <w:tcPr>
            <w:tcW w:w="2518" w:type="dxa"/>
          </w:tcPr>
          <w:p w:rsidR="007B719E" w:rsidRPr="000E4C8C" w:rsidRDefault="007B719E" w:rsidP="00A15ABD">
            <w:pPr>
              <w:rPr>
                <w:rFonts w:cs="Arial"/>
                <w:b/>
                <w:bCs w:val="0"/>
                <w:color w:val="000000"/>
              </w:rPr>
            </w:pPr>
            <w:r w:rsidRPr="000E4C8C">
              <w:rPr>
                <w:rFonts w:cs="Arial"/>
                <w:b/>
                <w:color w:val="000000"/>
              </w:rPr>
              <w:lastRenderedPageBreak/>
              <w:t>Are there any rules for partial achievement of the indicator at the final indicator period/date?</w:t>
            </w:r>
          </w:p>
        </w:tc>
        <w:tc>
          <w:tcPr>
            <w:tcW w:w="6379" w:type="dxa"/>
          </w:tcPr>
          <w:p w:rsidR="007B719E" w:rsidRPr="00A57E29" w:rsidRDefault="007B719E" w:rsidP="00A15ABD">
            <w:pPr>
              <w:rPr>
                <w:rFonts w:eastAsia="Calibri" w:cs="Arial"/>
                <w:bCs w:val="0"/>
                <w:color w:val="FF0000"/>
              </w:rPr>
            </w:pPr>
            <w:r w:rsidRPr="000758CD">
              <w:rPr>
                <w:rFonts w:cs="Arial"/>
              </w:rPr>
              <w:t>Yes. See below.</w:t>
            </w:r>
          </w:p>
        </w:tc>
      </w:tr>
    </w:tbl>
    <w:p w:rsidR="007B719E" w:rsidRPr="009D7F8B" w:rsidRDefault="007B719E" w:rsidP="007B719E">
      <w:pPr>
        <w:rPr>
          <w:rFonts w:cs="Arial"/>
          <w:b/>
          <w:bCs w:val="0"/>
          <w:szCs w:val="24"/>
        </w:rPr>
      </w:pPr>
    </w:p>
    <w:p w:rsidR="007B719E" w:rsidRPr="00567305" w:rsidRDefault="007B719E" w:rsidP="00567305">
      <w:pPr>
        <w:pStyle w:val="Heading4"/>
        <w:rPr>
          <w:lang w:eastAsia="en-GB"/>
        </w:rPr>
      </w:pPr>
      <w:r w:rsidRPr="00567305">
        <w:rPr>
          <w:lang w:eastAsia="en-GB"/>
        </w:rPr>
        <w:t>Milestones for indicator 8b – Community Trusts</w:t>
      </w:r>
    </w:p>
    <w:p w:rsidR="007B719E" w:rsidRPr="009D7F8B" w:rsidRDefault="007B719E" w:rsidP="007B719E">
      <w:pPr>
        <w:rPr>
          <w:rFonts w:cs="Arial"/>
          <w:b/>
          <w:bCs w:val="0"/>
          <w:color w:val="000000"/>
          <w:szCs w:val="24"/>
          <w:lang w:eastAsia="en-GB"/>
        </w:rPr>
      </w:pPr>
    </w:p>
    <w:tbl>
      <w:tblPr>
        <w:tblW w:w="893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37"/>
        <w:gridCol w:w="4559"/>
        <w:gridCol w:w="1337"/>
        <w:gridCol w:w="1498"/>
      </w:tblGrid>
      <w:tr w:rsidR="007B719E" w:rsidRPr="009D7F8B" w:rsidTr="00A15ABD">
        <w:trPr>
          <w:cantSplit/>
          <w:trHeight w:val="722"/>
          <w:tblHeader/>
        </w:trPr>
        <w:tc>
          <w:tcPr>
            <w:tcW w:w="1537" w:type="dxa"/>
            <w:shd w:val="clear" w:color="auto" w:fill="0070C0"/>
            <w:noWrap/>
          </w:tcPr>
          <w:p w:rsidR="007B719E" w:rsidRPr="009D7F8B" w:rsidRDefault="007B719E" w:rsidP="00A15ABD">
            <w:pPr>
              <w:rPr>
                <w:rFonts w:cs="Arial"/>
                <w:b/>
                <w:bCs w:val="0"/>
                <w:color w:val="FFFFFF" w:themeColor="background1"/>
                <w:szCs w:val="24"/>
                <w:lang w:eastAsia="en-GB"/>
              </w:rPr>
            </w:pPr>
            <w:r w:rsidRPr="009D7F8B">
              <w:rPr>
                <w:rFonts w:cs="Arial"/>
                <w:b/>
                <w:color w:val="FFFFFF" w:themeColor="background1"/>
                <w:szCs w:val="24"/>
                <w:lang w:eastAsia="en-GB"/>
              </w:rPr>
              <w:t>Date/period milestone relates to</w:t>
            </w:r>
          </w:p>
        </w:tc>
        <w:tc>
          <w:tcPr>
            <w:tcW w:w="4559" w:type="dxa"/>
            <w:shd w:val="clear" w:color="auto" w:fill="0070C0"/>
          </w:tcPr>
          <w:p w:rsidR="007B719E" w:rsidRPr="009D7F8B" w:rsidRDefault="007B719E" w:rsidP="00A15ABD">
            <w:pPr>
              <w:rPr>
                <w:rFonts w:cs="Arial"/>
                <w:b/>
                <w:bCs w:val="0"/>
                <w:color w:val="FFFFFF" w:themeColor="background1"/>
                <w:szCs w:val="24"/>
                <w:lang w:eastAsia="en-GB"/>
              </w:rPr>
            </w:pPr>
            <w:r w:rsidRPr="009D7F8B">
              <w:rPr>
                <w:rFonts w:cs="Arial"/>
                <w:b/>
                <w:color w:val="FFFFFF" w:themeColor="background1"/>
                <w:szCs w:val="24"/>
                <w:lang w:eastAsia="en-GB"/>
              </w:rPr>
              <w:t>Rules for achievement of milestones (including evidence to be supplied to commissioner)</w:t>
            </w:r>
          </w:p>
        </w:tc>
        <w:tc>
          <w:tcPr>
            <w:tcW w:w="1337" w:type="dxa"/>
            <w:shd w:val="clear" w:color="auto" w:fill="0070C0"/>
          </w:tcPr>
          <w:p w:rsidR="007B719E" w:rsidRPr="009D7F8B" w:rsidRDefault="007B719E" w:rsidP="00A15ABD">
            <w:pPr>
              <w:rPr>
                <w:rFonts w:cs="Arial"/>
                <w:b/>
                <w:bCs w:val="0"/>
                <w:color w:val="FFFFFF" w:themeColor="background1"/>
                <w:szCs w:val="24"/>
                <w:lang w:eastAsia="en-GB"/>
              </w:rPr>
            </w:pPr>
            <w:r w:rsidRPr="009D7F8B">
              <w:rPr>
                <w:rFonts w:cs="Arial"/>
                <w:b/>
                <w:color w:val="FFFFFF" w:themeColor="background1"/>
                <w:szCs w:val="24"/>
                <w:lang w:eastAsia="en-GB"/>
              </w:rPr>
              <w:t>Date milestone to be reported</w:t>
            </w:r>
          </w:p>
        </w:tc>
        <w:tc>
          <w:tcPr>
            <w:tcW w:w="1498" w:type="dxa"/>
            <w:shd w:val="clear" w:color="auto" w:fill="0070C0"/>
          </w:tcPr>
          <w:p w:rsidR="007B719E" w:rsidRPr="009D7F8B" w:rsidRDefault="007B719E" w:rsidP="00A15ABD">
            <w:pPr>
              <w:rPr>
                <w:rFonts w:cs="Arial"/>
                <w:b/>
                <w:bCs w:val="0"/>
                <w:color w:val="FFFFFF" w:themeColor="background1"/>
                <w:szCs w:val="24"/>
                <w:lang w:eastAsia="en-GB"/>
              </w:rPr>
            </w:pPr>
            <w:r w:rsidRPr="009D7F8B">
              <w:rPr>
                <w:rFonts w:cs="Arial"/>
                <w:b/>
                <w:color w:val="FFFFFF" w:themeColor="background1"/>
                <w:szCs w:val="24"/>
                <w:lang w:eastAsia="en-GB"/>
              </w:rPr>
              <w:t>Milestone weighting (% of CQUIN scheme available)</w:t>
            </w:r>
          </w:p>
        </w:tc>
      </w:tr>
      <w:tr w:rsidR="007B719E" w:rsidRPr="009D7F8B" w:rsidTr="00A15ABD">
        <w:trPr>
          <w:cantSplit/>
          <w:trHeight w:val="5231"/>
        </w:trPr>
        <w:tc>
          <w:tcPr>
            <w:tcW w:w="1537" w:type="dxa"/>
          </w:tcPr>
          <w:p w:rsidR="007B719E" w:rsidRPr="000E4C8C" w:rsidRDefault="007B719E" w:rsidP="00A15ABD">
            <w:pPr>
              <w:rPr>
                <w:rFonts w:cs="Arial"/>
                <w:b/>
                <w:szCs w:val="24"/>
              </w:rPr>
            </w:pPr>
            <w:r w:rsidRPr="000E4C8C">
              <w:rPr>
                <w:rFonts w:cs="Arial"/>
                <w:b/>
                <w:szCs w:val="24"/>
              </w:rPr>
              <w:t xml:space="preserve">Year 1  </w:t>
            </w:r>
          </w:p>
          <w:p w:rsidR="007B719E" w:rsidRPr="00B90B3E" w:rsidRDefault="007B719E" w:rsidP="00A15ABD">
            <w:pPr>
              <w:rPr>
                <w:rFonts w:cs="Arial"/>
                <w:szCs w:val="24"/>
              </w:rPr>
            </w:pPr>
            <w:r w:rsidRPr="000E4C8C">
              <w:rPr>
                <w:rFonts w:cs="Arial"/>
                <w:b/>
                <w:szCs w:val="24"/>
              </w:rPr>
              <w:t>Part a)</w:t>
            </w:r>
          </w:p>
        </w:tc>
        <w:tc>
          <w:tcPr>
            <w:tcW w:w="4559" w:type="dxa"/>
          </w:tcPr>
          <w:p w:rsidR="007B719E" w:rsidRPr="00526046" w:rsidRDefault="007B719E" w:rsidP="00A15ABD">
            <w:pPr>
              <w:pStyle w:val="ListParagraph"/>
              <w:numPr>
                <w:ilvl w:val="0"/>
                <w:numId w:val="137"/>
              </w:numPr>
            </w:pPr>
            <w:r w:rsidRPr="00F6117D">
              <w:rPr>
                <w:rFonts w:cs="Arial"/>
                <w:szCs w:val="24"/>
              </w:rPr>
              <w:t xml:space="preserve">Map </w:t>
            </w:r>
            <w:r w:rsidRPr="00C322EF">
              <w:rPr>
                <w:rFonts w:cs="Arial"/>
                <w:szCs w:val="24"/>
              </w:rPr>
              <w:t>and streamline existing discharge pathways</w:t>
            </w:r>
            <w:r w:rsidRPr="005C366B">
              <w:rPr>
                <w:rFonts w:cs="Arial"/>
                <w:szCs w:val="24"/>
              </w:rPr>
              <w:t xml:space="preserve"> across acute, community and NHS-care home providers, and roll-out protocols in partnership across local whole-systems.</w:t>
            </w:r>
          </w:p>
          <w:p w:rsidR="007B719E" w:rsidRDefault="007B719E" w:rsidP="00A15ABD">
            <w:pPr>
              <w:pStyle w:val="ListParagraph"/>
            </w:pPr>
          </w:p>
          <w:p w:rsidR="007B719E" w:rsidRPr="005C366B" w:rsidRDefault="007B719E" w:rsidP="004B058A">
            <w:pPr>
              <w:pStyle w:val="ListParagraph"/>
              <w:numPr>
                <w:ilvl w:val="0"/>
                <w:numId w:val="137"/>
              </w:numPr>
              <w:rPr>
                <w:rFonts w:cs="Arial"/>
                <w:szCs w:val="24"/>
              </w:rPr>
            </w:pPr>
            <w:r w:rsidRPr="00F6117D">
              <w:rPr>
                <w:rFonts w:cs="Arial"/>
                <w:szCs w:val="24"/>
              </w:rPr>
              <w:t xml:space="preserve">Develop and agree with </w:t>
            </w:r>
            <w:r>
              <w:rPr>
                <w:rFonts w:cs="Arial"/>
                <w:szCs w:val="24"/>
              </w:rPr>
              <w:t>commissioner</w:t>
            </w:r>
            <w:r w:rsidRPr="00F6117D">
              <w:rPr>
                <w:rFonts w:cs="Arial"/>
                <w:szCs w:val="24"/>
              </w:rPr>
              <w:t xml:space="preserve"> a plan,</w:t>
            </w:r>
            <w:r w:rsidRPr="00C322EF">
              <w:rPr>
                <w:rFonts w:cs="Arial"/>
                <w:szCs w:val="24"/>
              </w:rPr>
              <w:t xml:space="preserve"> baseline and trajectories which reflect impact of implementation </w:t>
            </w:r>
            <w:r w:rsidRPr="005C366B">
              <w:rPr>
                <w:rFonts w:cs="Arial"/>
                <w:szCs w:val="24"/>
              </w:rPr>
              <w:t xml:space="preserve">of local initiatives to </w:t>
            </w:r>
            <w:r>
              <w:rPr>
                <w:rFonts w:cs="Arial"/>
                <w:szCs w:val="24"/>
              </w:rPr>
              <w:t>deliver</w:t>
            </w:r>
            <w:r w:rsidRPr="00F6117D">
              <w:rPr>
                <w:rFonts w:cs="Arial"/>
                <w:szCs w:val="24"/>
              </w:rPr>
              <w:t xml:space="preserve"> </w:t>
            </w:r>
            <w:r>
              <w:rPr>
                <w:rFonts w:cs="Arial"/>
                <w:szCs w:val="24"/>
              </w:rPr>
              <w:t xml:space="preserve">the </w:t>
            </w:r>
            <w:r w:rsidR="004B058A">
              <w:rPr>
                <w:rFonts w:cs="Arial"/>
                <w:szCs w:val="24"/>
              </w:rPr>
              <w:t>P</w:t>
            </w:r>
            <w:r w:rsidRPr="00F6117D">
              <w:rPr>
                <w:rFonts w:cs="Arial"/>
                <w:szCs w:val="24"/>
              </w:rPr>
              <w:t>art b indicator</w:t>
            </w:r>
            <w:r>
              <w:rPr>
                <w:rFonts w:cs="Arial"/>
                <w:szCs w:val="24"/>
              </w:rPr>
              <w:t xml:space="preserve"> for year 1 and year 2</w:t>
            </w:r>
            <w:r w:rsidR="004B058A">
              <w:rPr>
                <w:rFonts w:cs="Arial"/>
                <w:szCs w:val="24"/>
              </w:rPr>
              <w:t>.</w:t>
            </w:r>
            <w:r>
              <w:rPr>
                <w:rFonts w:cs="Arial"/>
                <w:szCs w:val="24"/>
              </w:rPr>
              <w:t xml:space="preserve"> As part of this a</w:t>
            </w:r>
            <w:r w:rsidRPr="00F6117D">
              <w:rPr>
                <w:rFonts w:cs="Arial"/>
                <w:szCs w:val="24"/>
              </w:rPr>
              <w:t>gree what proportion of</w:t>
            </w:r>
            <w:r>
              <w:rPr>
                <w:rFonts w:cs="Arial"/>
                <w:szCs w:val="24"/>
              </w:rPr>
              <w:t xml:space="preserve"> the</w:t>
            </w:r>
            <w:r w:rsidRPr="00F6117D">
              <w:rPr>
                <w:rFonts w:cs="Arial"/>
                <w:szCs w:val="24"/>
              </w:rPr>
              <w:t xml:space="preserve"> </w:t>
            </w:r>
            <w:r w:rsidR="004B058A">
              <w:rPr>
                <w:rFonts w:cs="Arial"/>
                <w:szCs w:val="24"/>
              </w:rPr>
              <w:t>P</w:t>
            </w:r>
            <w:r w:rsidRPr="00F6117D">
              <w:rPr>
                <w:rFonts w:cs="Arial"/>
                <w:szCs w:val="24"/>
              </w:rPr>
              <w:t xml:space="preserve">art b indicator </w:t>
            </w:r>
            <w:r>
              <w:rPr>
                <w:rFonts w:cs="Arial"/>
                <w:szCs w:val="24"/>
              </w:rPr>
              <w:t xml:space="preserve">for each year </w:t>
            </w:r>
            <w:r w:rsidRPr="00F6117D">
              <w:rPr>
                <w:rFonts w:cs="Arial"/>
                <w:szCs w:val="24"/>
              </w:rPr>
              <w:t xml:space="preserve">will be delivered by the acute provider and what proportion will be </w:t>
            </w:r>
            <w:r w:rsidRPr="00C322EF">
              <w:rPr>
                <w:rFonts w:cs="Arial"/>
                <w:szCs w:val="24"/>
              </w:rPr>
              <w:t>delivered by the community provider.</w:t>
            </w:r>
            <w:r w:rsidRPr="005C366B">
              <w:rPr>
                <w:rFonts w:cs="Arial"/>
                <w:szCs w:val="24"/>
              </w:rPr>
              <w:t xml:space="preserve"> Achievement of part b will require collaboration between acute and community providers.</w:t>
            </w:r>
          </w:p>
        </w:tc>
        <w:tc>
          <w:tcPr>
            <w:tcW w:w="1337" w:type="dxa"/>
          </w:tcPr>
          <w:p w:rsidR="007B719E" w:rsidRPr="00B90B3E" w:rsidRDefault="007B719E" w:rsidP="00A15ABD">
            <w:pPr>
              <w:rPr>
                <w:rFonts w:cs="Arial"/>
                <w:bCs w:val="0"/>
                <w:szCs w:val="24"/>
              </w:rPr>
            </w:pPr>
            <w:r w:rsidRPr="00B90B3E">
              <w:rPr>
                <w:rFonts w:cs="Arial"/>
                <w:szCs w:val="24"/>
              </w:rPr>
              <w:t>End of Q</w:t>
            </w:r>
            <w:r>
              <w:rPr>
                <w:rFonts w:cs="Arial"/>
                <w:szCs w:val="24"/>
              </w:rPr>
              <w:t>2</w:t>
            </w:r>
            <w:r w:rsidRPr="00B90B3E">
              <w:rPr>
                <w:rFonts w:cs="Arial"/>
                <w:szCs w:val="24"/>
              </w:rPr>
              <w:t xml:space="preserve"> 2017/18</w:t>
            </w:r>
          </w:p>
        </w:tc>
        <w:tc>
          <w:tcPr>
            <w:tcW w:w="1498" w:type="dxa"/>
          </w:tcPr>
          <w:p w:rsidR="007B719E" w:rsidRPr="002C1030" w:rsidRDefault="007B719E" w:rsidP="00A15ABD">
            <w:pPr>
              <w:rPr>
                <w:rFonts w:cs="Arial"/>
                <w:bCs w:val="0"/>
                <w:szCs w:val="24"/>
              </w:rPr>
            </w:pPr>
            <w:r>
              <w:rPr>
                <w:rFonts w:cs="Arial"/>
                <w:szCs w:val="24"/>
              </w:rPr>
              <w:t>60% of 10</w:t>
            </w:r>
            <w:r w:rsidRPr="00DA4C5C">
              <w:rPr>
                <w:rFonts w:cs="Arial"/>
                <w:szCs w:val="24"/>
              </w:rPr>
              <w:t>0%</w:t>
            </w:r>
            <w:r>
              <w:rPr>
                <w:rFonts w:cs="Arial"/>
                <w:szCs w:val="24"/>
              </w:rPr>
              <w:t xml:space="preserve"> in Year 1</w:t>
            </w:r>
          </w:p>
        </w:tc>
      </w:tr>
    </w:tbl>
    <w:p w:rsidR="007B719E" w:rsidRDefault="007B719E" w:rsidP="007B719E">
      <w:pPr>
        <w:rPr>
          <w:rFonts w:cs="Arial"/>
          <w:b/>
          <w:bCs w:val="0"/>
          <w:color w:val="0070C0"/>
          <w:szCs w:val="24"/>
          <w:lang w:eastAsia="en-GB"/>
        </w:rPr>
      </w:pPr>
    </w:p>
    <w:p w:rsidR="007B719E" w:rsidRDefault="007B719E" w:rsidP="007B719E">
      <w:pPr>
        <w:rPr>
          <w:rFonts w:cs="Arial"/>
          <w:b/>
          <w:bCs w:val="0"/>
          <w:color w:val="0070C0"/>
          <w:szCs w:val="24"/>
          <w:lang w:eastAsia="en-GB"/>
        </w:rPr>
      </w:pPr>
      <w:r>
        <w:rPr>
          <w:rFonts w:cs="Arial"/>
          <w:b/>
          <w:color w:val="0070C0"/>
          <w:szCs w:val="24"/>
          <w:lang w:eastAsia="en-GB"/>
        </w:rPr>
        <w:br w:type="page"/>
      </w:r>
    </w:p>
    <w:p w:rsidR="007B719E" w:rsidRDefault="007B719E" w:rsidP="000D4728">
      <w:pPr>
        <w:pStyle w:val="Heading4"/>
        <w:rPr>
          <w:bCs/>
          <w:lang w:eastAsia="en-GB"/>
        </w:rPr>
      </w:pPr>
      <w:r w:rsidRPr="009D7F8B">
        <w:rPr>
          <w:lang w:eastAsia="en-GB"/>
        </w:rPr>
        <w:lastRenderedPageBreak/>
        <w:t xml:space="preserve">Rules for partial achievement </w:t>
      </w:r>
      <w:r>
        <w:t>for indicator 8b – Community Trusts</w:t>
      </w:r>
      <w:r w:rsidR="007A6DE5">
        <w:t xml:space="preserve"> – part b)</w:t>
      </w:r>
    </w:p>
    <w:p w:rsidR="007B719E" w:rsidRDefault="007B719E" w:rsidP="007B719E">
      <w:pPr>
        <w:rPr>
          <w:rFonts w:cs="Arial"/>
          <w:b/>
          <w:bCs w:val="0"/>
          <w:color w:val="0070C0"/>
          <w:szCs w:val="24"/>
          <w:lang w:eastAsia="en-GB"/>
        </w:rPr>
      </w:pPr>
    </w:p>
    <w:p w:rsidR="007B719E" w:rsidRPr="00064564" w:rsidRDefault="007B719E" w:rsidP="007B719E">
      <w:pPr>
        <w:rPr>
          <w:rFonts w:cs="Arial"/>
          <w:b/>
          <w:bCs w:val="0"/>
          <w:szCs w:val="24"/>
          <w:lang w:eastAsia="en-GB"/>
        </w:rPr>
      </w:pPr>
      <w:r w:rsidRPr="00064564">
        <w:rPr>
          <w:rFonts w:cs="Arial"/>
          <w:b/>
          <w:szCs w:val="24"/>
          <w:lang w:eastAsia="en-GB"/>
        </w:rPr>
        <w:t>This payment will be calculated on the combined total of provider and community contributions not on an individual provider performance.</w:t>
      </w:r>
    </w:p>
    <w:p w:rsidR="007B719E" w:rsidRDefault="007B719E" w:rsidP="007B719E">
      <w:pPr>
        <w:rPr>
          <w:rFonts w:cs="Arial"/>
          <w:b/>
          <w:bCs w:val="0"/>
          <w:szCs w:val="24"/>
          <w:lang w:eastAsia="en-GB"/>
        </w:rPr>
      </w:pPr>
    </w:p>
    <w:p w:rsidR="007B719E" w:rsidRPr="00917F86" w:rsidRDefault="007B719E" w:rsidP="007B719E">
      <w:pPr>
        <w:rPr>
          <w:rFonts w:cs="Arial"/>
          <w:b/>
          <w:bCs w:val="0"/>
          <w:szCs w:val="24"/>
          <w:lang w:eastAsia="en-GB"/>
        </w:rPr>
      </w:pPr>
      <w:r w:rsidRPr="00917F86">
        <w:rPr>
          <w:rFonts w:cs="Arial"/>
          <w:b/>
          <w:szCs w:val="24"/>
          <w:lang w:eastAsia="en-GB"/>
        </w:rPr>
        <w:t xml:space="preserve">Percentage </w:t>
      </w:r>
      <w:r>
        <w:rPr>
          <w:rFonts w:cs="Arial"/>
          <w:b/>
          <w:szCs w:val="24"/>
          <w:lang w:eastAsia="en-GB"/>
        </w:rPr>
        <w:t>point i</w:t>
      </w:r>
      <w:r w:rsidRPr="00917F86">
        <w:rPr>
          <w:rFonts w:cs="Arial"/>
          <w:b/>
          <w:szCs w:val="24"/>
          <w:lang w:eastAsia="en-GB"/>
        </w:rPr>
        <w:t>ncrease in discharge to usual place of residence</w:t>
      </w:r>
    </w:p>
    <w:p w:rsidR="007B719E" w:rsidRPr="00505963" w:rsidRDefault="007B719E" w:rsidP="007B719E">
      <w:pPr>
        <w:rPr>
          <w:rFonts w:cs="Arial"/>
          <w:b/>
          <w:bCs w:val="0"/>
          <w:szCs w:val="24"/>
          <w:lang w:eastAsia="en-GB"/>
        </w:rPr>
      </w:pPr>
      <w:r w:rsidRPr="00505963">
        <w:rPr>
          <w:rFonts w:cs="Arial"/>
          <w:b/>
          <w:szCs w:val="24"/>
          <w:lang w:eastAsia="en-GB"/>
        </w:rPr>
        <w:t>Year 1 (17/18)</w:t>
      </w:r>
    </w:p>
    <w:p w:rsidR="000D4728" w:rsidRDefault="000D4728" w:rsidP="007B719E">
      <w:pPr>
        <w:rPr>
          <w:rFonts w:cs="Arial"/>
          <w:b/>
          <w:szCs w:val="24"/>
          <w:lang w:eastAsia="en-GB"/>
        </w:rPr>
      </w:pPr>
    </w:p>
    <w:p w:rsidR="007B719E" w:rsidRDefault="007B719E" w:rsidP="007B719E">
      <w:pPr>
        <w:rPr>
          <w:rFonts w:cs="Arial"/>
          <w:b/>
          <w:szCs w:val="24"/>
          <w:lang w:eastAsia="en-GB"/>
        </w:rPr>
      </w:pPr>
      <w:r w:rsidRPr="00505963">
        <w:rPr>
          <w:rFonts w:cs="Arial"/>
          <w:b/>
          <w:szCs w:val="24"/>
          <w:lang w:eastAsia="en-GB"/>
        </w:rPr>
        <w:t xml:space="preserve">By the end of Q4 </w:t>
      </w:r>
      <w:r>
        <w:rPr>
          <w:rFonts w:cs="Arial"/>
          <w:b/>
          <w:szCs w:val="24"/>
          <w:lang w:eastAsia="en-GB"/>
        </w:rPr>
        <w:t>2.5</w:t>
      </w:r>
      <w:r w:rsidRPr="00505963">
        <w:rPr>
          <w:rFonts w:cs="Arial"/>
          <w:b/>
          <w:szCs w:val="24"/>
          <w:lang w:eastAsia="en-GB"/>
        </w:rPr>
        <w:t xml:space="preserve">% </w:t>
      </w:r>
      <w:r>
        <w:rPr>
          <w:rFonts w:cs="Arial"/>
          <w:b/>
          <w:szCs w:val="24"/>
          <w:lang w:eastAsia="en-GB"/>
        </w:rPr>
        <w:t>point increase from baseline in no.</w:t>
      </w:r>
      <w:r w:rsidRPr="00505963">
        <w:rPr>
          <w:rFonts w:cs="Arial"/>
          <w:b/>
          <w:szCs w:val="24"/>
          <w:lang w:eastAsia="en-GB"/>
        </w:rPr>
        <w:t xml:space="preserve"> patients discharged to usual place of residence </w:t>
      </w:r>
    </w:p>
    <w:p w:rsidR="000D4728" w:rsidRPr="00505963" w:rsidRDefault="000D4728" w:rsidP="007B719E">
      <w:pPr>
        <w:rPr>
          <w:rFonts w:cs="Arial"/>
          <w:b/>
          <w:bCs w:val="0"/>
          <w:szCs w:val="24"/>
          <w:lang w:eastAsia="en-GB"/>
        </w:rPr>
      </w:pPr>
    </w:p>
    <w:tbl>
      <w:tblPr>
        <w:tblW w:w="8647" w:type="dxa"/>
        <w:tblInd w:w="-34" w:type="dxa"/>
        <w:tblLook w:val="0000" w:firstRow="0" w:lastRow="0" w:firstColumn="0" w:lastColumn="0" w:noHBand="0" w:noVBand="0"/>
      </w:tblPr>
      <w:tblGrid>
        <w:gridCol w:w="3828"/>
        <w:gridCol w:w="4819"/>
      </w:tblGrid>
      <w:tr w:rsidR="007B719E" w:rsidRPr="008204EB" w:rsidTr="00A15ABD">
        <w:trPr>
          <w:trHeight w:val="700"/>
          <w:tblHeader/>
        </w:trPr>
        <w:tc>
          <w:tcPr>
            <w:tcW w:w="3828" w:type="dxa"/>
            <w:tcBorders>
              <w:top w:val="single" w:sz="4" w:space="0" w:color="auto"/>
              <w:left w:val="single" w:sz="4" w:space="0" w:color="auto"/>
              <w:bottom w:val="single" w:sz="4" w:space="0" w:color="auto"/>
              <w:right w:val="nil"/>
            </w:tcBorders>
            <w:shd w:val="clear" w:color="auto" w:fill="0070C0"/>
            <w:noWrap/>
          </w:tcPr>
          <w:p w:rsidR="007B719E" w:rsidRPr="000D76E9" w:rsidRDefault="007B719E" w:rsidP="00A15ABD">
            <w:pPr>
              <w:rPr>
                <w:rFonts w:cs="Arial"/>
                <w:b/>
                <w:color w:val="FFFFFF" w:themeColor="background1"/>
                <w:lang w:eastAsia="en-GB"/>
              </w:rPr>
            </w:pPr>
            <w:r w:rsidRPr="000D76E9">
              <w:rPr>
                <w:rFonts w:cs="Arial"/>
                <w:b/>
                <w:color w:val="FFFFFF" w:themeColor="background1"/>
                <w:lang w:eastAsia="en-GB"/>
              </w:rPr>
              <w:t>Final indicator value for the partial achievement threshold</w:t>
            </w:r>
          </w:p>
        </w:tc>
        <w:tc>
          <w:tcPr>
            <w:tcW w:w="4819" w:type="dxa"/>
            <w:tcBorders>
              <w:top w:val="single" w:sz="4" w:space="0" w:color="auto"/>
              <w:left w:val="single" w:sz="4" w:space="0" w:color="auto"/>
              <w:bottom w:val="single" w:sz="4" w:space="0" w:color="auto"/>
              <w:right w:val="single" w:sz="4" w:space="0" w:color="auto"/>
            </w:tcBorders>
            <w:shd w:val="clear" w:color="auto" w:fill="0070C0"/>
          </w:tcPr>
          <w:p w:rsidR="007B719E" w:rsidRPr="000D76E9" w:rsidRDefault="007B719E" w:rsidP="00A15ABD">
            <w:pPr>
              <w:rPr>
                <w:rFonts w:cs="Arial"/>
                <w:b/>
                <w:color w:val="FFFFFF" w:themeColor="background1"/>
                <w:lang w:eastAsia="en-GB"/>
              </w:rPr>
            </w:pPr>
            <w:r>
              <w:rPr>
                <w:rFonts w:cs="Arial"/>
                <w:b/>
                <w:color w:val="FFFFFF" w:themeColor="background1"/>
                <w:lang w:eastAsia="en-GB"/>
              </w:rPr>
              <w:t>%</w:t>
            </w:r>
            <w:r w:rsidRPr="000D76E9">
              <w:rPr>
                <w:rFonts w:cs="Arial"/>
                <w:b/>
                <w:color w:val="FFFFFF" w:themeColor="background1"/>
                <w:lang w:eastAsia="en-GB"/>
              </w:rPr>
              <w:t xml:space="preserve"> of CQUIN scheme available for meeting final indicator value</w:t>
            </w:r>
          </w:p>
        </w:tc>
      </w:tr>
      <w:tr w:rsidR="007B719E" w:rsidRPr="00A27794" w:rsidTr="00A15ABD">
        <w:trPr>
          <w:trHeight w:val="348"/>
        </w:trPr>
        <w:tc>
          <w:tcPr>
            <w:tcW w:w="3828" w:type="dxa"/>
            <w:tcBorders>
              <w:top w:val="nil"/>
              <w:left w:val="single" w:sz="4" w:space="0" w:color="auto"/>
              <w:bottom w:val="single" w:sz="4" w:space="0" w:color="auto"/>
              <w:right w:val="nil"/>
            </w:tcBorders>
          </w:tcPr>
          <w:p w:rsidR="007B719E" w:rsidRPr="000758CD" w:rsidRDefault="007B719E" w:rsidP="00A15ABD">
            <w:pPr>
              <w:rPr>
                <w:rFonts w:cs="Arial"/>
                <w:bCs w:val="0"/>
                <w:lang w:eastAsia="en-GB"/>
              </w:rPr>
            </w:pPr>
            <w:r w:rsidRPr="000758CD">
              <w:rPr>
                <w:rFonts w:cs="Arial"/>
                <w:lang w:eastAsia="en-GB"/>
              </w:rPr>
              <w:t xml:space="preserve">Less than </w:t>
            </w:r>
            <w:r>
              <w:rPr>
                <w:rFonts w:cs="Arial"/>
                <w:lang w:eastAsia="en-GB"/>
              </w:rPr>
              <w:t>1.5</w:t>
            </w:r>
            <w:r w:rsidRPr="000758CD">
              <w:rPr>
                <w:rFonts w:cs="Arial"/>
                <w:lang w:eastAsia="en-GB"/>
              </w:rPr>
              <w:t>% point increase</w:t>
            </w:r>
          </w:p>
        </w:tc>
        <w:tc>
          <w:tcPr>
            <w:tcW w:w="4819" w:type="dxa"/>
            <w:tcBorders>
              <w:top w:val="nil"/>
              <w:left w:val="single" w:sz="4" w:space="0" w:color="auto"/>
              <w:bottom w:val="single" w:sz="4" w:space="0" w:color="auto"/>
              <w:right w:val="single" w:sz="4" w:space="0" w:color="auto"/>
            </w:tcBorders>
          </w:tcPr>
          <w:p w:rsidR="007B719E" w:rsidRPr="00A27794" w:rsidRDefault="007B719E" w:rsidP="00A15ABD">
            <w:pPr>
              <w:rPr>
                <w:rFonts w:cs="Arial"/>
                <w:bCs w:val="0"/>
                <w:lang w:eastAsia="en-GB"/>
              </w:rPr>
            </w:pPr>
            <w:r w:rsidRPr="00A27794">
              <w:rPr>
                <w:rFonts w:cs="Arial"/>
                <w:lang w:eastAsia="en-GB"/>
              </w:rPr>
              <w:t>No payment</w:t>
            </w:r>
          </w:p>
        </w:tc>
      </w:tr>
      <w:tr w:rsidR="007B719E" w:rsidRPr="00A27794" w:rsidTr="00A15ABD">
        <w:trPr>
          <w:trHeight w:val="348"/>
        </w:trPr>
        <w:tc>
          <w:tcPr>
            <w:tcW w:w="3828" w:type="dxa"/>
            <w:tcBorders>
              <w:top w:val="nil"/>
              <w:left w:val="single" w:sz="4" w:space="0" w:color="auto"/>
              <w:bottom w:val="single" w:sz="4" w:space="0" w:color="auto"/>
              <w:right w:val="nil"/>
            </w:tcBorders>
          </w:tcPr>
          <w:p w:rsidR="007B719E" w:rsidRPr="000758CD" w:rsidRDefault="007B719E" w:rsidP="00A15ABD">
            <w:pPr>
              <w:rPr>
                <w:rFonts w:cs="Arial"/>
                <w:bCs w:val="0"/>
              </w:rPr>
            </w:pPr>
            <w:r>
              <w:rPr>
                <w:rFonts w:cs="Arial"/>
                <w:lang w:eastAsia="en-GB"/>
              </w:rPr>
              <w:t>1.5 up to 1.99</w:t>
            </w:r>
            <w:r w:rsidRPr="000758CD">
              <w:rPr>
                <w:rFonts w:cs="Arial"/>
                <w:lang w:eastAsia="en-GB"/>
              </w:rPr>
              <w:t xml:space="preserve">% point increase </w:t>
            </w:r>
          </w:p>
        </w:tc>
        <w:tc>
          <w:tcPr>
            <w:tcW w:w="4819" w:type="dxa"/>
            <w:tcBorders>
              <w:top w:val="nil"/>
              <w:left w:val="single" w:sz="4" w:space="0" w:color="auto"/>
              <w:bottom w:val="single" w:sz="4" w:space="0" w:color="auto"/>
              <w:right w:val="single" w:sz="4" w:space="0" w:color="auto"/>
            </w:tcBorders>
          </w:tcPr>
          <w:p w:rsidR="007B719E" w:rsidRPr="00A27794" w:rsidRDefault="007B719E" w:rsidP="00A15ABD">
            <w:pPr>
              <w:rPr>
                <w:rFonts w:cs="Arial"/>
                <w:bCs w:val="0"/>
              </w:rPr>
            </w:pPr>
            <w:r w:rsidRPr="00A27794">
              <w:rPr>
                <w:rFonts w:cs="Arial"/>
                <w:lang w:eastAsia="en-GB"/>
              </w:rPr>
              <w:t>5</w:t>
            </w:r>
            <w:r>
              <w:rPr>
                <w:rFonts w:cs="Arial"/>
                <w:lang w:eastAsia="en-GB"/>
              </w:rPr>
              <w:t>0</w:t>
            </w:r>
            <w:r w:rsidRPr="00A27794">
              <w:rPr>
                <w:rFonts w:cs="Arial"/>
                <w:lang w:eastAsia="en-GB"/>
              </w:rPr>
              <w:t>% payment</w:t>
            </w:r>
          </w:p>
        </w:tc>
      </w:tr>
      <w:tr w:rsidR="007B719E" w:rsidRPr="00A27794" w:rsidTr="00A15ABD">
        <w:trPr>
          <w:trHeight w:val="348"/>
        </w:trPr>
        <w:tc>
          <w:tcPr>
            <w:tcW w:w="3828" w:type="dxa"/>
            <w:tcBorders>
              <w:top w:val="nil"/>
              <w:left w:val="single" w:sz="4" w:space="0" w:color="auto"/>
              <w:bottom w:val="single" w:sz="4" w:space="0" w:color="auto"/>
              <w:right w:val="nil"/>
            </w:tcBorders>
          </w:tcPr>
          <w:p w:rsidR="007B719E" w:rsidRPr="000758CD" w:rsidRDefault="007B719E" w:rsidP="00A15ABD">
            <w:pPr>
              <w:rPr>
                <w:rFonts w:cs="Arial"/>
                <w:bCs w:val="0"/>
                <w:lang w:eastAsia="en-GB"/>
              </w:rPr>
            </w:pPr>
            <w:r>
              <w:rPr>
                <w:rFonts w:cs="Arial"/>
                <w:lang w:eastAsia="en-GB"/>
              </w:rPr>
              <w:t>2 up to 2</w:t>
            </w:r>
            <w:r w:rsidRPr="000758CD">
              <w:rPr>
                <w:rFonts w:cs="Arial"/>
                <w:lang w:eastAsia="en-GB"/>
              </w:rPr>
              <w:t>.</w:t>
            </w:r>
            <w:r>
              <w:rPr>
                <w:rFonts w:cs="Arial"/>
                <w:lang w:eastAsia="en-GB"/>
              </w:rPr>
              <w:t>49</w:t>
            </w:r>
            <w:r w:rsidRPr="000758CD">
              <w:rPr>
                <w:rFonts w:cs="Arial"/>
                <w:lang w:eastAsia="en-GB"/>
              </w:rPr>
              <w:t>% point increase</w:t>
            </w:r>
          </w:p>
        </w:tc>
        <w:tc>
          <w:tcPr>
            <w:tcW w:w="4819" w:type="dxa"/>
            <w:tcBorders>
              <w:top w:val="nil"/>
              <w:left w:val="single" w:sz="4" w:space="0" w:color="auto"/>
              <w:bottom w:val="single" w:sz="4" w:space="0" w:color="auto"/>
              <w:right w:val="single" w:sz="4" w:space="0" w:color="auto"/>
            </w:tcBorders>
          </w:tcPr>
          <w:p w:rsidR="007B719E" w:rsidRPr="00A27794" w:rsidDel="005C5DEB" w:rsidRDefault="007B719E" w:rsidP="00A15ABD">
            <w:pPr>
              <w:rPr>
                <w:rFonts w:cs="Arial"/>
                <w:bCs w:val="0"/>
                <w:lang w:eastAsia="en-GB"/>
              </w:rPr>
            </w:pPr>
            <w:r>
              <w:rPr>
                <w:rFonts w:cs="Arial"/>
                <w:lang w:eastAsia="en-GB"/>
              </w:rPr>
              <w:t>80% payment</w:t>
            </w:r>
          </w:p>
        </w:tc>
      </w:tr>
      <w:tr w:rsidR="007B719E" w:rsidRPr="00A27794" w:rsidTr="00A15ABD">
        <w:trPr>
          <w:trHeight w:val="403"/>
        </w:trPr>
        <w:tc>
          <w:tcPr>
            <w:tcW w:w="3828" w:type="dxa"/>
            <w:tcBorders>
              <w:top w:val="nil"/>
              <w:left w:val="single" w:sz="4" w:space="0" w:color="auto"/>
              <w:bottom w:val="single" w:sz="4" w:space="0" w:color="auto"/>
              <w:right w:val="nil"/>
            </w:tcBorders>
          </w:tcPr>
          <w:p w:rsidR="007B719E" w:rsidRPr="000758CD" w:rsidRDefault="007B719E" w:rsidP="00A15ABD">
            <w:pPr>
              <w:rPr>
                <w:rFonts w:cs="Arial"/>
                <w:bCs w:val="0"/>
                <w:lang w:eastAsia="en-GB"/>
              </w:rPr>
            </w:pPr>
            <w:r>
              <w:rPr>
                <w:rFonts w:cs="Arial"/>
                <w:lang w:eastAsia="en-GB"/>
              </w:rPr>
              <w:t>2</w:t>
            </w:r>
            <w:r w:rsidRPr="000758CD">
              <w:rPr>
                <w:rFonts w:cs="Arial"/>
                <w:lang w:eastAsia="en-GB"/>
              </w:rPr>
              <w:t>.5%</w:t>
            </w:r>
            <w:r>
              <w:rPr>
                <w:rFonts w:cs="Arial"/>
                <w:lang w:eastAsia="en-GB"/>
              </w:rPr>
              <w:t xml:space="preserve"> </w:t>
            </w:r>
            <w:r w:rsidRPr="000758CD">
              <w:rPr>
                <w:rFonts w:cs="Arial"/>
                <w:lang w:eastAsia="en-GB"/>
              </w:rPr>
              <w:t>point increase</w:t>
            </w:r>
            <w:r>
              <w:rPr>
                <w:rFonts w:cs="Arial"/>
                <w:lang w:eastAsia="en-GB"/>
              </w:rPr>
              <w:t xml:space="preserve"> or greater</w:t>
            </w:r>
          </w:p>
        </w:tc>
        <w:tc>
          <w:tcPr>
            <w:tcW w:w="4819" w:type="dxa"/>
            <w:tcBorders>
              <w:top w:val="nil"/>
              <w:left w:val="single" w:sz="4" w:space="0" w:color="auto"/>
              <w:bottom w:val="single" w:sz="4" w:space="0" w:color="auto"/>
              <w:right w:val="single" w:sz="4" w:space="0" w:color="auto"/>
            </w:tcBorders>
          </w:tcPr>
          <w:p w:rsidR="007B719E" w:rsidRPr="00A27794" w:rsidRDefault="007B719E" w:rsidP="00A15ABD">
            <w:pPr>
              <w:rPr>
                <w:rFonts w:cs="Arial"/>
                <w:bCs w:val="0"/>
                <w:lang w:eastAsia="en-GB"/>
              </w:rPr>
            </w:pPr>
            <w:r w:rsidRPr="00A27794">
              <w:rPr>
                <w:rFonts w:cs="Arial"/>
                <w:lang w:eastAsia="en-GB"/>
              </w:rPr>
              <w:t>100% payment</w:t>
            </w:r>
          </w:p>
        </w:tc>
      </w:tr>
    </w:tbl>
    <w:p w:rsidR="007B719E" w:rsidRDefault="007B719E" w:rsidP="007B719E">
      <w:pPr>
        <w:rPr>
          <w:rFonts w:cs="Arial"/>
          <w:b/>
          <w:bCs w:val="0"/>
          <w:szCs w:val="24"/>
          <w:lang w:eastAsia="en-GB"/>
        </w:rPr>
      </w:pPr>
    </w:p>
    <w:p w:rsidR="007A6DE5" w:rsidRDefault="007A6DE5" w:rsidP="007B719E">
      <w:pPr>
        <w:rPr>
          <w:rFonts w:cs="Arial"/>
          <w:b/>
          <w:bCs w:val="0"/>
          <w:szCs w:val="24"/>
          <w:lang w:eastAsia="en-GB"/>
        </w:rPr>
      </w:pPr>
      <w:r>
        <w:rPr>
          <w:rFonts w:cs="Arial"/>
          <w:b/>
          <w:bCs w:val="0"/>
          <w:szCs w:val="24"/>
          <w:lang w:eastAsia="en-GB"/>
        </w:rPr>
        <w:t>Or</w:t>
      </w:r>
    </w:p>
    <w:p w:rsidR="007A6DE5" w:rsidRDefault="007A6DE5" w:rsidP="007B719E">
      <w:pPr>
        <w:rPr>
          <w:rFonts w:cs="Arial"/>
          <w:b/>
          <w:bCs w:val="0"/>
          <w:szCs w:val="24"/>
          <w:lang w:eastAsia="en-GB"/>
        </w:rPr>
      </w:pPr>
    </w:p>
    <w:p w:rsidR="007A6DE5" w:rsidRPr="00505963" w:rsidRDefault="007A6DE5" w:rsidP="007A6DE5">
      <w:pPr>
        <w:rPr>
          <w:rFonts w:cs="Arial"/>
          <w:b/>
          <w:bCs w:val="0"/>
          <w:szCs w:val="24"/>
          <w:lang w:eastAsia="en-GB"/>
        </w:rPr>
      </w:pPr>
      <w:r w:rsidRPr="00505963">
        <w:rPr>
          <w:rFonts w:cs="Arial"/>
          <w:b/>
          <w:szCs w:val="24"/>
          <w:lang w:eastAsia="en-GB"/>
        </w:rPr>
        <w:t>Year 1 (17/18)</w:t>
      </w:r>
    </w:p>
    <w:p w:rsidR="000D4728" w:rsidRDefault="000D4728" w:rsidP="007A6DE5">
      <w:pPr>
        <w:rPr>
          <w:rFonts w:cs="Arial"/>
          <w:b/>
          <w:szCs w:val="24"/>
          <w:lang w:eastAsia="en-GB"/>
        </w:rPr>
      </w:pPr>
    </w:p>
    <w:p w:rsidR="007A6DE5" w:rsidRDefault="007A6DE5" w:rsidP="007A6DE5">
      <w:pPr>
        <w:rPr>
          <w:rFonts w:cs="Arial"/>
          <w:b/>
          <w:bCs w:val="0"/>
          <w:szCs w:val="24"/>
          <w:lang w:eastAsia="en-GB"/>
        </w:rPr>
      </w:pPr>
      <w:r w:rsidRPr="00505963">
        <w:rPr>
          <w:rFonts w:cs="Arial"/>
          <w:b/>
          <w:szCs w:val="24"/>
          <w:lang w:eastAsia="en-GB"/>
        </w:rPr>
        <w:t xml:space="preserve">By the end of Q4 </w:t>
      </w:r>
      <w:r>
        <w:rPr>
          <w:rFonts w:cs="Arial"/>
          <w:b/>
          <w:szCs w:val="24"/>
          <w:lang w:eastAsia="en-GB"/>
        </w:rPr>
        <w:t>47.5</w:t>
      </w:r>
      <w:r w:rsidRPr="00505963">
        <w:rPr>
          <w:rFonts w:cs="Arial"/>
          <w:b/>
          <w:szCs w:val="24"/>
          <w:lang w:eastAsia="en-GB"/>
        </w:rPr>
        <w:t xml:space="preserve">% </w:t>
      </w:r>
      <w:r>
        <w:rPr>
          <w:rFonts w:cs="Arial"/>
          <w:b/>
          <w:szCs w:val="24"/>
          <w:lang w:eastAsia="en-GB"/>
        </w:rPr>
        <w:t>in % of</w:t>
      </w:r>
      <w:r w:rsidRPr="00505963">
        <w:rPr>
          <w:rFonts w:cs="Arial"/>
          <w:b/>
          <w:szCs w:val="24"/>
          <w:lang w:eastAsia="en-GB"/>
        </w:rPr>
        <w:t xml:space="preserve"> patients discharged to usual place of residence</w:t>
      </w:r>
    </w:p>
    <w:p w:rsidR="007A6DE5" w:rsidRDefault="007A6DE5" w:rsidP="007B719E">
      <w:pPr>
        <w:rPr>
          <w:rFonts w:cs="Arial"/>
          <w:b/>
          <w:bCs w:val="0"/>
          <w:szCs w:val="24"/>
          <w:lang w:eastAsia="en-GB"/>
        </w:rPr>
      </w:pPr>
    </w:p>
    <w:tbl>
      <w:tblPr>
        <w:tblW w:w="8647" w:type="dxa"/>
        <w:tblInd w:w="-34" w:type="dxa"/>
        <w:tblLook w:val="0000" w:firstRow="0" w:lastRow="0" w:firstColumn="0" w:lastColumn="0" w:noHBand="0" w:noVBand="0"/>
      </w:tblPr>
      <w:tblGrid>
        <w:gridCol w:w="3828"/>
        <w:gridCol w:w="4819"/>
      </w:tblGrid>
      <w:tr w:rsidR="007A6DE5" w:rsidRPr="008204EB" w:rsidTr="00A15ABD">
        <w:trPr>
          <w:trHeight w:val="700"/>
          <w:tblHeader/>
        </w:trPr>
        <w:tc>
          <w:tcPr>
            <w:tcW w:w="3828" w:type="dxa"/>
            <w:tcBorders>
              <w:top w:val="single" w:sz="4" w:space="0" w:color="auto"/>
              <w:left w:val="single" w:sz="4" w:space="0" w:color="auto"/>
              <w:bottom w:val="single" w:sz="4" w:space="0" w:color="auto"/>
              <w:right w:val="nil"/>
            </w:tcBorders>
            <w:shd w:val="clear" w:color="auto" w:fill="0070C0"/>
            <w:noWrap/>
          </w:tcPr>
          <w:p w:rsidR="007A6DE5" w:rsidRPr="000D76E9" w:rsidRDefault="007A6DE5" w:rsidP="00A15ABD">
            <w:pPr>
              <w:rPr>
                <w:rFonts w:cs="Arial"/>
                <w:b/>
                <w:color w:val="FFFFFF" w:themeColor="background1"/>
                <w:lang w:eastAsia="en-GB"/>
              </w:rPr>
            </w:pPr>
            <w:r w:rsidRPr="000D76E9">
              <w:rPr>
                <w:rFonts w:cs="Arial"/>
                <w:b/>
                <w:color w:val="FFFFFF" w:themeColor="background1"/>
                <w:lang w:eastAsia="en-GB"/>
              </w:rPr>
              <w:t>Final indicator value for the partial achievement threshold</w:t>
            </w:r>
          </w:p>
        </w:tc>
        <w:tc>
          <w:tcPr>
            <w:tcW w:w="4819" w:type="dxa"/>
            <w:tcBorders>
              <w:top w:val="single" w:sz="4" w:space="0" w:color="auto"/>
              <w:left w:val="single" w:sz="4" w:space="0" w:color="auto"/>
              <w:bottom w:val="single" w:sz="4" w:space="0" w:color="auto"/>
              <w:right w:val="single" w:sz="4" w:space="0" w:color="auto"/>
            </w:tcBorders>
            <w:shd w:val="clear" w:color="auto" w:fill="0070C0"/>
          </w:tcPr>
          <w:p w:rsidR="007A6DE5" w:rsidRPr="000D76E9" w:rsidRDefault="007A6DE5" w:rsidP="00A15ABD">
            <w:pPr>
              <w:rPr>
                <w:rFonts w:cs="Arial"/>
                <w:b/>
                <w:color w:val="FFFFFF" w:themeColor="background1"/>
                <w:lang w:eastAsia="en-GB"/>
              </w:rPr>
            </w:pPr>
            <w:r>
              <w:rPr>
                <w:rFonts w:cs="Arial"/>
                <w:b/>
                <w:color w:val="FFFFFF" w:themeColor="background1"/>
                <w:lang w:eastAsia="en-GB"/>
              </w:rPr>
              <w:t>%</w:t>
            </w:r>
            <w:r w:rsidRPr="000D76E9">
              <w:rPr>
                <w:rFonts w:cs="Arial"/>
                <w:b/>
                <w:color w:val="FFFFFF" w:themeColor="background1"/>
                <w:lang w:eastAsia="en-GB"/>
              </w:rPr>
              <w:t xml:space="preserve"> of CQUIN scheme available for meeting final indicator value</w:t>
            </w:r>
          </w:p>
        </w:tc>
      </w:tr>
      <w:tr w:rsidR="007A6DE5" w:rsidRPr="00A27794" w:rsidTr="00A15ABD">
        <w:trPr>
          <w:trHeight w:val="348"/>
        </w:trPr>
        <w:tc>
          <w:tcPr>
            <w:tcW w:w="3828" w:type="dxa"/>
            <w:tcBorders>
              <w:top w:val="nil"/>
              <w:left w:val="single" w:sz="4" w:space="0" w:color="auto"/>
              <w:bottom w:val="single" w:sz="4" w:space="0" w:color="auto"/>
              <w:right w:val="nil"/>
            </w:tcBorders>
          </w:tcPr>
          <w:p w:rsidR="007A6DE5" w:rsidRPr="000758CD" w:rsidRDefault="007A6DE5" w:rsidP="00A15ABD">
            <w:pPr>
              <w:rPr>
                <w:rFonts w:cs="Arial"/>
                <w:bCs w:val="0"/>
                <w:lang w:eastAsia="en-GB"/>
              </w:rPr>
            </w:pPr>
            <w:r>
              <w:rPr>
                <w:rFonts w:cs="Arial"/>
                <w:lang w:eastAsia="en-GB"/>
              </w:rPr>
              <w:t>Less than 40%</w:t>
            </w:r>
          </w:p>
        </w:tc>
        <w:tc>
          <w:tcPr>
            <w:tcW w:w="4819" w:type="dxa"/>
            <w:tcBorders>
              <w:top w:val="nil"/>
              <w:left w:val="single" w:sz="4" w:space="0" w:color="auto"/>
              <w:bottom w:val="single" w:sz="4" w:space="0" w:color="auto"/>
              <w:right w:val="single" w:sz="4" w:space="0" w:color="auto"/>
            </w:tcBorders>
          </w:tcPr>
          <w:p w:rsidR="007A6DE5" w:rsidRPr="00A27794" w:rsidRDefault="007A6DE5" w:rsidP="00A15ABD">
            <w:pPr>
              <w:rPr>
                <w:rFonts w:cs="Arial"/>
                <w:bCs w:val="0"/>
                <w:lang w:eastAsia="en-GB"/>
              </w:rPr>
            </w:pPr>
            <w:r w:rsidRPr="00A27794">
              <w:rPr>
                <w:rFonts w:cs="Arial"/>
                <w:lang w:eastAsia="en-GB"/>
              </w:rPr>
              <w:t>No payment</w:t>
            </w:r>
          </w:p>
        </w:tc>
      </w:tr>
      <w:tr w:rsidR="007A6DE5" w:rsidRPr="00A27794" w:rsidTr="00A15ABD">
        <w:trPr>
          <w:trHeight w:val="348"/>
        </w:trPr>
        <w:tc>
          <w:tcPr>
            <w:tcW w:w="3828" w:type="dxa"/>
            <w:tcBorders>
              <w:top w:val="nil"/>
              <w:left w:val="single" w:sz="4" w:space="0" w:color="auto"/>
              <w:bottom w:val="single" w:sz="4" w:space="0" w:color="auto"/>
              <w:right w:val="nil"/>
            </w:tcBorders>
          </w:tcPr>
          <w:p w:rsidR="007A6DE5" w:rsidRPr="000758CD" w:rsidRDefault="007A6DE5" w:rsidP="00A15ABD">
            <w:pPr>
              <w:rPr>
                <w:rFonts w:cs="Arial"/>
                <w:bCs w:val="0"/>
              </w:rPr>
            </w:pPr>
            <w:r>
              <w:rPr>
                <w:rFonts w:cs="Arial"/>
              </w:rPr>
              <w:t>40% up to 44.9%</w:t>
            </w:r>
          </w:p>
        </w:tc>
        <w:tc>
          <w:tcPr>
            <w:tcW w:w="4819" w:type="dxa"/>
            <w:tcBorders>
              <w:top w:val="nil"/>
              <w:left w:val="single" w:sz="4" w:space="0" w:color="auto"/>
              <w:bottom w:val="single" w:sz="4" w:space="0" w:color="auto"/>
              <w:right w:val="single" w:sz="4" w:space="0" w:color="auto"/>
            </w:tcBorders>
          </w:tcPr>
          <w:p w:rsidR="007A6DE5" w:rsidRPr="00A27794" w:rsidRDefault="007A6DE5" w:rsidP="00A15ABD">
            <w:pPr>
              <w:rPr>
                <w:rFonts w:cs="Arial"/>
                <w:bCs w:val="0"/>
              </w:rPr>
            </w:pPr>
            <w:r w:rsidRPr="00A27794">
              <w:rPr>
                <w:rFonts w:cs="Arial"/>
                <w:lang w:eastAsia="en-GB"/>
              </w:rPr>
              <w:t>5</w:t>
            </w:r>
            <w:r>
              <w:rPr>
                <w:rFonts w:cs="Arial"/>
                <w:lang w:eastAsia="en-GB"/>
              </w:rPr>
              <w:t>0</w:t>
            </w:r>
            <w:r w:rsidRPr="00A27794">
              <w:rPr>
                <w:rFonts w:cs="Arial"/>
                <w:lang w:eastAsia="en-GB"/>
              </w:rPr>
              <w:t>% payment</w:t>
            </w:r>
          </w:p>
        </w:tc>
      </w:tr>
      <w:tr w:rsidR="007A6DE5" w:rsidRPr="00A27794" w:rsidTr="00A15ABD">
        <w:trPr>
          <w:trHeight w:val="348"/>
        </w:trPr>
        <w:tc>
          <w:tcPr>
            <w:tcW w:w="3828" w:type="dxa"/>
            <w:tcBorders>
              <w:top w:val="nil"/>
              <w:left w:val="single" w:sz="4" w:space="0" w:color="auto"/>
              <w:bottom w:val="single" w:sz="4" w:space="0" w:color="auto"/>
              <w:right w:val="nil"/>
            </w:tcBorders>
          </w:tcPr>
          <w:p w:rsidR="007A6DE5" w:rsidRPr="000758CD" w:rsidRDefault="007A6DE5" w:rsidP="00A15ABD">
            <w:pPr>
              <w:rPr>
                <w:rFonts w:cs="Arial"/>
                <w:bCs w:val="0"/>
                <w:lang w:eastAsia="en-GB"/>
              </w:rPr>
            </w:pPr>
            <w:r>
              <w:rPr>
                <w:rFonts w:cs="Arial"/>
                <w:lang w:eastAsia="en-GB"/>
              </w:rPr>
              <w:t>45% up to 47.4%</w:t>
            </w:r>
          </w:p>
        </w:tc>
        <w:tc>
          <w:tcPr>
            <w:tcW w:w="4819" w:type="dxa"/>
            <w:tcBorders>
              <w:top w:val="nil"/>
              <w:left w:val="single" w:sz="4" w:space="0" w:color="auto"/>
              <w:bottom w:val="single" w:sz="4" w:space="0" w:color="auto"/>
              <w:right w:val="single" w:sz="4" w:space="0" w:color="auto"/>
            </w:tcBorders>
          </w:tcPr>
          <w:p w:rsidR="007A6DE5" w:rsidRPr="00A27794" w:rsidDel="005C5DEB" w:rsidRDefault="007A6DE5" w:rsidP="00A15ABD">
            <w:pPr>
              <w:rPr>
                <w:rFonts w:cs="Arial"/>
                <w:bCs w:val="0"/>
                <w:lang w:eastAsia="en-GB"/>
              </w:rPr>
            </w:pPr>
            <w:r>
              <w:rPr>
                <w:rFonts w:cs="Arial"/>
                <w:lang w:eastAsia="en-GB"/>
              </w:rPr>
              <w:t>80% payment</w:t>
            </w:r>
          </w:p>
        </w:tc>
      </w:tr>
      <w:tr w:rsidR="007A6DE5" w:rsidRPr="00A27794" w:rsidTr="00A15ABD">
        <w:trPr>
          <w:trHeight w:val="403"/>
        </w:trPr>
        <w:tc>
          <w:tcPr>
            <w:tcW w:w="3828" w:type="dxa"/>
            <w:tcBorders>
              <w:top w:val="nil"/>
              <w:left w:val="single" w:sz="4" w:space="0" w:color="auto"/>
              <w:bottom w:val="single" w:sz="4" w:space="0" w:color="auto"/>
              <w:right w:val="nil"/>
            </w:tcBorders>
          </w:tcPr>
          <w:p w:rsidR="007A6DE5" w:rsidRPr="000758CD" w:rsidRDefault="007A6DE5" w:rsidP="00A15ABD">
            <w:pPr>
              <w:rPr>
                <w:rFonts w:cs="Arial"/>
                <w:bCs w:val="0"/>
                <w:lang w:eastAsia="en-GB"/>
              </w:rPr>
            </w:pPr>
            <w:r>
              <w:rPr>
                <w:rFonts w:cs="Arial"/>
                <w:lang w:eastAsia="en-GB"/>
              </w:rPr>
              <w:t>47.5% or greater</w:t>
            </w:r>
          </w:p>
        </w:tc>
        <w:tc>
          <w:tcPr>
            <w:tcW w:w="4819" w:type="dxa"/>
            <w:tcBorders>
              <w:top w:val="nil"/>
              <w:left w:val="single" w:sz="4" w:space="0" w:color="auto"/>
              <w:bottom w:val="single" w:sz="4" w:space="0" w:color="auto"/>
              <w:right w:val="single" w:sz="4" w:space="0" w:color="auto"/>
            </w:tcBorders>
          </w:tcPr>
          <w:p w:rsidR="007A6DE5" w:rsidRPr="00A27794" w:rsidRDefault="007A6DE5" w:rsidP="00A15ABD">
            <w:pPr>
              <w:rPr>
                <w:rFonts w:cs="Arial"/>
                <w:bCs w:val="0"/>
                <w:lang w:eastAsia="en-GB"/>
              </w:rPr>
            </w:pPr>
            <w:r w:rsidRPr="00A27794">
              <w:rPr>
                <w:rFonts w:cs="Arial"/>
                <w:lang w:eastAsia="en-GB"/>
              </w:rPr>
              <w:t>100% payment</w:t>
            </w:r>
          </w:p>
        </w:tc>
      </w:tr>
    </w:tbl>
    <w:p w:rsidR="007A6DE5" w:rsidRDefault="007A6DE5" w:rsidP="007B719E">
      <w:pPr>
        <w:rPr>
          <w:rFonts w:cs="Arial"/>
          <w:b/>
          <w:bCs w:val="0"/>
          <w:szCs w:val="24"/>
          <w:lang w:eastAsia="en-GB"/>
        </w:rPr>
      </w:pPr>
    </w:p>
    <w:p w:rsidR="007A6DE5" w:rsidRPr="00A27794" w:rsidRDefault="007A6DE5" w:rsidP="007B719E">
      <w:pPr>
        <w:rPr>
          <w:rFonts w:cs="Arial"/>
          <w:b/>
          <w:bCs w:val="0"/>
          <w:szCs w:val="24"/>
          <w:lang w:eastAsia="en-GB"/>
        </w:rPr>
      </w:pPr>
    </w:p>
    <w:p w:rsidR="007B719E" w:rsidRPr="00A27794" w:rsidRDefault="007B719E" w:rsidP="007B719E">
      <w:pPr>
        <w:rPr>
          <w:rFonts w:cs="Arial"/>
          <w:b/>
          <w:bCs w:val="0"/>
          <w:szCs w:val="24"/>
          <w:lang w:eastAsia="en-GB"/>
        </w:rPr>
      </w:pPr>
      <w:r w:rsidRPr="00A27794">
        <w:rPr>
          <w:rFonts w:cs="Arial"/>
          <w:b/>
          <w:szCs w:val="24"/>
          <w:lang w:eastAsia="en-GB"/>
        </w:rPr>
        <w:t>Year 2 (18/19)</w:t>
      </w:r>
    </w:p>
    <w:p w:rsidR="000D4728" w:rsidRDefault="000D4728" w:rsidP="007B719E">
      <w:pPr>
        <w:rPr>
          <w:rFonts w:cs="Arial"/>
          <w:b/>
          <w:szCs w:val="24"/>
          <w:lang w:eastAsia="en-GB"/>
        </w:rPr>
      </w:pPr>
    </w:p>
    <w:p w:rsidR="007A6DE5" w:rsidRDefault="007B719E" w:rsidP="007B719E">
      <w:pPr>
        <w:rPr>
          <w:rFonts w:cs="Arial"/>
          <w:b/>
          <w:szCs w:val="24"/>
          <w:lang w:eastAsia="en-GB"/>
        </w:rPr>
      </w:pPr>
      <w:r w:rsidRPr="00505963">
        <w:rPr>
          <w:rFonts w:cs="Arial"/>
          <w:b/>
          <w:szCs w:val="24"/>
          <w:lang w:eastAsia="en-GB"/>
        </w:rPr>
        <w:t xml:space="preserve">By the end of Q4 </w:t>
      </w:r>
      <w:r>
        <w:rPr>
          <w:rFonts w:cs="Arial"/>
          <w:b/>
          <w:szCs w:val="24"/>
          <w:lang w:eastAsia="en-GB"/>
        </w:rPr>
        <w:t>7.5</w:t>
      </w:r>
      <w:r w:rsidRPr="00505963">
        <w:rPr>
          <w:rFonts w:cs="Arial"/>
          <w:b/>
          <w:szCs w:val="24"/>
          <w:lang w:eastAsia="en-GB"/>
        </w:rPr>
        <w:t xml:space="preserve">% </w:t>
      </w:r>
      <w:r>
        <w:rPr>
          <w:rFonts w:cs="Arial"/>
          <w:b/>
          <w:szCs w:val="24"/>
          <w:lang w:eastAsia="en-GB"/>
        </w:rPr>
        <w:t>point increase from baseline in no.</w:t>
      </w:r>
      <w:r w:rsidRPr="00505963">
        <w:rPr>
          <w:rFonts w:cs="Arial"/>
          <w:b/>
          <w:szCs w:val="24"/>
          <w:lang w:eastAsia="en-GB"/>
        </w:rPr>
        <w:t xml:space="preserve"> patients discharged to usual place of residence</w:t>
      </w:r>
    </w:p>
    <w:p w:rsidR="007B719E" w:rsidRPr="00A27794" w:rsidRDefault="007B719E" w:rsidP="007B719E">
      <w:pPr>
        <w:rPr>
          <w:rFonts w:cs="Arial"/>
          <w:b/>
          <w:bCs w:val="0"/>
          <w:szCs w:val="24"/>
          <w:lang w:eastAsia="en-GB"/>
        </w:rPr>
      </w:pPr>
      <w:r w:rsidRPr="00505963">
        <w:rPr>
          <w:rFonts w:cs="Arial"/>
          <w:b/>
          <w:szCs w:val="24"/>
          <w:lang w:eastAsia="en-GB"/>
        </w:rPr>
        <w:t xml:space="preserve"> </w:t>
      </w:r>
    </w:p>
    <w:tbl>
      <w:tblPr>
        <w:tblW w:w="8647" w:type="dxa"/>
        <w:tblInd w:w="-34" w:type="dxa"/>
        <w:tblLook w:val="0000" w:firstRow="0" w:lastRow="0" w:firstColumn="0" w:lastColumn="0" w:noHBand="0" w:noVBand="0"/>
      </w:tblPr>
      <w:tblGrid>
        <w:gridCol w:w="3828"/>
        <w:gridCol w:w="4819"/>
      </w:tblGrid>
      <w:tr w:rsidR="007B719E" w:rsidRPr="00A27794" w:rsidTr="00A15ABD">
        <w:trPr>
          <w:trHeight w:val="700"/>
          <w:tblHeader/>
        </w:trPr>
        <w:tc>
          <w:tcPr>
            <w:tcW w:w="3828" w:type="dxa"/>
            <w:tcBorders>
              <w:top w:val="single" w:sz="4" w:space="0" w:color="auto"/>
              <w:left w:val="single" w:sz="4" w:space="0" w:color="auto"/>
              <w:bottom w:val="single" w:sz="4" w:space="0" w:color="auto"/>
              <w:right w:val="nil"/>
            </w:tcBorders>
            <w:shd w:val="clear" w:color="auto" w:fill="0070C0"/>
            <w:noWrap/>
          </w:tcPr>
          <w:p w:rsidR="007B719E" w:rsidRPr="000758CD" w:rsidRDefault="007B719E" w:rsidP="00A15ABD">
            <w:pPr>
              <w:rPr>
                <w:rFonts w:cs="Arial"/>
                <w:b/>
                <w:color w:val="FFFFFF" w:themeColor="background1"/>
                <w:lang w:eastAsia="en-GB"/>
              </w:rPr>
            </w:pPr>
            <w:r w:rsidRPr="000758CD">
              <w:rPr>
                <w:rFonts w:cs="Arial"/>
                <w:b/>
                <w:color w:val="FFFFFF" w:themeColor="background1"/>
                <w:lang w:eastAsia="en-GB"/>
              </w:rPr>
              <w:t>Final indicator value for the partial achievement threshold</w:t>
            </w:r>
          </w:p>
        </w:tc>
        <w:tc>
          <w:tcPr>
            <w:tcW w:w="4819" w:type="dxa"/>
            <w:tcBorders>
              <w:top w:val="single" w:sz="4" w:space="0" w:color="auto"/>
              <w:left w:val="single" w:sz="4" w:space="0" w:color="auto"/>
              <w:bottom w:val="single" w:sz="4" w:space="0" w:color="auto"/>
              <w:right w:val="single" w:sz="4" w:space="0" w:color="auto"/>
            </w:tcBorders>
            <w:shd w:val="clear" w:color="auto" w:fill="0070C0"/>
          </w:tcPr>
          <w:p w:rsidR="007B719E" w:rsidRPr="000758CD" w:rsidRDefault="007B719E" w:rsidP="00A15ABD">
            <w:pPr>
              <w:rPr>
                <w:rFonts w:cs="Arial"/>
                <w:b/>
                <w:color w:val="FFFFFF" w:themeColor="background1"/>
                <w:lang w:eastAsia="en-GB"/>
              </w:rPr>
            </w:pPr>
            <w:r w:rsidRPr="000758CD">
              <w:rPr>
                <w:rFonts w:cs="Arial"/>
                <w:b/>
                <w:color w:val="FFFFFF" w:themeColor="background1"/>
                <w:lang w:eastAsia="en-GB"/>
              </w:rPr>
              <w:t>% of CQUIN scheme available for meeting final indicator value</w:t>
            </w:r>
          </w:p>
        </w:tc>
      </w:tr>
      <w:tr w:rsidR="007B719E" w:rsidRPr="00A27794" w:rsidTr="00A15ABD">
        <w:trPr>
          <w:trHeight w:val="348"/>
        </w:trPr>
        <w:tc>
          <w:tcPr>
            <w:tcW w:w="3828" w:type="dxa"/>
            <w:tcBorders>
              <w:top w:val="nil"/>
              <w:left w:val="single" w:sz="4" w:space="0" w:color="auto"/>
              <w:bottom w:val="single" w:sz="4" w:space="0" w:color="auto"/>
              <w:right w:val="nil"/>
            </w:tcBorders>
          </w:tcPr>
          <w:p w:rsidR="007B719E" w:rsidRPr="000758CD" w:rsidRDefault="007B719E" w:rsidP="00A15ABD">
            <w:pPr>
              <w:rPr>
                <w:rFonts w:cs="Arial"/>
                <w:bCs w:val="0"/>
                <w:lang w:eastAsia="en-GB"/>
              </w:rPr>
            </w:pPr>
            <w:r w:rsidRPr="000758CD">
              <w:rPr>
                <w:rFonts w:cs="Arial"/>
                <w:lang w:eastAsia="en-GB"/>
              </w:rPr>
              <w:t xml:space="preserve">Less than </w:t>
            </w:r>
            <w:r>
              <w:rPr>
                <w:rFonts w:cs="Arial"/>
                <w:lang w:eastAsia="en-GB"/>
              </w:rPr>
              <w:t>3</w:t>
            </w:r>
            <w:r w:rsidRPr="000758CD">
              <w:rPr>
                <w:rFonts w:cs="Arial"/>
                <w:lang w:eastAsia="en-GB"/>
              </w:rPr>
              <w:t>%</w:t>
            </w:r>
            <w:r>
              <w:rPr>
                <w:rFonts w:cs="Arial"/>
                <w:lang w:eastAsia="en-GB"/>
              </w:rPr>
              <w:t xml:space="preserve"> point increase </w:t>
            </w:r>
          </w:p>
        </w:tc>
        <w:tc>
          <w:tcPr>
            <w:tcW w:w="4819" w:type="dxa"/>
            <w:tcBorders>
              <w:top w:val="nil"/>
              <w:left w:val="single" w:sz="4" w:space="0" w:color="auto"/>
              <w:bottom w:val="single" w:sz="4" w:space="0" w:color="auto"/>
              <w:right w:val="single" w:sz="4" w:space="0" w:color="auto"/>
            </w:tcBorders>
          </w:tcPr>
          <w:p w:rsidR="007B719E" w:rsidRPr="00A27794" w:rsidRDefault="007B719E" w:rsidP="00A15ABD">
            <w:pPr>
              <w:rPr>
                <w:rFonts w:cs="Arial"/>
                <w:bCs w:val="0"/>
                <w:lang w:eastAsia="en-GB"/>
              </w:rPr>
            </w:pPr>
            <w:r w:rsidRPr="00A27794">
              <w:rPr>
                <w:rFonts w:cs="Arial"/>
                <w:lang w:eastAsia="en-GB"/>
              </w:rPr>
              <w:t>No payment</w:t>
            </w:r>
          </w:p>
        </w:tc>
      </w:tr>
      <w:tr w:rsidR="007B719E" w:rsidRPr="00A27794" w:rsidTr="00A15ABD">
        <w:trPr>
          <w:trHeight w:val="348"/>
        </w:trPr>
        <w:tc>
          <w:tcPr>
            <w:tcW w:w="3828" w:type="dxa"/>
            <w:tcBorders>
              <w:top w:val="nil"/>
              <w:left w:val="single" w:sz="4" w:space="0" w:color="auto"/>
              <w:bottom w:val="single" w:sz="4" w:space="0" w:color="auto"/>
              <w:right w:val="nil"/>
            </w:tcBorders>
          </w:tcPr>
          <w:p w:rsidR="007B719E" w:rsidRPr="000758CD" w:rsidRDefault="007B719E" w:rsidP="00A15ABD">
            <w:pPr>
              <w:rPr>
                <w:rFonts w:cs="Arial"/>
                <w:bCs w:val="0"/>
                <w:lang w:eastAsia="en-GB"/>
              </w:rPr>
            </w:pPr>
            <w:r>
              <w:rPr>
                <w:rFonts w:cs="Arial"/>
                <w:lang w:eastAsia="en-GB"/>
              </w:rPr>
              <w:t>3 up to 6</w:t>
            </w:r>
            <w:r w:rsidRPr="000758CD">
              <w:rPr>
                <w:rFonts w:cs="Arial"/>
                <w:lang w:eastAsia="en-GB"/>
              </w:rPr>
              <w:t>.</w:t>
            </w:r>
            <w:r>
              <w:rPr>
                <w:rFonts w:cs="Arial"/>
                <w:lang w:eastAsia="en-GB"/>
              </w:rPr>
              <w:t>49</w:t>
            </w:r>
            <w:r w:rsidRPr="000758CD">
              <w:rPr>
                <w:rFonts w:cs="Arial"/>
                <w:lang w:eastAsia="en-GB"/>
              </w:rPr>
              <w:t xml:space="preserve">% point increase </w:t>
            </w:r>
            <w:r>
              <w:rPr>
                <w:rFonts w:cs="Arial"/>
                <w:lang w:eastAsia="en-GB"/>
              </w:rPr>
              <w:t xml:space="preserve"> </w:t>
            </w:r>
          </w:p>
        </w:tc>
        <w:tc>
          <w:tcPr>
            <w:tcW w:w="4819" w:type="dxa"/>
            <w:tcBorders>
              <w:top w:val="nil"/>
              <w:left w:val="single" w:sz="4" w:space="0" w:color="auto"/>
              <w:bottom w:val="single" w:sz="4" w:space="0" w:color="auto"/>
              <w:right w:val="single" w:sz="4" w:space="0" w:color="auto"/>
            </w:tcBorders>
          </w:tcPr>
          <w:p w:rsidR="007B719E" w:rsidRPr="00A27794" w:rsidRDefault="007B719E" w:rsidP="00A15ABD">
            <w:pPr>
              <w:rPr>
                <w:rFonts w:cs="Arial"/>
                <w:bCs w:val="0"/>
                <w:lang w:eastAsia="en-GB"/>
              </w:rPr>
            </w:pPr>
            <w:r w:rsidRPr="00A27794">
              <w:rPr>
                <w:rFonts w:cs="Arial"/>
                <w:lang w:eastAsia="en-GB"/>
              </w:rPr>
              <w:t xml:space="preserve">50% of payment </w:t>
            </w:r>
          </w:p>
        </w:tc>
      </w:tr>
      <w:tr w:rsidR="007B719E" w:rsidRPr="00A27794" w:rsidTr="00A15ABD">
        <w:trPr>
          <w:trHeight w:val="348"/>
        </w:trPr>
        <w:tc>
          <w:tcPr>
            <w:tcW w:w="3828" w:type="dxa"/>
            <w:tcBorders>
              <w:top w:val="nil"/>
              <w:left w:val="single" w:sz="4" w:space="0" w:color="auto"/>
              <w:bottom w:val="single" w:sz="4" w:space="0" w:color="auto"/>
              <w:right w:val="nil"/>
            </w:tcBorders>
          </w:tcPr>
          <w:p w:rsidR="007B719E" w:rsidRPr="000758CD" w:rsidRDefault="007B719E" w:rsidP="00A15ABD">
            <w:pPr>
              <w:rPr>
                <w:rFonts w:cs="Arial"/>
                <w:bCs w:val="0"/>
                <w:lang w:eastAsia="en-GB"/>
              </w:rPr>
            </w:pPr>
            <w:r>
              <w:rPr>
                <w:rFonts w:cs="Arial"/>
                <w:lang w:eastAsia="en-GB"/>
              </w:rPr>
              <w:t>6.5 up to 7.49</w:t>
            </w:r>
            <w:r w:rsidRPr="000758CD">
              <w:rPr>
                <w:rFonts w:cs="Arial"/>
                <w:lang w:eastAsia="en-GB"/>
              </w:rPr>
              <w:t>% point increase</w:t>
            </w:r>
          </w:p>
        </w:tc>
        <w:tc>
          <w:tcPr>
            <w:tcW w:w="4819" w:type="dxa"/>
            <w:tcBorders>
              <w:top w:val="nil"/>
              <w:left w:val="single" w:sz="4" w:space="0" w:color="auto"/>
              <w:bottom w:val="single" w:sz="4" w:space="0" w:color="auto"/>
              <w:right w:val="single" w:sz="4" w:space="0" w:color="auto"/>
            </w:tcBorders>
          </w:tcPr>
          <w:p w:rsidR="007B719E" w:rsidRPr="00A27794" w:rsidRDefault="007B719E" w:rsidP="00A15ABD">
            <w:pPr>
              <w:rPr>
                <w:rFonts w:cs="Arial"/>
                <w:bCs w:val="0"/>
                <w:lang w:eastAsia="en-GB"/>
              </w:rPr>
            </w:pPr>
            <w:r>
              <w:rPr>
                <w:rFonts w:cs="Arial"/>
                <w:lang w:eastAsia="en-GB"/>
              </w:rPr>
              <w:t>80</w:t>
            </w:r>
            <w:r w:rsidRPr="00A27794">
              <w:rPr>
                <w:rFonts w:cs="Arial"/>
                <w:lang w:eastAsia="en-GB"/>
              </w:rPr>
              <w:t>% of payment</w:t>
            </w:r>
          </w:p>
        </w:tc>
      </w:tr>
      <w:tr w:rsidR="007B719E" w:rsidRPr="00A27794" w:rsidTr="00A15ABD">
        <w:trPr>
          <w:trHeight w:val="346"/>
        </w:trPr>
        <w:tc>
          <w:tcPr>
            <w:tcW w:w="3828" w:type="dxa"/>
            <w:tcBorders>
              <w:top w:val="nil"/>
              <w:left w:val="single" w:sz="4" w:space="0" w:color="auto"/>
              <w:bottom w:val="single" w:sz="4" w:space="0" w:color="auto"/>
              <w:right w:val="nil"/>
            </w:tcBorders>
          </w:tcPr>
          <w:p w:rsidR="007B719E" w:rsidRPr="000758CD" w:rsidRDefault="007B719E" w:rsidP="00A15ABD">
            <w:pPr>
              <w:rPr>
                <w:rFonts w:cs="Arial"/>
                <w:bCs w:val="0"/>
                <w:lang w:eastAsia="en-GB"/>
              </w:rPr>
            </w:pPr>
            <w:r>
              <w:rPr>
                <w:rFonts w:cs="Arial"/>
                <w:lang w:eastAsia="en-GB"/>
              </w:rPr>
              <w:t>7.5</w:t>
            </w:r>
            <w:r w:rsidRPr="000758CD">
              <w:rPr>
                <w:rFonts w:cs="Arial"/>
                <w:lang w:eastAsia="en-GB"/>
              </w:rPr>
              <w:t>% point increase</w:t>
            </w:r>
          </w:p>
        </w:tc>
        <w:tc>
          <w:tcPr>
            <w:tcW w:w="4819" w:type="dxa"/>
            <w:tcBorders>
              <w:top w:val="nil"/>
              <w:left w:val="single" w:sz="4" w:space="0" w:color="auto"/>
              <w:bottom w:val="single" w:sz="4" w:space="0" w:color="auto"/>
              <w:right w:val="single" w:sz="4" w:space="0" w:color="auto"/>
            </w:tcBorders>
          </w:tcPr>
          <w:p w:rsidR="007B719E" w:rsidRPr="00A27794" w:rsidRDefault="007B719E" w:rsidP="00A15ABD">
            <w:pPr>
              <w:rPr>
                <w:rFonts w:cs="Arial"/>
                <w:bCs w:val="0"/>
                <w:lang w:eastAsia="en-GB"/>
              </w:rPr>
            </w:pPr>
            <w:r w:rsidRPr="00A27794">
              <w:rPr>
                <w:rFonts w:cs="Arial"/>
                <w:lang w:eastAsia="en-GB"/>
              </w:rPr>
              <w:t>100% of payment</w:t>
            </w:r>
          </w:p>
        </w:tc>
      </w:tr>
    </w:tbl>
    <w:p w:rsidR="007B719E" w:rsidRDefault="007B719E" w:rsidP="007B719E">
      <w:pPr>
        <w:rPr>
          <w:rFonts w:cs="Arial"/>
          <w:b/>
          <w:bCs w:val="0"/>
          <w:szCs w:val="24"/>
          <w:lang w:eastAsia="en-GB"/>
        </w:rPr>
      </w:pPr>
    </w:p>
    <w:p w:rsidR="007A6DE5" w:rsidRDefault="007A6DE5" w:rsidP="007B719E">
      <w:pPr>
        <w:rPr>
          <w:rFonts w:cs="Arial"/>
          <w:b/>
          <w:bCs w:val="0"/>
          <w:szCs w:val="24"/>
          <w:lang w:eastAsia="en-GB"/>
        </w:rPr>
      </w:pPr>
    </w:p>
    <w:p w:rsidR="007A6DE5" w:rsidRDefault="007A6DE5" w:rsidP="007B719E">
      <w:pPr>
        <w:rPr>
          <w:rFonts w:cs="Arial"/>
          <w:b/>
          <w:bCs w:val="0"/>
          <w:szCs w:val="24"/>
          <w:lang w:eastAsia="en-GB"/>
        </w:rPr>
      </w:pPr>
      <w:r>
        <w:rPr>
          <w:rFonts w:cs="Arial"/>
          <w:b/>
          <w:bCs w:val="0"/>
          <w:szCs w:val="24"/>
          <w:lang w:eastAsia="en-GB"/>
        </w:rPr>
        <w:t xml:space="preserve">Or </w:t>
      </w:r>
    </w:p>
    <w:p w:rsidR="007A6DE5" w:rsidRDefault="007A6DE5" w:rsidP="007B719E">
      <w:pPr>
        <w:rPr>
          <w:rFonts w:cs="Arial"/>
          <w:b/>
          <w:bCs w:val="0"/>
          <w:szCs w:val="24"/>
          <w:lang w:eastAsia="en-GB"/>
        </w:rPr>
      </w:pPr>
    </w:p>
    <w:p w:rsidR="007A6DE5" w:rsidRDefault="007A6DE5" w:rsidP="007B719E">
      <w:pPr>
        <w:rPr>
          <w:rFonts w:cs="Arial"/>
          <w:b/>
          <w:bCs w:val="0"/>
          <w:szCs w:val="24"/>
          <w:lang w:eastAsia="en-GB"/>
        </w:rPr>
      </w:pPr>
    </w:p>
    <w:p w:rsidR="007B719E" w:rsidRPr="00A27794" w:rsidRDefault="007B719E" w:rsidP="007B719E">
      <w:pPr>
        <w:rPr>
          <w:rFonts w:cs="Arial"/>
          <w:b/>
          <w:bCs w:val="0"/>
          <w:szCs w:val="24"/>
          <w:lang w:eastAsia="en-GB"/>
        </w:rPr>
      </w:pPr>
      <w:r w:rsidRPr="00A27794">
        <w:rPr>
          <w:rFonts w:cs="Arial"/>
          <w:b/>
          <w:szCs w:val="24"/>
          <w:lang w:eastAsia="en-GB"/>
        </w:rPr>
        <w:t>Year 2 (18/19)</w:t>
      </w:r>
    </w:p>
    <w:p w:rsidR="000D4728" w:rsidRDefault="000D4728" w:rsidP="007B719E">
      <w:pPr>
        <w:rPr>
          <w:rFonts w:cs="Arial"/>
          <w:b/>
          <w:szCs w:val="24"/>
          <w:lang w:eastAsia="en-GB"/>
        </w:rPr>
      </w:pPr>
    </w:p>
    <w:p w:rsidR="007B719E" w:rsidRDefault="007B719E" w:rsidP="007B719E">
      <w:pPr>
        <w:rPr>
          <w:rFonts w:cs="Arial"/>
          <w:b/>
          <w:szCs w:val="24"/>
          <w:lang w:eastAsia="en-GB"/>
        </w:rPr>
      </w:pPr>
      <w:r w:rsidRPr="00505963">
        <w:rPr>
          <w:rFonts w:cs="Arial"/>
          <w:b/>
          <w:szCs w:val="24"/>
          <w:lang w:eastAsia="en-GB"/>
        </w:rPr>
        <w:t xml:space="preserve">By the end of Q4 </w:t>
      </w:r>
      <w:r>
        <w:rPr>
          <w:rFonts w:cs="Arial"/>
          <w:b/>
          <w:szCs w:val="24"/>
          <w:lang w:eastAsia="en-GB"/>
        </w:rPr>
        <w:t>50</w:t>
      </w:r>
      <w:r w:rsidRPr="00505963">
        <w:rPr>
          <w:rFonts w:cs="Arial"/>
          <w:b/>
          <w:szCs w:val="24"/>
          <w:lang w:eastAsia="en-GB"/>
        </w:rPr>
        <w:t xml:space="preserve">% </w:t>
      </w:r>
      <w:r>
        <w:rPr>
          <w:rFonts w:cs="Arial"/>
          <w:b/>
          <w:szCs w:val="24"/>
          <w:lang w:eastAsia="en-GB"/>
        </w:rPr>
        <w:t>in % of</w:t>
      </w:r>
      <w:r w:rsidRPr="00505963">
        <w:rPr>
          <w:rFonts w:cs="Arial"/>
          <w:b/>
          <w:szCs w:val="24"/>
          <w:lang w:eastAsia="en-GB"/>
        </w:rPr>
        <w:t xml:space="preserve"> patients discharged to usual place of residence </w:t>
      </w:r>
    </w:p>
    <w:p w:rsidR="000D4728" w:rsidRPr="00505963" w:rsidRDefault="000D4728" w:rsidP="007B719E">
      <w:pPr>
        <w:rPr>
          <w:rFonts w:cs="Arial"/>
          <w:b/>
          <w:bCs w:val="0"/>
          <w:szCs w:val="24"/>
          <w:lang w:eastAsia="en-GB"/>
        </w:rPr>
      </w:pPr>
    </w:p>
    <w:tbl>
      <w:tblPr>
        <w:tblW w:w="8647" w:type="dxa"/>
        <w:tblInd w:w="-34" w:type="dxa"/>
        <w:tblLook w:val="0000" w:firstRow="0" w:lastRow="0" w:firstColumn="0" w:lastColumn="0" w:noHBand="0" w:noVBand="0"/>
      </w:tblPr>
      <w:tblGrid>
        <w:gridCol w:w="3828"/>
        <w:gridCol w:w="4819"/>
      </w:tblGrid>
      <w:tr w:rsidR="007B719E" w:rsidRPr="00A27794" w:rsidTr="00A15ABD">
        <w:trPr>
          <w:trHeight w:val="700"/>
          <w:tblHeader/>
        </w:trPr>
        <w:tc>
          <w:tcPr>
            <w:tcW w:w="3828" w:type="dxa"/>
            <w:tcBorders>
              <w:top w:val="single" w:sz="4" w:space="0" w:color="auto"/>
              <w:left w:val="single" w:sz="4" w:space="0" w:color="auto"/>
              <w:bottom w:val="single" w:sz="4" w:space="0" w:color="auto"/>
              <w:right w:val="nil"/>
            </w:tcBorders>
            <w:shd w:val="clear" w:color="auto" w:fill="0070C0"/>
            <w:noWrap/>
          </w:tcPr>
          <w:p w:rsidR="007B719E" w:rsidRPr="000758CD" w:rsidRDefault="007B719E" w:rsidP="00A15ABD">
            <w:pPr>
              <w:rPr>
                <w:rFonts w:cs="Arial"/>
                <w:b/>
                <w:color w:val="FFFFFF" w:themeColor="background1"/>
                <w:lang w:eastAsia="en-GB"/>
              </w:rPr>
            </w:pPr>
            <w:r w:rsidRPr="000758CD">
              <w:rPr>
                <w:rFonts w:cs="Arial"/>
                <w:b/>
                <w:color w:val="FFFFFF" w:themeColor="background1"/>
                <w:lang w:eastAsia="en-GB"/>
              </w:rPr>
              <w:t>Final indicator value for the partial achievement threshold</w:t>
            </w:r>
          </w:p>
        </w:tc>
        <w:tc>
          <w:tcPr>
            <w:tcW w:w="4819" w:type="dxa"/>
            <w:tcBorders>
              <w:top w:val="single" w:sz="4" w:space="0" w:color="auto"/>
              <w:left w:val="single" w:sz="4" w:space="0" w:color="auto"/>
              <w:bottom w:val="single" w:sz="4" w:space="0" w:color="auto"/>
              <w:right w:val="single" w:sz="4" w:space="0" w:color="auto"/>
            </w:tcBorders>
            <w:shd w:val="clear" w:color="auto" w:fill="0070C0"/>
          </w:tcPr>
          <w:p w:rsidR="007B719E" w:rsidRPr="000758CD" w:rsidRDefault="007B719E" w:rsidP="00A15ABD">
            <w:pPr>
              <w:rPr>
                <w:rFonts w:cs="Arial"/>
                <w:b/>
                <w:color w:val="FFFFFF" w:themeColor="background1"/>
                <w:lang w:eastAsia="en-GB"/>
              </w:rPr>
            </w:pPr>
            <w:r w:rsidRPr="000758CD">
              <w:rPr>
                <w:rFonts w:cs="Arial"/>
                <w:b/>
                <w:color w:val="FFFFFF" w:themeColor="background1"/>
                <w:lang w:eastAsia="en-GB"/>
              </w:rPr>
              <w:t>% of CQUIN scheme available for meeting final indicator value</w:t>
            </w:r>
          </w:p>
        </w:tc>
      </w:tr>
      <w:tr w:rsidR="007B719E" w:rsidRPr="00A27794" w:rsidTr="00A15ABD">
        <w:trPr>
          <w:trHeight w:val="348"/>
        </w:trPr>
        <w:tc>
          <w:tcPr>
            <w:tcW w:w="3828" w:type="dxa"/>
            <w:tcBorders>
              <w:top w:val="nil"/>
              <w:left w:val="single" w:sz="4" w:space="0" w:color="auto"/>
              <w:bottom w:val="single" w:sz="4" w:space="0" w:color="auto"/>
              <w:right w:val="nil"/>
            </w:tcBorders>
          </w:tcPr>
          <w:p w:rsidR="007B719E" w:rsidRPr="000758CD" w:rsidRDefault="007B719E" w:rsidP="00A15ABD">
            <w:pPr>
              <w:rPr>
                <w:rFonts w:cs="Arial"/>
                <w:bCs w:val="0"/>
                <w:lang w:eastAsia="en-GB"/>
              </w:rPr>
            </w:pPr>
            <w:r>
              <w:rPr>
                <w:rFonts w:cs="Arial"/>
                <w:lang w:eastAsia="en-GB"/>
              </w:rPr>
              <w:t>Less than 45%</w:t>
            </w:r>
          </w:p>
        </w:tc>
        <w:tc>
          <w:tcPr>
            <w:tcW w:w="4819" w:type="dxa"/>
            <w:tcBorders>
              <w:top w:val="nil"/>
              <w:left w:val="single" w:sz="4" w:space="0" w:color="auto"/>
              <w:bottom w:val="single" w:sz="4" w:space="0" w:color="auto"/>
              <w:right w:val="single" w:sz="4" w:space="0" w:color="auto"/>
            </w:tcBorders>
          </w:tcPr>
          <w:p w:rsidR="007B719E" w:rsidRPr="00A27794" w:rsidRDefault="007B719E" w:rsidP="00A15ABD">
            <w:pPr>
              <w:rPr>
                <w:rFonts w:cs="Arial"/>
                <w:bCs w:val="0"/>
                <w:lang w:eastAsia="en-GB"/>
              </w:rPr>
            </w:pPr>
            <w:r w:rsidRPr="00A27794">
              <w:rPr>
                <w:rFonts w:cs="Arial"/>
                <w:lang w:eastAsia="en-GB"/>
              </w:rPr>
              <w:t>No payment</w:t>
            </w:r>
          </w:p>
        </w:tc>
      </w:tr>
      <w:tr w:rsidR="007B719E" w:rsidRPr="00A27794" w:rsidTr="00A15ABD">
        <w:trPr>
          <w:trHeight w:val="348"/>
        </w:trPr>
        <w:tc>
          <w:tcPr>
            <w:tcW w:w="3828" w:type="dxa"/>
            <w:tcBorders>
              <w:top w:val="nil"/>
              <w:left w:val="single" w:sz="4" w:space="0" w:color="auto"/>
              <w:bottom w:val="single" w:sz="4" w:space="0" w:color="auto"/>
              <w:right w:val="nil"/>
            </w:tcBorders>
          </w:tcPr>
          <w:p w:rsidR="007B719E" w:rsidRPr="000758CD" w:rsidRDefault="007B719E" w:rsidP="00A15ABD">
            <w:pPr>
              <w:rPr>
                <w:rFonts w:cs="Arial"/>
                <w:bCs w:val="0"/>
              </w:rPr>
            </w:pPr>
            <w:r>
              <w:rPr>
                <w:rFonts w:cs="Arial"/>
                <w:lang w:eastAsia="en-GB"/>
              </w:rPr>
              <w:t>45% up to 47.49%</w:t>
            </w:r>
          </w:p>
        </w:tc>
        <w:tc>
          <w:tcPr>
            <w:tcW w:w="4819" w:type="dxa"/>
            <w:tcBorders>
              <w:top w:val="nil"/>
              <w:left w:val="single" w:sz="4" w:space="0" w:color="auto"/>
              <w:bottom w:val="single" w:sz="4" w:space="0" w:color="auto"/>
              <w:right w:val="single" w:sz="4" w:space="0" w:color="auto"/>
            </w:tcBorders>
          </w:tcPr>
          <w:p w:rsidR="007B719E" w:rsidRPr="00A27794" w:rsidRDefault="007B719E" w:rsidP="00A15ABD">
            <w:pPr>
              <w:rPr>
                <w:rFonts w:cs="Arial"/>
                <w:bCs w:val="0"/>
                <w:lang w:eastAsia="en-GB"/>
              </w:rPr>
            </w:pPr>
            <w:r w:rsidRPr="00A27794">
              <w:rPr>
                <w:rFonts w:cs="Arial"/>
                <w:lang w:eastAsia="en-GB"/>
              </w:rPr>
              <w:t xml:space="preserve">50% of payment </w:t>
            </w:r>
          </w:p>
        </w:tc>
      </w:tr>
      <w:tr w:rsidR="007B719E" w:rsidRPr="00A27794" w:rsidTr="00A15ABD">
        <w:trPr>
          <w:trHeight w:val="348"/>
        </w:trPr>
        <w:tc>
          <w:tcPr>
            <w:tcW w:w="3828" w:type="dxa"/>
            <w:tcBorders>
              <w:top w:val="nil"/>
              <w:left w:val="single" w:sz="4" w:space="0" w:color="auto"/>
              <w:bottom w:val="single" w:sz="4" w:space="0" w:color="auto"/>
              <w:right w:val="nil"/>
            </w:tcBorders>
          </w:tcPr>
          <w:p w:rsidR="007B719E" w:rsidRPr="000758CD" w:rsidRDefault="007B719E" w:rsidP="00A15ABD">
            <w:pPr>
              <w:rPr>
                <w:rFonts w:cs="Arial"/>
                <w:bCs w:val="0"/>
                <w:lang w:eastAsia="en-GB"/>
              </w:rPr>
            </w:pPr>
            <w:r>
              <w:rPr>
                <w:rFonts w:cs="Arial"/>
                <w:lang w:eastAsia="en-GB"/>
              </w:rPr>
              <w:t>47.5% up to 49.9%</w:t>
            </w:r>
          </w:p>
        </w:tc>
        <w:tc>
          <w:tcPr>
            <w:tcW w:w="4819" w:type="dxa"/>
            <w:tcBorders>
              <w:top w:val="nil"/>
              <w:left w:val="single" w:sz="4" w:space="0" w:color="auto"/>
              <w:bottom w:val="single" w:sz="4" w:space="0" w:color="auto"/>
              <w:right w:val="single" w:sz="4" w:space="0" w:color="auto"/>
            </w:tcBorders>
          </w:tcPr>
          <w:p w:rsidR="007B719E" w:rsidRPr="00A27794" w:rsidRDefault="007B719E" w:rsidP="00A15ABD">
            <w:pPr>
              <w:rPr>
                <w:rFonts w:cs="Arial"/>
                <w:bCs w:val="0"/>
                <w:lang w:eastAsia="en-GB"/>
              </w:rPr>
            </w:pPr>
            <w:r>
              <w:rPr>
                <w:rFonts w:cs="Arial"/>
                <w:lang w:eastAsia="en-GB"/>
              </w:rPr>
              <w:t>80</w:t>
            </w:r>
            <w:r w:rsidRPr="00A27794">
              <w:rPr>
                <w:rFonts w:cs="Arial"/>
                <w:lang w:eastAsia="en-GB"/>
              </w:rPr>
              <w:t>% of payment</w:t>
            </w:r>
          </w:p>
        </w:tc>
      </w:tr>
      <w:tr w:rsidR="007B719E" w:rsidRPr="00A27794" w:rsidTr="00A15ABD">
        <w:trPr>
          <w:trHeight w:val="346"/>
        </w:trPr>
        <w:tc>
          <w:tcPr>
            <w:tcW w:w="3828" w:type="dxa"/>
            <w:tcBorders>
              <w:top w:val="nil"/>
              <w:left w:val="single" w:sz="4" w:space="0" w:color="auto"/>
              <w:bottom w:val="single" w:sz="4" w:space="0" w:color="auto"/>
              <w:right w:val="nil"/>
            </w:tcBorders>
          </w:tcPr>
          <w:p w:rsidR="007B719E" w:rsidRPr="000758CD" w:rsidRDefault="007B719E" w:rsidP="00A15ABD">
            <w:pPr>
              <w:rPr>
                <w:rFonts w:cs="Arial"/>
                <w:bCs w:val="0"/>
                <w:lang w:eastAsia="en-GB"/>
              </w:rPr>
            </w:pPr>
            <w:r>
              <w:rPr>
                <w:rFonts w:cs="Arial"/>
                <w:lang w:eastAsia="en-GB"/>
              </w:rPr>
              <w:t>50% or greater</w:t>
            </w:r>
          </w:p>
        </w:tc>
        <w:tc>
          <w:tcPr>
            <w:tcW w:w="4819" w:type="dxa"/>
            <w:tcBorders>
              <w:top w:val="nil"/>
              <w:left w:val="single" w:sz="4" w:space="0" w:color="auto"/>
              <w:bottom w:val="single" w:sz="4" w:space="0" w:color="auto"/>
              <w:right w:val="single" w:sz="4" w:space="0" w:color="auto"/>
            </w:tcBorders>
          </w:tcPr>
          <w:p w:rsidR="007B719E" w:rsidRPr="00A27794" w:rsidRDefault="007B719E" w:rsidP="00A15ABD">
            <w:pPr>
              <w:rPr>
                <w:rFonts w:cs="Arial"/>
                <w:bCs w:val="0"/>
                <w:lang w:eastAsia="en-GB"/>
              </w:rPr>
            </w:pPr>
            <w:r w:rsidRPr="00A27794">
              <w:rPr>
                <w:rFonts w:cs="Arial"/>
                <w:lang w:eastAsia="en-GB"/>
              </w:rPr>
              <w:t>100% of payment</w:t>
            </w:r>
          </w:p>
        </w:tc>
      </w:tr>
    </w:tbl>
    <w:p w:rsidR="00D06808" w:rsidRDefault="00D06808" w:rsidP="00D06808">
      <w:pPr>
        <w:rPr>
          <w:lang w:eastAsia="en-GB"/>
        </w:rPr>
      </w:pPr>
    </w:p>
    <w:p w:rsidR="000D4728" w:rsidRDefault="000D4728">
      <w:pPr>
        <w:rPr>
          <w:rFonts w:eastAsiaTheme="majorEastAsia" w:cstheme="majorBidi"/>
          <w:b/>
          <w:bCs w:val="0"/>
          <w:iCs/>
          <w:color w:val="A00054" w:themeColor="accent2"/>
          <w:lang w:eastAsia="en-GB"/>
        </w:rPr>
      </w:pPr>
      <w:r>
        <w:rPr>
          <w:lang w:eastAsia="en-GB"/>
        </w:rPr>
        <w:br w:type="page"/>
      </w:r>
    </w:p>
    <w:p w:rsidR="00DF18AB" w:rsidRDefault="00FE277D" w:rsidP="00D06808">
      <w:pPr>
        <w:pStyle w:val="Heading4"/>
        <w:rPr>
          <w:lang w:eastAsia="en-GB"/>
        </w:rPr>
      </w:pPr>
      <w:r>
        <w:rPr>
          <w:lang w:eastAsia="en-GB"/>
        </w:rPr>
        <w:lastRenderedPageBreak/>
        <w:t>Indicator 8c – Care Homes</w:t>
      </w:r>
    </w:p>
    <w:p w:rsidR="00FE277D" w:rsidRPr="00FE277D" w:rsidRDefault="00FE277D" w:rsidP="00FE277D">
      <w:pPr>
        <w:rPr>
          <w:lang w:eastAsia="en-GB"/>
        </w:rPr>
      </w:pPr>
    </w:p>
    <w:tbl>
      <w:tblPr>
        <w:tblStyle w:val="TableGrid5"/>
        <w:tblW w:w="0" w:type="auto"/>
        <w:tblLook w:val="04A0" w:firstRow="1" w:lastRow="0" w:firstColumn="1" w:lastColumn="0" w:noHBand="0" w:noVBand="1"/>
        <w:tblCaption w:val="Indicator"/>
      </w:tblPr>
      <w:tblGrid>
        <w:gridCol w:w="2802"/>
        <w:gridCol w:w="6440"/>
      </w:tblGrid>
      <w:tr w:rsidR="00FE277D" w:rsidRPr="000758CD" w:rsidTr="00A15ABD">
        <w:trPr>
          <w:tblHeader/>
        </w:trPr>
        <w:tc>
          <w:tcPr>
            <w:tcW w:w="9242" w:type="dxa"/>
            <w:gridSpan w:val="2"/>
            <w:shd w:val="clear" w:color="auto" w:fill="0070C0"/>
          </w:tcPr>
          <w:p w:rsidR="00FE277D" w:rsidRPr="000758CD" w:rsidRDefault="00FE277D" w:rsidP="000E4C8C">
            <w:pPr>
              <w:jc w:val="center"/>
              <w:rPr>
                <w:rFonts w:cs="Arial"/>
              </w:rPr>
            </w:pPr>
            <w:r w:rsidRPr="000758CD">
              <w:rPr>
                <w:rFonts w:cs="Arial"/>
                <w:b/>
                <w:color w:val="FFFFFF" w:themeColor="background1"/>
              </w:rPr>
              <w:t>Indicator</w:t>
            </w:r>
            <w:r w:rsidR="000E4C8C">
              <w:rPr>
                <w:rFonts w:cs="Arial"/>
                <w:b/>
                <w:color w:val="FFFFFF" w:themeColor="background1"/>
              </w:rPr>
              <w:t xml:space="preserve"> 8c – Care Homes</w:t>
            </w:r>
          </w:p>
        </w:tc>
      </w:tr>
      <w:tr w:rsidR="00FE277D" w:rsidRPr="000758CD" w:rsidTr="00A15ABD">
        <w:tc>
          <w:tcPr>
            <w:tcW w:w="2802" w:type="dxa"/>
          </w:tcPr>
          <w:p w:rsidR="00FE277D" w:rsidRPr="000E4C8C" w:rsidRDefault="00FE277D" w:rsidP="00A15ABD">
            <w:pPr>
              <w:rPr>
                <w:rFonts w:cs="Arial"/>
                <w:b/>
              </w:rPr>
            </w:pPr>
            <w:r w:rsidRPr="000E4C8C">
              <w:rPr>
                <w:rFonts w:cs="Arial"/>
                <w:b/>
                <w:color w:val="000000"/>
              </w:rPr>
              <w:t>Indicator name</w:t>
            </w:r>
          </w:p>
        </w:tc>
        <w:tc>
          <w:tcPr>
            <w:tcW w:w="6440" w:type="dxa"/>
          </w:tcPr>
          <w:p w:rsidR="00FE277D" w:rsidRPr="000758CD" w:rsidRDefault="00FE277D" w:rsidP="00A15ABD">
            <w:pPr>
              <w:rPr>
                <w:rFonts w:cs="Arial"/>
              </w:rPr>
            </w:pPr>
            <w:r w:rsidRPr="000758CD">
              <w:rPr>
                <w:rFonts w:cs="Arial"/>
              </w:rPr>
              <w:t>Supporting Proactive and Safe Discharge</w:t>
            </w:r>
            <w:r>
              <w:rPr>
                <w:rFonts w:cs="Arial"/>
              </w:rPr>
              <w:t xml:space="preserve"> – Care Homes</w:t>
            </w:r>
          </w:p>
        </w:tc>
      </w:tr>
      <w:tr w:rsidR="00FE277D" w:rsidRPr="000758CD" w:rsidTr="00A15ABD">
        <w:tc>
          <w:tcPr>
            <w:tcW w:w="2802" w:type="dxa"/>
          </w:tcPr>
          <w:p w:rsidR="00FE277D" w:rsidRPr="000E4C8C" w:rsidRDefault="00FE277D" w:rsidP="00A15ABD">
            <w:pPr>
              <w:rPr>
                <w:rFonts w:cs="Arial"/>
                <w:b/>
              </w:rPr>
            </w:pPr>
            <w:r w:rsidRPr="000E4C8C">
              <w:rPr>
                <w:rFonts w:cs="Arial"/>
                <w:b/>
                <w:color w:val="000000"/>
              </w:rPr>
              <w:t xml:space="preserve">Indicator weighting </w:t>
            </w:r>
            <w:r w:rsidRPr="000E4C8C">
              <w:rPr>
                <w:rFonts w:cs="Arial"/>
                <w:b/>
                <w:color w:val="000000"/>
              </w:rPr>
              <w:br/>
              <w:t>(% of CQUIN scheme available)</w:t>
            </w:r>
          </w:p>
        </w:tc>
        <w:tc>
          <w:tcPr>
            <w:tcW w:w="6440" w:type="dxa"/>
          </w:tcPr>
          <w:p w:rsidR="00FE277D" w:rsidRPr="000758CD" w:rsidRDefault="00FE277D" w:rsidP="00A15ABD">
            <w:pPr>
              <w:rPr>
                <w:rFonts w:cs="Arial"/>
                <w:bCs w:val="0"/>
                <w:color w:val="000000"/>
              </w:rPr>
            </w:pPr>
            <w:r>
              <w:rPr>
                <w:rFonts w:cs="Arial"/>
                <w:bCs w:val="0"/>
                <w:color w:val="000000"/>
              </w:rPr>
              <w:t>0.25%</w:t>
            </w:r>
          </w:p>
        </w:tc>
      </w:tr>
      <w:tr w:rsidR="00FE277D" w:rsidRPr="000758CD" w:rsidTr="00A15ABD">
        <w:tc>
          <w:tcPr>
            <w:tcW w:w="2802" w:type="dxa"/>
          </w:tcPr>
          <w:p w:rsidR="00FE277D" w:rsidRPr="000E4C8C" w:rsidRDefault="00FE277D" w:rsidP="00A15ABD">
            <w:pPr>
              <w:rPr>
                <w:rFonts w:cs="Arial"/>
                <w:b/>
              </w:rPr>
            </w:pPr>
            <w:r w:rsidRPr="000E4C8C">
              <w:rPr>
                <w:rFonts w:cs="Arial"/>
                <w:b/>
                <w:color w:val="000000"/>
              </w:rPr>
              <w:t>Description of indicator</w:t>
            </w:r>
          </w:p>
        </w:tc>
        <w:tc>
          <w:tcPr>
            <w:tcW w:w="6440" w:type="dxa"/>
          </w:tcPr>
          <w:p w:rsidR="00FE277D" w:rsidRPr="000758CD" w:rsidRDefault="00FE277D" w:rsidP="00A15ABD">
            <w:pPr>
              <w:keepNext/>
              <w:rPr>
                <w:b/>
              </w:rPr>
            </w:pPr>
            <w:r w:rsidRPr="000758CD">
              <w:rPr>
                <w:b/>
              </w:rPr>
              <w:t>Year 1 17/18</w:t>
            </w:r>
          </w:p>
          <w:p w:rsidR="00FE277D" w:rsidRPr="000758CD" w:rsidRDefault="00FE277D" w:rsidP="00A15ABD">
            <w:pPr>
              <w:keepNext/>
            </w:pPr>
          </w:p>
          <w:p w:rsidR="00FE277D" w:rsidRPr="000758CD" w:rsidRDefault="00FE277D" w:rsidP="00A15ABD">
            <w:pPr>
              <w:keepNext/>
            </w:pPr>
            <w:r>
              <w:t>Part a) 60</w:t>
            </w:r>
            <w:r w:rsidRPr="000758CD">
              <w:t>% of weighting for this measure</w:t>
            </w:r>
            <w:r>
              <w:t xml:space="preserve"> </w:t>
            </w:r>
            <w:r w:rsidRPr="00EF5396">
              <w:t>(applicable to acute, community and NHS commissioned care home bed providers).</w:t>
            </w:r>
          </w:p>
          <w:p w:rsidR="00FE277D" w:rsidRDefault="00FE277D" w:rsidP="00A15ABD">
            <w:pPr>
              <w:keepNext/>
            </w:pPr>
          </w:p>
          <w:p w:rsidR="00FE277D" w:rsidRPr="000758CD" w:rsidRDefault="00FE277D" w:rsidP="00A15ABD">
            <w:pPr>
              <w:keepNext/>
            </w:pPr>
            <w:r w:rsidRPr="000758CD">
              <w:t>Actions to map existing discharge pathway</w:t>
            </w:r>
            <w:r>
              <w:t xml:space="preserve">s and </w:t>
            </w:r>
            <w:r w:rsidRPr="000758CD">
              <w:t xml:space="preserve">roll-out </w:t>
            </w:r>
            <w:r>
              <w:t xml:space="preserve">local </w:t>
            </w:r>
            <w:r w:rsidRPr="000758CD">
              <w:t>protocols</w:t>
            </w:r>
            <w:r>
              <w:t>.</w:t>
            </w:r>
          </w:p>
          <w:p w:rsidR="00FE277D" w:rsidRPr="00E91546" w:rsidRDefault="00FE277D" w:rsidP="00A15ABD">
            <w:pPr>
              <w:keepNext/>
              <w:contextualSpacing/>
              <w:rPr>
                <w:rFonts w:cs="Arial"/>
              </w:rPr>
            </w:pPr>
          </w:p>
          <w:p w:rsidR="00FE277D" w:rsidRPr="000758CD" w:rsidRDefault="00FE277D" w:rsidP="00A15ABD">
            <w:pPr>
              <w:keepNext/>
              <w:contextualSpacing/>
            </w:pPr>
            <w:r>
              <w:t>Part b) 40</w:t>
            </w:r>
            <w:r w:rsidRPr="000758CD">
              <w:t>% of weighting for this measure:</w:t>
            </w:r>
          </w:p>
          <w:p w:rsidR="00FE277D" w:rsidRPr="000758CD" w:rsidRDefault="00FE277D" w:rsidP="00A15ABD">
            <w:pPr>
              <w:keepNext/>
              <w:contextualSpacing/>
            </w:pPr>
          </w:p>
          <w:p w:rsidR="00FE277D" w:rsidRPr="000758CD" w:rsidRDefault="00FE277D" w:rsidP="00FE277D">
            <w:pPr>
              <w:pStyle w:val="ListParagraph"/>
              <w:keepNext/>
              <w:numPr>
                <w:ilvl w:val="0"/>
                <w:numId w:val="48"/>
              </w:numPr>
            </w:pPr>
            <w:r w:rsidRPr="000758CD">
              <w:rPr>
                <w:rFonts w:eastAsia="HGSMinchoE"/>
                <w:b/>
                <w:szCs w:val="24"/>
              </w:rPr>
              <w:t>Care Home Provider:</w:t>
            </w:r>
            <w:r w:rsidRPr="000758CD">
              <w:rPr>
                <w:rFonts w:cs="Arial"/>
                <w:szCs w:val="24"/>
              </w:rPr>
              <w:t xml:space="preserve"> </w:t>
            </w:r>
            <w:r w:rsidRPr="00744410">
              <w:rPr>
                <w:rFonts w:cs="Arial"/>
                <w:szCs w:val="24"/>
              </w:rPr>
              <w:t>Locally agree collection of Patient Experience measure, or PROM for patients discharged to care home through D2A or metrics associated with delivery of part a.</w:t>
            </w:r>
          </w:p>
          <w:p w:rsidR="00FE277D" w:rsidRDefault="00FE277D" w:rsidP="00A15ABD">
            <w:pPr>
              <w:keepNext/>
              <w:rPr>
                <w:b/>
              </w:rPr>
            </w:pPr>
          </w:p>
          <w:p w:rsidR="00FE277D" w:rsidRPr="000758CD" w:rsidRDefault="00FE277D" w:rsidP="00A15ABD">
            <w:pPr>
              <w:keepNext/>
              <w:rPr>
                <w:b/>
              </w:rPr>
            </w:pPr>
            <w:r w:rsidRPr="000758CD">
              <w:rPr>
                <w:b/>
              </w:rPr>
              <w:t>Year 2 18/19</w:t>
            </w:r>
          </w:p>
          <w:p w:rsidR="00FE277D" w:rsidRPr="000758CD" w:rsidRDefault="00FE277D" w:rsidP="00A15ABD">
            <w:pPr>
              <w:keepNext/>
            </w:pPr>
          </w:p>
          <w:p w:rsidR="00FE277D" w:rsidRPr="000758CD" w:rsidRDefault="00FE277D" w:rsidP="00A15ABD">
            <w:pPr>
              <w:keepNext/>
            </w:pPr>
            <w:r>
              <w:t>Part a) 100</w:t>
            </w:r>
            <w:r w:rsidRPr="000758CD">
              <w:t>% of weighting for this measure</w:t>
            </w:r>
            <w:r>
              <w:t>:</w:t>
            </w:r>
          </w:p>
          <w:p w:rsidR="001F3C54" w:rsidRPr="001F3C54" w:rsidRDefault="00FE277D" w:rsidP="001F3C54">
            <w:pPr>
              <w:pStyle w:val="ListParagraph"/>
              <w:numPr>
                <w:ilvl w:val="0"/>
                <w:numId w:val="48"/>
              </w:numPr>
            </w:pPr>
            <w:r w:rsidRPr="001F3C54">
              <w:rPr>
                <w:rFonts w:eastAsia="HGSMinchoE"/>
                <w:b/>
                <w:szCs w:val="24"/>
              </w:rPr>
              <w:t>Care Home Provider:</w:t>
            </w:r>
            <w:r w:rsidRPr="001F3C54">
              <w:rPr>
                <w:rFonts w:cs="Arial"/>
                <w:szCs w:val="24"/>
              </w:rPr>
              <w:t xml:space="preserve"> Collection and analysis of locally agreed patient Experience measure </w:t>
            </w:r>
            <w:r w:rsidRPr="001F3C54">
              <w:rPr>
                <w:rFonts w:cs="Arial"/>
                <w:bCs w:val="0"/>
                <w:szCs w:val="24"/>
              </w:rPr>
              <w:t>or PROM for patients discharged to care home</w:t>
            </w:r>
            <w:r w:rsidRPr="001F3C54">
              <w:rPr>
                <w:rFonts w:cs="Arial"/>
                <w:szCs w:val="24"/>
              </w:rPr>
              <w:t xml:space="preserve"> through D2A</w:t>
            </w:r>
            <w:r w:rsidR="001F3C54">
              <w:t xml:space="preserve"> </w:t>
            </w:r>
            <w:r w:rsidR="001F3C54" w:rsidRPr="001F3C54">
              <w:t>or m</w:t>
            </w:r>
            <w:r w:rsidR="001F3C54">
              <w:t>etrics agreed as per  year one P</w:t>
            </w:r>
            <w:r w:rsidR="001F3C54" w:rsidRPr="001F3C54">
              <w:t>art a.</w:t>
            </w:r>
          </w:p>
          <w:p w:rsidR="00FE277D" w:rsidRPr="000758CD" w:rsidRDefault="00FE277D" w:rsidP="00A15ABD">
            <w:pPr>
              <w:pStyle w:val="ListParagraph"/>
              <w:keepNext/>
              <w:rPr>
                <w:rFonts w:cs="Arial"/>
              </w:rPr>
            </w:pPr>
          </w:p>
        </w:tc>
      </w:tr>
      <w:tr w:rsidR="00FE277D" w:rsidRPr="000758CD" w:rsidTr="00A15ABD">
        <w:tc>
          <w:tcPr>
            <w:tcW w:w="2802" w:type="dxa"/>
          </w:tcPr>
          <w:p w:rsidR="00FE277D" w:rsidRPr="000E4C8C" w:rsidRDefault="00FE277D" w:rsidP="00A15ABD">
            <w:pPr>
              <w:rPr>
                <w:rFonts w:cs="Arial"/>
                <w:b/>
              </w:rPr>
            </w:pPr>
            <w:r w:rsidRPr="000E4C8C">
              <w:rPr>
                <w:rFonts w:cs="Arial"/>
                <w:b/>
                <w:color w:val="000000"/>
              </w:rPr>
              <w:t>Numerator</w:t>
            </w:r>
          </w:p>
        </w:tc>
        <w:tc>
          <w:tcPr>
            <w:tcW w:w="6440" w:type="dxa"/>
          </w:tcPr>
          <w:p w:rsidR="00FE277D" w:rsidRPr="000758CD" w:rsidRDefault="001F3C54" w:rsidP="00A15ABD">
            <w:pPr>
              <w:keepNext/>
              <w:contextualSpacing/>
              <w:rPr>
                <w:rFonts w:cs="Arial"/>
              </w:rPr>
            </w:pPr>
            <w:r>
              <w:rPr>
                <w:rFonts w:cs="Arial"/>
              </w:rPr>
              <w:t>N/A</w:t>
            </w:r>
          </w:p>
        </w:tc>
      </w:tr>
      <w:tr w:rsidR="00FE277D" w:rsidRPr="000758CD" w:rsidTr="00A15ABD">
        <w:tc>
          <w:tcPr>
            <w:tcW w:w="2802" w:type="dxa"/>
          </w:tcPr>
          <w:p w:rsidR="00FE277D" w:rsidRPr="000E4C8C" w:rsidRDefault="00FE277D" w:rsidP="00A15ABD">
            <w:pPr>
              <w:rPr>
                <w:rFonts w:cs="Arial"/>
                <w:b/>
              </w:rPr>
            </w:pPr>
            <w:r w:rsidRPr="000E4C8C">
              <w:rPr>
                <w:rFonts w:cs="Arial"/>
                <w:b/>
                <w:color w:val="000000"/>
              </w:rPr>
              <w:t>Denominator</w:t>
            </w:r>
          </w:p>
        </w:tc>
        <w:tc>
          <w:tcPr>
            <w:tcW w:w="6440" w:type="dxa"/>
          </w:tcPr>
          <w:p w:rsidR="00FE277D" w:rsidRPr="000758CD" w:rsidRDefault="001F3C54" w:rsidP="00A15ABD">
            <w:pPr>
              <w:keepNext/>
              <w:contextualSpacing/>
              <w:rPr>
                <w:rFonts w:cs="Arial"/>
              </w:rPr>
            </w:pPr>
            <w:r>
              <w:rPr>
                <w:rFonts w:cs="Arial"/>
              </w:rPr>
              <w:t>N/A</w:t>
            </w:r>
          </w:p>
        </w:tc>
      </w:tr>
      <w:tr w:rsidR="00FE277D" w:rsidRPr="000758CD" w:rsidTr="00A15ABD">
        <w:tc>
          <w:tcPr>
            <w:tcW w:w="2802" w:type="dxa"/>
          </w:tcPr>
          <w:p w:rsidR="00FE277D" w:rsidRPr="000E4C8C" w:rsidRDefault="00FE277D" w:rsidP="00A15ABD">
            <w:pPr>
              <w:rPr>
                <w:rFonts w:cs="Arial"/>
                <w:b/>
              </w:rPr>
            </w:pPr>
            <w:r w:rsidRPr="000E4C8C">
              <w:rPr>
                <w:rFonts w:cs="Arial"/>
                <w:b/>
                <w:color w:val="000000"/>
              </w:rPr>
              <w:t>Rationale for inclusion</w:t>
            </w:r>
          </w:p>
        </w:tc>
        <w:tc>
          <w:tcPr>
            <w:tcW w:w="6440" w:type="dxa"/>
          </w:tcPr>
          <w:p w:rsidR="00FE277D" w:rsidRPr="000758CD" w:rsidRDefault="00FE277D" w:rsidP="00A15ABD">
            <w:pPr>
              <w:keepNext/>
              <w:contextualSpacing/>
              <w:rPr>
                <w:rFonts w:cs="Arial"/>
                <w:bCs w:val="0"/>
                <w:color w:val="000000"/>
              </w:rPr>
            </w:pPr>
            <w:r w:rsidRPr="000758CD">
              <w:rPr>
                <w:rFonts w:cs="Arial"/>
                <w:color w:val="000000"/>
              </w:rPr>
              <w:t>There is a considerable evidence for the harm caused by poor patient flow. Delays lead to poor outcomes for patients, create financial pressures and impact on key NHS performance measures</w:t>
            </w:r>
            <w:r w:rsidRPr="000758CD">
              <w:rPr>
                <w:rFonts w:cs="Arial"/>
              </w:rPr>
              <w:t>. Delayed discharge has serious impact across health and care systems, reducing the ability of emergency departments to respond to people’s needs, and increasing costs to local health economies.</w:t>
            </w:r>
          </w:p>
          <w:p w:rsidR="00FE277D" w:rsidRPr="000758CD" w:rsidRDefault="00FE277D" w:rsidP="00A15ABD">
            <w:pPr>
              <w:rPr>
                <w:rFonts w:cs="Arial"/>
                <w:bCs w:val="0"/>
              </w:rPr>
            </w:pPr>
          </w:p>
          <w:p w:rsidR="00FE277D" w:rsidRPr="000758CD" w:rsidRDefault="00FE277D" w:rsidP="00A15ABD">
            <w:pPr>
              <w:rPr>
                <w:rFonts w:cs="Arial"/>
                <w:bCs w:val="0"/>
              </w:rPr>
            </w:pPr>
            <w:r w:rsidRPr="000758CD">
              <w:rPr>
                <w:rFonts w:cs="Arial"/>
              </w:rPr>
              <w:t xml:space="preserve">Unnecessary delay in discharging older patients from hospital is a systemic problem with a rising trend - </w:t>
            </w:r>
            <w:r w:rsidRPr="000758CD">
              <w:rPr>
                <w:rFonts w:cs="Arial"/>
                <w:lang w:val="en"/>
              </w:rPr>
              <w:t>between 2013 and 2015 recorded delayed transfers of care rose 31 per cent and in 2015 accounted for 1.15 million bed days</w:t>
            </w:r>
            <w:r w:rsidRPr="000758CD">
              <w:rPr>
                <w:rStyle w:val="FootnoteReference"/>
                <w:rFonts w:cs="Arial"/>
              </w:rPr>
              <w:footnoteReference w:id="24"/>
            </w:r>
            <w:r w:rsidRPr="000758CD">
              <w:rPr>
                <w:rFonts w:cs="Arial"/>
                <w:lang w:val="en"/>
              </w:rPr>
              <w:t>.</w:t>
            </w:r>
            <w:r w:rsidRPr="000758CD">
              <w:rPr>
                <w:rFonts w:cs="Arial"/>
              </w:rPr>
              <w:t xml:space="preserve"> For older people in particular, we know </w:t>
            </w:r>
            <w:r w:rsidRPr="000758CD">
              <w:rPr>
                <w:rFonts w:cs="Arial"/>
              </w:rPr>
              <w:lastRenderedPageBreak/>
              <w:t>that longer stays in hospital can lead to worse health outcomes and can increase their long-term care needs.</w:t>
            </w:r>
          </w:p>
          <w:p w:rsidR="00FE277D" w:rsidRPr="000758CD" w:rsidRDefault="00FE277D" w:rsidP="00A15ABD">
            <w:pPr>
              <w:rPr>
                <w:rFonts w:cs="Arial"/>
                <w:bCs w:val="0"/>
              </w:rPr>
            </w:pPr>
          </w:p>
          <w:p w:rsidR="00FE277D" w:rsidRPr="000758CD" w:rsidRDefault="00FE277D" w:rsidP="00A15ABD">
            <w:pPr>
              <w:spacing w:after="200" w:line="276" w:lineRule="auto"/>
              <w:rPr>
                <w:rFonts w:cs="Arial"/>
              </w:rPr>
            </w:pPr>
            <w:r w:rsidRPr="000758CD">
              <w:rPr>
                <w:rFonts w:cs="Arial"/>
              </w:rPr>
              <w:t xml:space="preserve">Local A&amp;E Delivery Boards are being asked in 2016/17 to implement key initiatives to address some of the major underlying issues causing delayed discharges. This CQUIN builds upon the 2016/17 A&amp;E Plan discharge-specific activity to support systems to streamline discharge pathways, embed and strengthen the discharge to assess* pathway to maximum effect, and to understand capacity within community services to support improved discharge. </w:t>
            </w:r>
          </w:p>
          <w:p w:rsidR="00FE277D" w:rsidRPr="000758CD" w:rsidRDefault="00FE277D" w:rsidP="00A15ABD">
            <w:pPr>
              <w:spacing w:after="200" w:line="276" w:lineRule="auto"/>
              <w:rPr>
                <w:rFonts w:cs="Arial"/>
              </w:rPr>
            </w:pPr>
            <w:r w:rsidRPr="000758CD">
              <w:rPr>
                <w:rFonts w:cs="Arial"/>
              </w:rPr>
              <w:t>This is a two year CQUIN that works across local health economies that aims to improve discharges for patients across all wards within hospitals.</w:t>
            </w:r>
          </w:p>
          <w:p w:rsidR="00FE277D" w:rsidRPr="000758CD" w:rsidRDefault="00FE277D" w:rsidP="00A15ABD">
            <w:pPr>
              <w:spacing w:after="200" w:line="276" w:lineRule="auto"/>
              <w:rPr>
                <w:rFonts w:cs="Arial"/>
              </w:rPr>
            </w:pPr>
            <w:r w:rsidRPr="000758CD">
              <w:rPr>
                <w:rFonts w:cs="Arial"/>
              </w:rPr>
              <w:t>The desired outcomes will be improvement in patient outcomes, improvement in patient flow, and reduction in delayed discharges (and thus reduction in associated costs).</w:t>
            </w:r>
          </w:p>
          <w:p w:rsidR="00FE277D" w:rsidRPr="000758CD" w:rsidRDefault="00FE277D" w:rsidP="00A15ABD">
            <w:pPr>
              <w:spacing w:after="200" w:line="276" w:lineRule="auto"/>
              <w:rPr>
                <w:rFonts w:cs="Arial"/>
              </w:rPr>
            </w:pPr>
            <w:r w:rsidRPr="000758CD">
              <w:rPr>
                <w:rFonts w:cs="Arial"/>
              </w:rPr>
              <w:t xml:space="preserve">Although </w:t>
            </w:r>
            <w:r w:rsidRPr="00301523">
              <w:rPr>
                <w:rFonts w:cs="Arial"/>
              </w:rPr>
              <w:t>this CQUIN includes a measure using acute data, it is an indicator of how well the whole system works to support timely discharge. Distribution of the CQUIN amount on achievement of the target between acute, community and NHS-commissioned care home beds would need to be determined locally.</w:t>
            </w:r>
          </w:p>
          <w:p w:rsidR="00FE277D" w:rsidRPr="000758CD" w:rsidRDefault="00FE277D" w:rsidP="00A15ABD">
            <w:pPr>
              <w:rPr>
                <w:rFonts w:cs="Arial"/>
              </w:rPr>
            </w:pPr>
            <w:r w:rsidRPr="000758CD">
              <w:rPr>
                <w:rFonts w:cs="Arial"/>
              </w:rPr>
              <w:t>*Definition of discharge to assess</w:t>
            </w:r>
            <w:r w:rsidRPr="000758CD">
              <w:rPr>
                <w:rStyle w:val="FootnoteReference"/>
                <w:rFonts w:cs="Arial"/>
              </w:rPr>
              <w:footnoteReference w:id="25"/>
            </w:r>
            <w:r w:rsidRPr="000758CD">
              <w:rPr>
                <w:rFonts w:cs="Arial"/>
              </w:rPr>
              <w:t>:</w:t>
            </w:r>
          </w:p>
          <w:p w:rsidR="00FE277D" w:rsidRPr="000758CD" w:rsidRDefault="00FE277D" w:rsidP="00A15ABD">
            <w:pPr>
              <w:rPr>
                <w:rFonts w:cs="Arial"/>
              </w:rPr>
            </w:pPr>
            <w:r w:rsidRPr="000758CD">
              <w:rPr>
                <w:rFonts w:cs="Arial"/>
              </w:rPr>
              <w:t>Where people who are clinically optimised and do not require an acute hospital bed, but may still require care services are provided with short term, funded support to be discharged to their own home (where possible) or another community setting. This is where assessment for longer -term care and support needs is then undertaken in the most appropriate setting and at the right time for the person. Commonly used terms for this are: ‘discharge to assess’, ‘home first’, ‘safely home’, ‘step down’.</w:t>
            </w:r>
          </w:p>
        </w:tc>
      </w:tr>
      <w:tr w:rsidR="00FE277D" w:rsidRPr="000758CD" w:rsidTr="00A15ABD">
        <w:tc>
          <w:tcPr>
            <w:tcW w:w="2802" w:type="dxa"/>
          </w:tcPr>
          <w:p w:rsidR="00FE277D" w:rsidRPr="000E4C8C" w:rsidRDefault="00FE277D" w:rsidP="00A15ABD">
            <w:pPr>
              <w:rPr>
                <w:rFonts w:cs="Arial"/>
                <w:b/>
              </w:rPr>
            </w:pPr>
            <w:r w:rsidRPr="000E4C8C">
              <w:rPr>
                <w:rFonts w:cs="Arial"/>
                <w:b/>
                <w:color w:val="000000"/>
              </w:rPr>
              <w:lastRenderedPageBreak/>
              <w:t>Data source</w:t>
            </w:r>
          </w:p>
        </w:tc>
        <w:tc>
          <w:tcPr>
            <w:tcW w:w="6440" w:type="dxa"/>
          </w:tcPr>
          <w:p w:rsidR="00FE277D" w:rsidRPr="000758CD" w:rsidRDefault="00FE277D" w:rsidP="00A15ABD">
            <w:pPr>
              <w:keepNext/>
              <w:tabs>
                <w:tab w:val="left" w:pos="2074"/>
              </w:tabs>
              <w:rPr>
                <w:rFonts w:cs="Arial"/>
              </w:rPr>
            </w:pPr>
            <w:r>
              <w:rPr>
                <w:rFonts w:cs="Arial"/>
              </w:rPr>
              <w:t>Locally determined</w:t>
            </w:r>
          </w:p>
        </w:tc>
      </w:tr>
      <w:tr w:rsidR="00FE277D" w:rsidRPr="000758CD" w:rsidTr="00A15ABD">
        <w:tc>
          <w:tcPr>
            <w:tcW w:w="2802" w:type="dxa"/>
          </w:tcPr>
          <w:p w:rsidR="00FE277D" w:rsidRPr="000E4C8C" w:rsidRDefault="00FE277D" w:rsidP="00A15ABD">
            <w:pPr>
              <w:rPr>
                <w:rFonts w:cs="Arial"/>
                <w:b/>
              </w:rPr>
            </w:pPr>
            <w:r w:rsidRPr="000E4C8C">
              <w:rPr>
                <w:rFonts w:cs="Arial"/>
                <w:b/>
                <w:color w:val="000000"/>
              </w:rPr>
              <w:t>Frequency of data collection</w:t>
            </w:r>
          </w:p>
        </w:tc>
        <w:tc>
          <w:tcPr>
            <w:tcW w:w="6440" w:type="dxa"/>
          </w:tcPr>
          <w:p w:rsidR="00FE277D" w:rsidRPr="000758CD" w:rsidRDefault="00FE277D" w:rsidP="00A15ABD">
            <w:pPr>
              <w:rPr>
                <w:rFonts w:cs="Arial"/>
              </w:rPr>
            </w:pPr>
            <w:r w:rsidRPr="00F3289B">
              <w:rPr>
                <w:rFonts w:cs="Arial"/>
              </w:rPr>
              <w:t>Locally determined</w:t>
            </w:r>
          </w:p>
        </w:tc>
      </w:tr>
      <w:tr w:rsidR="00FE277D" w:rsidRPr="000758CD" w:rsidTr="00A15ABD">
        <w:tc>
          <w:tcPr>
            <w:tcW w:w="2802" w:type="dxa"/>
          </w:tcPr>
          <w:p w:rsidR="00FE277D" w:rsidRPr="000E4C8C" w:rsidRDefault="00FE277D" w:rsidP="00A15ABD">
            <w:pPr>
              <w:rPr>
                <w:rFonts w:cs="Arial"/>
                <w:b/>
              </w:rPr>
            </w:pPr>
            <w:r w:rsidRPr="000E4C8C">
              <w:rPr>
                <w:rFonts w:cs="Arial"/>
                <w:b/>
                <w:color w:val="000000"/>
              </w:rPr>
              <w:t>Organisation responsible for data collection</w:t>
            </w:r>
          </w:p>
        </w:tc>
        <w:tc>
          <w:tcPr>
            <w:tcW w:w="6440" w:type="dxa"/>
          </w:tcPr>
          <w:p w:rsidR="00FE277D" w:rsidRPr="000758CD" w:rsidRDefault="00FE277D" w:rsidP="00A15ABD">
            <w:pPr>
              <w:rPr>
                <w:rFonts w:cs="Arial"/>
              </w:rPr>
            </w:pPr>
            <w:r w:rsidRPr="00F3289B">
              <w:rPr>
                <w:rFonts w:cs="Arial"/>
              </w:rPr>
              <w:t>Locally determined</w:t>
            </w:r>
          </w:p>
        </w:tc>
      </w:tr>
      <w:tr w:rsidR="00FE277D" w:rsidRPr="000758CD" w:rsidTr="00A15ABD">
        <w:tc>
          <w:tcPr>
            <w:tcW w:w="2802" w:type="dxa"/>
          </w:tcPr>
          <w:p w:rsidR="00FE277D" w:rsidRPr="000E4C8C" w:rsidRDefault="00FE277D" w:rsidP="00A15ABD">
            <w:pPr>
              <w:rPr>
                <w:rFonts w:cs="Arial"/>
                <w:b/>
              </w:rPr>
            </w:pPr>
            <w:r w:rsidRPr="000E4C8C">
              <w:rPr>
                <w:rFonts w:cs="Arial"/>
                <w:b/>
                <w:color w:val="000000"/>
              </w:rPr>
              <w:lastRenderedPageBreak/>
              <w:t>Frequency of reporting to commissioner</w:t>
            </w:r>
          </w:p>
        </w:tc>
        <w:tc>
          <w:tcPr>
            <w:tcW w:w="6440" w:type="dxa"/>
          </w:tcPr>
          <w:p w:rsidR="00FE277D" w:rsidRPr="000758CD" w:rsidRDefault="00FE277D" w:rsidP="00A15ABD">
            <w:pPr>
              <w:rPr>
                <w:rFonts w:cs="Arial"/>
                <w:b/>
              </w:rPr>
            </w:pPr>
            <w:r w:rsidRPr="00F3289B">
              <w:rPr>
                <w:rFonts w:cs="Arial"/>
              </w:rPr>
              <w:t>Locally determined</w:t>
            </w:r>
          </w:p>
        </w:tc>
      </w:tr>
      <w:tr w:rsidR="00FE277D" w:rsidRPr="000758CD" w:rsidTr="00A15ABD">
        <w:tc>
          <w:tcPr>
            <w:tcW w:w="2802" w:type="dxa"/>
          </w:tcPr>
          <w:p w:rsidR="00FE277D" w:rsidRPr="000E4C8C" w:rsidRDefault="00FE277D" w:rsidP="00A15ABD">
            <w:pPr>
              <w:rPr>
                <w:rFonts w:cs="Arial"/>
                <w:b/>
              </w:rPr>
            </w:pPr>
            <w:r w:rsidRPr="000E4C8C">
              <w:rPr>
                <w:rFonts w:cs="Arial"/>
                <w:b/>
                <w:color w:val="000000"/>
              </w:rPr>
              <w:t>Baseline period/date</w:t>
            </w:r>
          </w:p>
        </w:tc>
        <w:tc>
          <w:tcPr>
            <w:tcW w:w="6440" w:type="dxa"/>
          </w:tcPr>
          <w:p w:rsidR="00FE277D" w:rsidRPr="000758CD" w:rsidRDefault="00FE277D" w:rsidP="00A15ABD">
            <w:pPr>
              <w:rPr>
                <w:rFonts w:cs="Arial"/>
              </w:rPr>
            </w:pPr>
            <w:r>
              <w:rPr>
                <w:rFonts w:cs="Arial"/>
              </w:rPr>
              <w:t>NA</w:t>
            </w:r>
          </w:p>
        </w:tc>
      </w:tr>
      <w:tr w:rsidR="00FE277D" w:rsidRPr="000758CD" w:rsidTr="00A15ABD">
        <w:tc>
          <w:tcPr>
            <w:tcW w:w="2802" w:type="dxa"/>
          </w:tcPr>
          <w:p w:rsidR="00FE277D" w:rsidRPr="000E4C8C" w:rsidRDefault="00FE277D" w:rsidP="00A15ABD">
            <w:pPr>
              <w:rPr>
                <w:rFonts w:cs="Arial"/>
                <w:b/>
              </w:rPr>
            </w:pPr>
            <w:r w:rsidRPr="000E4C8C">
              <w:rPr>
                <w:rFonts w:cs="Arial"/>
                <w:b/>
                <w:color w:val="000000"/>
              </w:rPr>
              <w:t>Baseline value</w:t>
            </w:r>
          </w:p>
        </w:tc>
        <w:tc>
          <w:tcPr>
            <w:tcW w:w="6440" w:type="dxa"/>
          </w:tcPr>
          <w:p w:rsidR="00FE277D" w:rsidRPr="000758CD" w:rsidRDefault="00FE277D" w:rsidP="00A15ABD">
            <w:pPr>
              <w:rPr>
                <w:rFonts w:cs="Arial"/>
              </w:rPr>
            </w:pPr>
            <w:r>
              <w:rPr>
                <w:rFonts w:cs="Arial"/>
              </w:rPr>
              <w:t>NA</w:t>
            </w:r>
          </w:p>
        </w:tc>
      </w:tr>
      <w:tr w:rsidR="00FE277D" w:rsidRPr="000758CD" w:rsidTr="00A15ABD">
        <w:tc>
          <w:tcPr>
            <w:tcW w:w="2802" w:type="dxa"/>
          </w:tcPr>
          <w:p w:rsidR="00FE277D" w:rsidRPr="000E4C8C" w:rsidRDefault="00FE277D" w:rsidP="00A15ABD">
            <w:pPr>
              <w:rPr>
                <w:rFonts w:cs="Arial"/>
                <w:b/>
              </w:rPr>
            </w:pPr>
            <w:r w:rsidRPr="000E4C8C">
              <w:rPr>
                <w:rFonts w:cs="Arial"/>
                <w:b/>
                <w:color w:val="000000"/>
              </w:rPr>
              <w:t>Final indicator period/date (on which payment is based)</w:t>
            </w:r>
          </w:p>
        </w:tc>
        <w:tc>
          <w:tcPr>
            <w:tcW w:w="6440" w:type="dxa"/>
          </w:tcPr>
          <w:p w:rsidR="00FE277D" w:rsidRPr="000758CD" w:rsidRDefault="00FE277D" w:rsidP="00A15ABD">
            <w:pPr>
              <w:rPr>
                <w:rFonts w:cs="Arial"/>
              </w:rPr>
            </w:pPr>
            <w:r w:rsidRPr="000758CD">
              <w:rPr>
                <w:rFonts w:cs="Arial"/>
              </w:rPr>
              <w:t>Year 1 End of 2017/18</w:t>
            </w:r>
          </w:p>
          <w:p w:rsidR="00FE277D" w:rsidRPr="000758CD" w:rsidRDefault="00FE277D" w:rsidP="00A15ABD">
            <w:pPr>
              <w:rPr>
                <w:rFonts w:cs="Arial"/>
              </w:rPr>
            </w:pPr>
            <w:r w:rsidRPr="000758CD">
              <w:rPr>
                <w:rFonts w:cs="Arial"/>
              </w:rPr>
              <w:t>Year 2 End of 2018/19</w:t>
            </w:r>
          </w:p>
        </w:tc>
      </w:tr>
      <w:tr w:rsidR="00FE277D" w:rsidRPr="000758CD" w:rsidTr="00A15ABD">
        <w:tc>
          <w:tcPr>
            <w:tcW w:w="2802" w:type="dxa"/>
          </w:tcPr>
          <w:p w:rsidR="00FE277D" w:rsidRPr="000E4C8C" w:rsidRDefault="00FE277D" w:rsidP="00A15ABD">
            <w:pPr>
              <w:rPr>
                <w:rFonts w:cs="Arial"/>
                <w:b/>
              </w:rPr>
            </w:pPr>
            <w:r w:rsidRPr="000E4C8C">
              <w:rPr>
                <w:rFonts w:cs="Arial"/>
                <w:b/>
                <w:color w:val="000000"/>
              </w:rPr>
              <w:t>Final indicator value (payment threshold)</w:t>
            </w:r>
          </w:p>
        </w:tc>
        <w:tc>
          <w:tcPr>
            <w:tcW w:w="6440" w:type="dxa"/>
          </w:tcPr>
          <w:p w:rsidR="00FE277D" w:rsidRPr="00AB3933" w:rsidRDefault="00FE277D" w:rsidP="00A15ABD">
            <w:pPr>
              <w:rPr>
                <w:rFonts w:cs="Arial"/>
                <w:b/>
              </w:rPr>
            </w:pPr>
            <w:r w:rsidRPr="00AB3933">
              <w:rPr>
                <w:rFonts w:cs="Arial"/>
                <w:b/>
              </w:rPr>
              <w:t>Year 1 (17/18):</w:t>
            </w:r>
          </w:p>
          <w:p w:rsidR="00FE277D" w:rsidRPr="000758CD" w:rsidRDefault="001F3C54" w:rsidP="00A15ABD">
            <w:pPr>
              <w:rPr>
                <w:rFonts w:cs="Arial"/>
              </w:rPr>
            </w:pPr>
            <w:r>
              <w:rPr>
                <w:rFonts w:cs="Arial"/>
              </w:rPr>
              <w:t>See below table with milestones.</w:t>
            </w:r>
          </w:p>
          <w:p w:rsidR="00FE277D" w:rsidRPr="00AB3933" w:rsidRDefault="00FE277D" w:rsidP="00A15ABD">
            <w:pPr>
              <w:rPr>
                <w:rFonts w:cs="Arial"/>
                <w:b/>
              </w:rPr>
            </w:pPr>
            <w:r w:rsidRPr="00AB3933">
              <w:rPr>
                <w:rFonts w:cs="Arial"/>
                <w:b/>
              </w:rPr>
              <w:t>Year 2 (18/19):</w:t>
            </w:r>
          </w:p>
          <w:p w:rsidR="00FE277D" w:rsidRPr="001F3C54" w:rsidRDefault="001F3C54" w:rsidP="00A15ABD">
            <w:r w:rsidRPr="001F3C54">
              <w:rPr>
                <w:rFonts w:cs="Arial"/>
              </w:rPr>
              <w:t>See below table with milestones.</w:t>
            </w:r>
          </w:p>
        </w:tc>
      </w:tr>
      <w:tr w:rsidR="00FE277D" w:rsidRPr="000758CD" w:rsidTr="00A15ABD">
        <w:tc>
          <w:tcPr>
            <w:tcW w:w="2802" w:type="dxa"/>
          </w:tcPr>
          <w:p w:rsidR="00FE277D" w:rsidRPr="000E4C8C" w:rsidRDefault="00FE277D" w:rsidP="00A15ABD">
            <w:pPr>
              <w:rPr>
                <w:rFonts w:cs="Arial"/>
                <w:b/>
              </w:rPr>
            </w:pPr>
            <w:r w:rsidRPr="000E4C8C">
              <w:rPr>
                <w:rFonts w:cs="Arial"/>
                <w:b/>
                <w:color w:val="000000"/>
              </w:rPr>
              <w:t>Final indicator reporting date</w:t>
            </w:r>
          </w:p>
        </w:tc>
        <w:tc>
          <w:tcPr>
            <w:tcW w:w="6440" w:type="dxa"/>
          </w:tcPr>
          <w:p w:rsidR="00FE277D" w:rsidRPr="000758CD" w:rsidRDefault="00FE277D" w:rsidP="00A15ABD">
            <w:pPr>
              <w:rPr>
                <w:rFonts w:cs="Arial"/>
              </w:rPr>
            </w:pPr>
            <w:r w:rsidRPr="000758CD">
              <w:rPr>
                <w:rFonts w:cs="Arial"/>
              </w:rPr>
              <w:t>Year 1: End of Q4 2017/18</w:t>
            </w:r>
          </w:p>
          <w:p w:rsidR="00FE277D" w:rsidRPr="000758CD" w:rsidRDefault="00FE277D" w:rsidP="00A15ABD">
            <w:pPr>
              <w:rPr>
                <w:rFonts w:cs="Arial"/>
              </w:rPr>
            </w:pPr>
            <w:r w:rsidRPr="000758CD">
              <w:rPr>
                <w:rFonts w:cs="Arial"/>
              </w:rPr>
              <w:t>Year 2: End of Q4 2018/19</w:t>
            </w:r>
          </w:p>
        </w:tc>
      </w:tr>
      <w:tr w:rsidR="00FE277D" w:rsidRPr="000758CD" w:rsidTr="00A15ABD">
        <w:tc>
          <w:tcPr>
            <w:tcW w:w="2802" w:type="dxa"/>
          </w:tcPr>
          <w:p w:rsidR="00FE277D" w:rsidRPr="000E4C8C" w:rsidRDefault="00FE277D" w:rsidP="00A15ABD">
            <w:pPr>
              <w:rPr>
                <w:rFonts w:cs="Arial"/>
                <w:b/>
              </w:rPr>
            </w:pPr>
            <w:r w:rsidRPr="000E4C8C">
              <w:rPr>
                <w:rFonts w:cs="Arial"/>
                <w:b/>
                <w:color w:val="000000"/>
              </w:rPr>
              <w:t>Are there rules for any agreed in-year milestones that result in payment?</w:t>
            </w:r>
          </w:p>
        </w:tc>
        <w:tc>
          <w:tcPr>
            <w:tcW w:w="6440" w:type="dxa"/>
          </w:tcPr>
          <w:p w:rsidR="00FE277D" w:rsidRPr="000758CD" w:rsidRDefault="00FE277D" w:rsidP="00A15ABD">
            <w:pPr>
              <w:rPr>
                <w:rFonts w:cs="Arial"/>
                <w:color w:val="FF0000"/>
              </w:rPr>
            </w:pPr>
            <w:r>
              <w:rPr>
                <w:rFonts w:cs="Arial"/>
              </w:rPr>
              <w:t>NA</w:t>
            </w:r>
          </w:p>
        </w:tc>
      </w:tr>
      <w:tr w:rsidR="00FE277D" w:rsidRPr="009D7F8B" w:rsidTr="00A15ABD">
        <w:tc>
          <w:tcPr>
            <w:tcW w:w="2802" w:type="dxa"/>
          </w:tcPr>
          <w:p w:rsidR="00FE277D" w:rsidRPr="000E4C8C" w:rsidRDefault="00FE277D" w:rsidP="00A15ABD">
            <w:pPr>
              <w:rPr>
                <w:rFonts w:cs="Arial"/>
                <w:b/>
                <w:bCs w:val="0"/>
                <w:color w:val="000000"/>
              </w:rPr>
            </w:pPr>
            <w:r w:rsidRPr="000E4C8C">
              <w:rPr>
                <w:rFonts w:cs="Arial"/>
                <w:b/>
                <w:color w:val="000000"/>
              </w:rPr>
              <w:t>Are there any rules for partial achievement of the indicator at the final indicator period/date?</w:t>
            </w:r>
          </w:p>
        </w:tc>
        <w:tc>
          <w:tcPr>
            <w:tcW w:w="6440" w:type="dxa"/>
          </w:tcPr>
          <w:p w:rsidR="00FE277D" w:rsidRPr="00A57E29" w:rsidRDefault="00FE277D" w:rsidP="00A15ABD">
            <w:pPr>
              <w:rPr>
                <w:rFonts w:eastAsia="Calibri" w:cs="Arial"/>
                <w:bCs w:val="0"/>
                <w:color w:val="FF0000"/>
              </w:rPr>
            </w:pPr>
            <w:r>
              <w:rPr>
                <w:rFonts w:cs="Arial"/>
              </w:rPr>
              <w:t>NA</w:t>
            </w:r>
          </w:p>
        </w:tc>
      </w:tr>
    </w:tbl>
    <w:p w:rsidR="00FE277D" w:rsidRPr="009D7F8B" w:rsidRDefault="00FE277D" w:rsidP="00FE277D">
      <w:pPr>
        <w:rPr>
          <w:rFonts w:cs="Arial"/>
          <w:b/>
          <w:bCs w:val="0"/>
          <w:szCs w:val="24"/>
        </w:rPr>
      </w:pPr>
    </w:p>
    <w:p w:rsidR="000D4728" w:rsidRDefault="000D4728">
      <w:pPr>
        <w:rPr>
          <w:rFonts w:cs="Arial"/>
          <w:b/>
          <w:color w:val="0070C0"/>
          <w:szCs w:val="24"/>
        </w:rPr>
      </w:pPr>
      <w:r>
        <w:rPr>
          <w:rFonts w:cs="Arial"/>
          <w:b/>
          <w:color w:val="0070C0"/>
          <w:szCs w:val="24"/>
        </w:rPr>
        <w:br w:type="page"/>
      </w:r>
    </w:p>
    <w:p w:rsidR="00FE277D" w:rsidRPr="009D7F8B" w:rsidRDefault="00FE277D" w:rsidP="000D4728">
      <w:pPr>
        <w:pStyle w:val="Heading4"/>
        <w:rPr>
          <w:bCs/>
        </w:rPr>
      </w:pPr>
      <w:r w:rsidRPr="009D7F8B">
        <w:lastRenderedPageBreak/>
        <w:t>Milestones</w:t>
      </w:r>
      <w:r w:rsidR="000D4728">
        <w:t xml:space="preserve"> for indicator 8c – Care Homes</w:t>
      </w:r>
    </w:p>
    <w:p w:rsidR="00FE277D" w:rsidRPr="009D7F8B" w:rsidRDefault="00FE277D" w:rsidP="00FE277D">
      <w:pPr>
        <w:rPr>
          <w:rFonts w:cs="Arial"/>
          <w:b/>
          <w:bCs w:val="0"/>
          <w:color w:val="000000"/>
          <w:szCs w:val="24"/>
          <w:lang w:eastAsia="en-GB"/>
        </w:rPr>
      </w:pPr>
    </w:p>
    <w:tbl>
      <w:tblPr>
        <w:tblW w:w="935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77"/>
        <w:gridCol w:w="2801"/>
        <w:gridCol w:w="2127"/>
        <w:gridCol w:w="2551"/>
      </w:tblGrid>
      <w:tr w:rsidR="00FE277D" w:rsidRPr="009D7F8B" w:rsidTr="00A15ABD">
        <w:trPr>
          <w:cantSplit/>
          <w:trHeight w:val="722"/>
          <w:tblHeader/>
        </w:trPr>
        <w:tc>
          <w:tcPr>
            <w:tcW w:w="1877" w:type="dxa"/>
            <w:shd w:val="clear" w:color="auto" w:fill="0070C0"/>
            <w:noWrap/>
          </w:tcPr>
          <w:p w:rsidR="00FE277D" w:rsidRPr="009D7F8B" w:rsidRDefault="00FE277D" w:rsidP="00A15ABD">
            <w:pPr>
              <w:rPr>
                <w:rFonts w:cs="Arial"/>
                <w:b/>
                <w:bCs w:val="0"/>
                <w:color w:val="FFFFFF" w:themeColor="background1"/>
                <w:szCs w:val="24"/>
                <w:lang w:eastAsia="en-GB"/>
              </w:rPr>
            </w:pPr>
            <w:r w:rsidRPr="009D7F8B">
              <w:rPr>
                <w:rFonts w:cs="Arial"/>
                <w:b/>
                <w:color w:val="FFFFFF" w:themeColor="background1"/>
                <w:szCs w:val="24"/>
                <w:lang w:eastAsia="en-GB"/>
              </w:rPr>
              <w:t>Date/period milestone relates to</w:t>
            </w:r>
          </w:p>
        </w:tc>
        <w:tc>
          <w:tcPr>
            <w:tcW w:w="2801" w:type="dxa"/>
            <w:shd w:val="clear" w:color="auto" w:fill="0070C0"/>
          </w:tcPr>
          <w:p w:rsidR="00FE277D" w:rsidRPr="009D7F8B" w:rsidRDefault="00FE277D" w:rsidP="00A15ABD">
            <w:pPr>
              <w:rPr>
                <w:rFonts w:cs="Arial"/>
                <w:b/>
                <w:bCs w:val="0"/>
                <w:color w:val="FFFFFF" w:themeColor="background1"/>
                <w:szCs w:val="24"/>
                <w:lang w:eastAsia="en-GB"/>
              </w:rPr>
            </w:pPr>
            <w:r w:rsidRPr="009D7F8B">
              <w:rPr>
                <w:rFonts w:cs="Arial"/>
                <w:b/>
                <w:color w:val="FFFFFF" w:themeColor="background1"/>
                <w:szCs w:val="24"/>
                <w:lang w:eastAsia="en-GB"/>
              </w:rPr>
              <w:t>Rules for achievement of milestones (including evidence to be supplied to commissioner)</w:t>
            </w:r>
          </w:p>
        </w:tc>
        <w:tc>
          <w:tcPr>
            <w:tcW w:w="2127" w:type="dxa"/>
            <w:shd w:val="clear" w:color="auto" w:fill="0070C0"/>
          </w:tcPr>
          <w:p w:rsidR="00FE277D" w:rsidRPr="009D7F8B" w:rsidRDefault="00FE277D" w:rsidP="00A15ABD">
            <w:pPr>
              <w:rPr>
                <w:rFonts w:cs="Arial"/>
                <w:b/>
                <w:bCs w:val="0"/>
                <w:color w:val="FFFFFF" w:themeColor="background1"/>
                <w:szCs w:val="24"/>
                <w:lang w:eastAsia="en-GB"/>
              </w:rPr>
            </w:pPr>
            <w:r w:rsidRPr="009D7F8B">
              <w:rPr>
                <w:rFonts w:cs="Arial"/>
                <w:b/>
                <w:color w:val="FFFFFF" w:themeColor="background1"/>
                <w:szCs w:val="24"/>
                <w:lang w:eastAsia="en-GB"/>
              </w:rPr>
              <w:t>Date milestone to be reported</w:t>
            </w:r>
          </w:p>
        </w:tc>
        <w:tc>
          <w:tcPr>
            <w:tcW w:w="2551" w:type="dxa"/>
            <w:shd w:val="clear" w:color="auto" w:fill="0070C0"/>
          </w:tcPr>
          <w:p w:rsidR="00FE277D" w:rsidRPr="009D7F8B" w:rsidRDefault="00FE277D" w:rsidP="00A15ABD">
            <w:pPr>
              <w:rPr>
                <w:rFonts w:cs="Arial"/>
                <w:b/>
                <w:bCs w:val="0"/>
                <w:color w:val="FFFFFF" w:themeColor="background1"/>
                <w:szCs w:val="24"/>
                <w:lang w:eastAsia="en-GB"/>
              </w:rPr>
            </w:pPr>
            <w:r w:rsidRPr="009D7F8B">
              <w:rPr>
                <w:rFonts w:cs="Arial"/>
                <w:b/>
                <w:color w:val="FFFFFF" w:themeColor="background1"/>
                <w:szCs w:val="24"/>
                <w:lang w:eastAsia="en-GB"/>
              </w:rPr>
              <w:t>Milestone weighting (% of CQUIN scheme available)</w:t>
            </w:r>
          </w:p>
        </w:tc>
      </w:tr>
      <w:tr w:rsidR="00FE277D" w:rsidRPr="009D7F8B" w:rsidTr="00A15ABD">
        <w:trPr>
          <w:cantSplit/>
          <w:trHeight w:val="1592"/>
        </w:trPr>
        <w:tc>
          <w:tcPr>
            <w:tcW w:w="1877" w:type="dxa"/>
          </w:tcPr>
          <w:p w:rsidR="00FE277D" w:rsidRPr="000E4C8C" w:rsidRDefault="00FE277D" w:rsidP="00A15ABD">
            <w:pPr>
              <w:rPr>
                <w:rFonts w:cs="Arial"/>
                <w:b/>
                <w:szCs w:val="24"/>
              </w:rPr>
            </w:pPr>
            <w:r w:rsidRPr="000E4C8C">
              <w:rPr>
                <w:rFonts w:cs="Arial"/>
                <w:b/>
                <w:szCs w:val="24"/>
              </w:rPr>
              <w:t xml:space="preserve">Year 1  </w:t>
            </w:r>
          </w:p>
          <w:p w:rsidR="00FE277D" w:rsidRPr="000E4C8C" w:rsidRDefault="00FE277D" w:rsidP="00A15ABD">
            <w:pPr>
              <w:rPr>
                <w:rFonts w:cs="Arial"/>
                <w:b/>
                <w:szCs w:val="24"/>
              </w:rPr>
            </w:pPr>
            <w:r w:rsidRPr="000E4C8C">
              <w:rPr>
                <w:rFonts w:cs="Arial"/>
                <w:b/>
                <w:szCs w:val="24"/>
              </w:rPr>
              <w:t>Part a)</w:t>
            </w:r>
          </w:p>
        </w:tc>
        <w:tc>
          <w:tcPr>
            <w:tcW w:w="2801" w:type="dxa"/>
          </w:tcPr>
          <w:p w:rsidR="00FE277D" w:rsidRPr="00AA5633" w:rsidRDefault="00FE277D" w:rsidP="00A15ABD">
            <w:pPr>
              <w:rPr>
                <w:rFonts w:cs="Arial"/>
                <w:szCs w:val="24"/>
              </w:rPr>
            </w:pPr>
            <w:r w:rsidRPr="00577726">
              <w:rPr>
                <w:rFonts w:cs="Arial"/>
                <w:szCs w:val="24"/>
              </w:rPr>
              <w:t xml:space="preserve">Map and streamline existing discharge pathways across </w:t>
            </w:r>
            <w:r w:rsidRPr="000758CD">
              <w:rPr>
                <w:rFonts w:cs="Arial"/>
                <w:szCs w:val="24"/>
              </w:rPr>
              <w:t>acute, community and NHS-care home providers</w:t>
            </w:r>
            <w:r w:rsidRPr="00577726">
              <w:rPr>
                <w:rFonts w:cs="Arial"/>
                <w:szCs w:val="24"/>
              </w:rPr>
              <w:t>,</w:t>
            </w:r>
            <w:r>
              <w:rPr>
                <w:rFonts w:cs="Arial"/>
                <w:szCs w:val="24"/>
              </w:rPr>
              <w:t xml:space="preserve"> and </w:t>
            </w:r>
            <w:r w:rsidRPr="00B90B3E">
              <w:rPr>
                <w:rFonts w:cs="Arial"/>
                <w:szCs w:val="24"/>
              </w:rPr>
              <w:t xml:space="preserve">roll-out new protocols in partnership across local </w:t>
            </w:r>
            <w:r>
              <w:rPr>
                <w:rFonts w:cs="Arial"/>
                <w:szCs w:val="24"/>
              </w:rPr>
              <w:t>whole-</w:t>
            </w:r>
            <w:r w:rsidRPr="00B90B3E">
              <w:rPr>
                <w:rFonts w:cs="Arial"/>
                <w:szCs w:val="24"/>
              </w:rPr>
              <w:t>system</w:t>
            </w:r>
            <w:r>
              <w:rPr>
                <w:rFonts w:cs="Arial"/>
                <w:szCs w:val="24"/>
              </w:rPr>
              <w:t>s.</w:t>
            </w:r>
          </w:p>
        </w:tc>
        <w:tc>
          <w:tcPr>
            <w:tcW w:w="2127" w:type="dxa"/>
          </w:tcPr>
          <w:p w:rsidR="00FE277D" w:rsidRPr="00B90B3E" w:rsidRDefault="00FE277D" w:rsidP="00A15ABD">
            <w:pPr>
              <w:rPr>
                <w:rFonts w:cs="Arial"/>
                <w:bCs w:val="0"/>
                <w:szCs w:val="24"/>
              </w:rPr>
            </w:pPr>
            <w:r w:rsidRPr="00B90B3E">
              <w:rPr>
                <w:rFonts w:cs="Arial"/>
                <w:szCs w:val="24"/>
              </w:rPr>
              <w:t>End of Q</w:t>
            </w:r>
            <w:r>
              <w:rPr>
                <w:rFonts w:cs="Arial"/>
                <w:szCs w:val="24"/>
              </w:rPr>
              <w:t>2</w:t>
            </w:r>
            <w:r w:rsidRPr="00B90B3E">
              <w:rPr>
                <w:rFonts w:cs="Arial"/>
                <w:szCs w:val="24"/>
              </w:rPr>
              <w:t xml:space="preserve"> 2017/18</w:t>
            </w:r>
          </w:p>
        </w:tc>
        <w:tc>
          <w:tcPr>
            <w:tcW w:w="2551" w:type="dxa"/>
          </w:tcPr>
          <w:p w:rsidR="00FE277D" w:rsidRPr="00DA4C5C" w:rsidRDefault="00FE277D" w:rsidP="00A15ABD">
            <w:pPr>
              <w:rPr>
                <w:rFonts w:cs="Arial"/>
                <w:bCs w:val="0"/>
                <w:szCs w:val="24"/>
              </w:rPr>
            </w:pPr>
            <w:r>
              <w:rPr>
                <w:rFonts w:cs="Arial"/>
                <w:szCs w:val="24"/>
              </w:rPr>
              <w:t>60% of 10</w:t>
            </w:r>
            <w:r w:rsidRPr="00DA4C5C">
              <w:rPr>
                <w:rFonts w:cs="Arial"/>
                <w:szCs w:val="24"/>
              </w:rPr>
              <w:t>0%</w:t>
            </w:r>
            <w:r>
              <w:rPr>
                <w:rFonts w:cs="Arial"/>
                <w:szCs w:val="24"/>
              </w:rPr>
              <w:t xml:space="preserve"> of Year 1</w:t>
            </w:r>
          </w:p>
        </w:tc>
      </w:tr>
      <w:tr w:rsidR="00FE277D" w:rsidRPr="009D7F8B" w:rsidTr="00A15ABD">
        <w:trPr>
          <w:cantSplit/>
          <w:trHeight w:val="928"/>
        </w:trPr>
        <w:tc>
          <w:tcPr>
            <w:tcW w:w="1877" w:type="dxa"/>
          </w:tcPr>
          <w:p w:rsidR="00FE277D" w:rsidRPr="000E4C8C" w:rsidRDefault="00FE277D" w:rsidP="00A15ABD">
            <w:pPr>
              <w:rPr>
                <w:rFonts w:cs="Arial"/>
                <w:b/>
                <w:szCs w:val="24"/>
              </w:rPr>
            </w:pPr>
            <w:r w:rsidRPr="000E4C8C">
              <w:rPr>
                <w:rFonts w:cs="Arial"/>
                <w:b/>
                <w:szCs w:val="24"/>
              </w:rPr>
              <w:t>Part b)</w:t>
            </w:r>
          </w:p>
          <w:p w:rsidR="00FE277D" w:rsidRPr="000E4C8C" w:rsidRDefault="00FE277D" w:rsidP="00A15ABD">
            <w:pPr>
              <w:rPr>
                <w:rFonts w:cs="Arial"/>
                <w:b/>
                <w:szCs w:val="24"/>
              </w:rPr>
            </w:pPr>
          </w:p>
        </w:tc>
        <w:tc>
          <w:tcPr>
            <w:tcW w:w="2801" w:type="dxa"/>
            <w:tcBorders>
              <w:top w:val="single" w:sz="4" w:space="0" w:color="BFBFBF" w:themeColor="background1" w:themeShade="BF"/>
            </w:tcBorders>
          </w:tcPr>
          <w:p w:rsidR="00FE277D" w:rsidRDefault="00FE277D" w:rsidP="00A15ABD">
            <w:pPr>
              <w:rPr>
                <w:rFonts w:cs="Arial"/>
                <w:szCs w:val="24"/>
              </w:rPr>
            </w:pPr>
            <w:r w:rsidRPr="00AB3933">
              <w:rPr>
                <w:rFonts w:cs="Arial"/>
                <w:szCs w:val="24"/>
              </w:rPr>
              <w:t xml:space="preserve">Locally agree </w:t>
            </w:r>
            <w:r>
              <w:rPr>
                <w:rFonts w:cs="Arial"/>
                <w:szCs w:val="24"/>
              </w:rPr>
              <w:t>a patient e</w:t>
            </w:r>
            <w:r w:rsidRPr="00AB3933">
              <w:rPr>
                <w:rFonts w:cs="Arial"/>
                <w:szCs w:val="24"/>
              </w:rPr>
              <w:t>xperience measure or PROM for patients discharged to care home through D2</w:t>
            </w:r>
            <w:r>
              <w:rPr>
                <w:rFonts w:cs="Arial"/>
                <w:szCs w:val="24"/>
              </w:rPr>
              <w:t>A.</w:t>
            </w:r>
          </w:p>
          <w:p w:rsidR="00FE277D" w:rsidRPr="001F3C54" w:rsidRDefault="00FE277D" w:rsidP="00A15ABD">
            <w:pPr>
              <w:rPr>
                <w:rFonts w:cs="Arial"/>
                <w:szCs w:val="24"/>
              </w:rPr>
            </w:pPr>
            <w:r w:rsidRPr="00744410">
              <w:rPr>
                <w:rFonts w:cs="Arial"/>
                <w:szCs w:val="24"/>
              </w:rPr>
              <w:t>Part b) Care home provider requirement</w:t>
            </w:r>
            <w:r w:rsidR="001F3C54" w:rsidRPr="00316993">
              <w:rPr>
                <w:rFonts w:cs="Arial"/>
                <w:szCs w:val="24"/>
              </w:rPr>
              <w:t xml:space="preserve"> or metri</w:t>
            </w:r>
            <w:r w:rsidR="001F3C54">
              <w:rPr>
                <w:rFonts w:cs="Arial"/>
                <w:szCs w:val="24"/>
              </w:rPr>
              <w:t>cs associated with delivery of P</w:t>
            </w:r>
            <w:r w:rsidR="001F3C54" w:rsidRPr="00316993">
              <w:rPr>
                <w:rFonts w:cs="Arial"/>
                <w:szCs w:val="24"/>
              </w:rPr>
              <w:t>art a.</w:t>
            </w:r>
          </w:p>
        </w:tc>
        <w:tc>
          <w:tcPr>
            <w:tcW w:w="2127" w:type="dxa"/>
            <w:tcBorders>
              <w:top w:val="single" w:sz="4" w:space="0" w:color="BFBFBF" w:themeColor="background1" w:themeShade="BF"/>
            </w:tcBorders>
          </w:tcPr>
          <w:p w:rsidR="00FE277D" w:rsidRDefault="00FE277D" w:rsidP="00A15ABD">
            <w:pPr>
              <w:rPr>
                <w:rFonts w:cs="Arial"/>
                <w:bCs w:val="0"/>
                <w:szCs w:val="24"/>
              </w:rPr>
            </w:pPr>
            <w:r>
              <w:rPr>
                <w:rFonts w:cs="Arial"/>
                <w:szCs w:val="24"/>
              </w:rPr>
              <w:t xml:space="preserve">End of Q4 2017/18 </w:t>
            </w:r>
          </w:p>
          <w:p w:rsidR="00FE277D" w:rsidRPr="00B90B3E" w:rsidRDefault="00FE277D" w:rsidP="00A15ABD">
            <w:pPr>
              <w:rPr>
                <w:rFonts w:cs="Arial"/>
                <w:bCs w:val="0"/>
                <w:szCs w:val="24"/>
              </w:rPr>
            </w:pPr>
          </w:p>
        </w:tc>
        <w:tc>
          <w:tcPr>
            <w:tcW w:w="2551" w:type="dxa"/>
            <w:tcBorders>
              <w:top w:val="single" w:sz="4" w:space="0" w:color="BFBFBF" w:themeColor="background1" w:themeShade="BF"/>
            </w:tcBorders>
          </w:tcPr>
          <w:p w:rsidR="00FE277D" w:rsidRPr="00DA4C5C" w:rsidRDefault="00FE277D" w:rsidP="00A15ABD">
            <w:pPr>
              <w:rPr>
                <w:rFonts w:cs="Arial"/>
                <w:bCs w:val="0"/>
                <w:szCs w:val="24"/>
              </w:rPr>
            </w:pPr>
            <w:r>
              <w:rPr>
                <w:rFonts w:cs="Arial"/>
                <w:szCs w:val="24"/>
              </w:rPr>
              <w:t>4</w:t>
            </w:r>
            <w:r w:rsidDel="005C2ACA">
              <w:rPr>
                <w:rFonts w:cs="Arial"/>
                <w:szCs w:val="24"/>
              </w:rPr>
              <w:t>0</w:t>
            </w:r>
            <w:r>
              <w:rPr>
                <w:rFonts w:cs="Arial"/>
                <w:szCs w:val="24"/>
              </w:rPr>
              <w:t>% of 10</w:t>
            </w:r>
            <w:r w:rsidRPr="00DA4C5C">
              <w:rPr>
                <w:rFonts w:cs="Arial"/>
                <w:szCs w:val="24"/>
              </w:rPr>
              <w:t>0%</w:t>
            </w:r>
            <w:r>
              <w:rPr>
                <w:rFonts w:cs="Arial"/>
                <w:szCs w:val="24"/>
              </w:rPr>
              <w:t xml:space="preserve"> of Year 1</w:t>
            </w:r>
          </w:p>
        </w:tc>
      </w:tr>
      <w:tr w:rsidR="00FE277D" w:rsidRPr="009D7F8B" w:rsidTr="00A15ABD">
        <w:trPr>
          <w:cantSplit/>
          <w:trHeight w:val="953"/>
        </w:trPr>
        <w:tc>
          <w:tcPr>
            <w:tcW w:w="1877" w:type="dxa"/>
          </w:tcPr>
          <w:p w:rsidR="00FE277D" w:rsidRPr="000E4C8C" w:rsidRDefault="00FE277D" w:rsidP="00FE277D">
            <w:pPr>
              <w:rPr>
                <w:rFonts w:cs="Arial"/>
                <w:b/>
                <w:szCs w:val="24"/>
              </w:rPr>
            </w:pPr>
            <w:r w:rsidRPr="000E4C8C">
              <w:rPr>
                <w:rFonts w:cs="Arial"/>
                <w:b/>
                <w:szCs w:val="24"/>
              </w:rPr>
              <w:t>Year 2</w:t>
            </w:r>
          </w:p>
          <w:p w:rsidR="00FE277D" w:rsidRPr="000E4C8C" w:rsidRDefault="00FE277D" w:rsidP="00FE277D">
            <w:pPr>
              <w:rPr>
                <w:rFonts w:cs="Arial"/>
                <w:b/>
                <w:szCs w:val="24"/>
              </w:rPr>
            </w:pPr>
            <w:r w:rsidRPr="000E4C8C">
              <w:rPr>
                <w:rFonts w:cs="Arial"/>
                <w:b/>
                <w:szCs w:val="24"/>
              </w:rPr>
              <w:t>Part a)</w:t>
            </w:r>
          </w:p>
        </w:tc>
        <w:tc>
          <w:tcPr>
            <w:tcW w:w="2801" w:type="dxa"/>
            <w:tcBorders>
              <w:top w:val="single" w:sz="4" w:space="0" w:color="BFBFBF" w:themeColor="background1" w:themeShade="BF"/>
            </w:tcBorders>
          </w:tcPr>
          <w:p w:rsidR="00FE277D" w:rsidRPr="00E863EF" w:rsidRDefault="00FE277D" w:rsidP="00A15ABD">
            <w:pPr>
              <w:autoSpaceDE w:val="0"/>
              <w:autoSpaceDN w:val="0"/>
              <w:adjustRightInd w:val="0"/>
              <w:rPr>
                <w:rFonts w:cs="Arial"/>
                <w:szCs w:val="24"/>
              </w:rPr>
            </w:pPr>
            <w:r w:rsidRPr="00AB3933">
              <w:rPr>
                <w:rFonts w:cs="Arial"/>
                <w:szCs w:val="24"/>
              </w:rPr>
              <w:t>Collection and analysis of Patient Experience measure or PROM for patients discharged to care home through D2A (Minimum 100 Sample)</w:t>
            </w:r>
            <w:r w:rsidR="001F3C54" w:rsidRPr="00316993">
              <w:rPr>
                <w:rFonts w:cs="Arial"/>
                <w:szCs w:val="24"/>
              </w:rPr>
              <w:t xml:space="preserve"> or metrics associated with delivery of </w:t>
            </w:r>
            <w:r w:rsidR="001F3C54">
              <w:rPr>
                <w:rFonts w:cs="Arial"/>
                <w:szCs w:val="24"/>
              </w:rPr>
              <w:t>year 1 P</w:t>
            </w:r>
            <w:r w:rsidR="001F3C54" w:rsidRPr="00316993">
              <w:rPr>
                <w:rFonts w:cs="Arial"/>
                <w:szCs w:val="24"/>
              </w:rPr>
              <w:t>art a.</w:t>
            </w:r>
          </w:p>
        </w:tc>
        <w:tc>
          <w:tcPr>
            <w:tcW w:w="2127" w:type="dxa"/>
            <w:tcBorders>
              <w:top w:val="single" w:sz="4" w:space="0" w:color="BFBFBF" w:themeColor="background1" w:themeShade="BF"/>
            </w:tcBorders>
          </w:tcPr>
          <w:p w:rsidR="00FE277D" w:rsidRDefault="00FE277D" w:rsidP="00A15ABD">
            <w:pPr>
              <w:rPr>
                <w:rFonts w:cs="Arial"/>
                <w:bCs w:val="0"/>
                <w:szCs w:val="24"/>
              </w:rPr>
            </w:pPr>
            <w:r>
              <w:rPr>
                <w:rFonts w:cs="Arial"/>
                <w:szCs w:val="24"/>
              </w:rPr>
              <w:t xml:space="preserve">End of Q2 </w:t>
            </w:r>
            <w:r w:rsidRPr="00F3289B">
              <w:rPr>
                <w:rFonts w:cs="Arial"/>
                <w:szCs w:val="24"/>
              </w:rPr>
              <w:t>201</w:t>
            </w:r>
            <w:r>
              <w:rPr>
                <w:rFonts w:cs="Arial"/>
                <w:szCs w:val="24"/>
              </w:rPr>
              <w:t>8/19</w:t>
            </w:r>
          </w:p>
          <w:p w:rsidR="00FE277D" w:rsidRPr="00B90B3E" w:rsidRDefault="00FE277D" w:rsidP="00A15ABD">
            <w:pPr>
              <w:rPr>
                <w:rFonts w:cs="Arial"/>
                <w:bCs w:val="0"/>
                <w:szCs w:val="24"/>
              </w:rPr>
            </w:pPr>
            <w:r>
              <w:rPr>
                <w:rFonts w:cs="Arial"/>
                <w:szCs w:val="24"/>
              </w:rPr>
              <w:t>End of Q4 2018/19</w:t>
            </w:r>
            <w:r w:rsidRPr="00F3289B">
              <w:rPr>
                <w:rFonts w:cs="Arial"/>
                <w:szCs w:val="24"/>
              </w:rPr>
              <w:t xml:space="preserve"> </w:t>
            </w:r>
          </w:p>
        </w:tc>
        <w:tc>
          <w:tcPr>
            <w:tcW w:w="2551" w:type="dxa"/>
            <w:tcBorders>
              <w:top w:val="single" w:sz="4" w:space="0" w:color="BFBFBF" w:themeColor="background1" w:themeShade="BF"/>
            </w:tcBorders>
          </w:tcPr>
          <w:p w:rsidR="00FE277D" w:rsidRDefault="00FE277D" w:rsidP="00A15ABD">
            <w:pPr>
              <w:rPr>
                <w:rFonts w:cs="Arial"/>
                <w:bCs w:val="0"/>
                <w:szCs w:val="24"/>
              </w:rPr>
            </w:pPr>
            <w:r>
              <w:rPr>
                <w:rFonts w:cs="Arial"/>
                <w:szCs w:val="24"/>
              </w:rPr>
              <w:t>35</w:t>
            </w:r>
            <w:r w:rsidDel="005C2ACA">
              <w:rPr>
                <w:rFonts w:cs="Arial"/>
                <w:szCs w:val="24"/>
              </w:rPr>
              <w:t xml:space="preserve">% of </w:t>
            </w:r>
            <w:r>
              <w:rPr>
                <w:rFonts w:cs="Arial"/>
                <w:szCs w:val="24"/>
              </w:rPr>
              <w:t>10</w:t>
            </w:r>
            <w:r w:rsidRPr="00DA4C5C">
              <w:rPr>
                <w:rFonts w:cs="Arial"/>
                <w:szCs w:val="24"/>
              </w:rPr>
              <w:t>0%</w:t>
            </w:r>
            <w:r>
              <w:rPr>
                <w:rFonts w:cs="Arial"/>
                <w:szCs w:val="24"/>
              </w:rPr>
              <w:t xml:space="preserve"> of Year 2</w:t>
            </w:r>
          </w:p>
          <w:p w:rsidR="00FE277D" w:rsidRPr="00DA4C5C" w:rsidRDefault="00FE277D" w:rsidP="00A15ABD">
            <w:pPr>
              <w:rPr>
                <w:rFonts w:cs="Arial"/>
                <w:bCs w:val="0"/>
                <w:szCs w:val="24"/>
              </w:rPr>
            </w:pPr>
            <w:r>
              <w:rPr>
                <w:rFonts w:cs="Arial"/>
                <w:szCs w:val="24"/>
              </w:rPr>
              <w:t>3</w:t>
            </w:r>
            <w:r w:rsidRPr="001A5BA3">
              <w:rPr>
                <w:rFonts w:cs="Arial"/>
                <w:szCs w:val="24"/>
              </w:rPr>
              <w:t>5% of 100% of Year 2</w:t>
            </w:r>
          </w:p>
        </w:tc>
      </w:tr>
    </w:tbl>
    <w:p w:rsidR="00FE277D" w:rsidRPr="00FE277D" w:rsidRDefault="00FE277D" w:rsidP="00FE277D">
      <w:pPr>
        <w:rPr>
          <w:lang w:eastAsia="en-GB"/>
        </w:rPr>
      </w:pPr>
    </w:p>
    <w:p w:rsidR="00DF18AB" w:rsidRPr="00DF18AB" w:rsidRDefault="00DF18AB" w:rsidP="00DF18AB">
      <w:pPr>
        <w:rPr>
          <w:b/>
          <w:lang w:eastAsia="en-GB"/>
        </w:rPr>
      </w:pPr>
    </w:p>
    <w:p w:rsidR="00DF18AB" w:rsidRPr="00DF18AB" w:rsidRDefault="00DF18AB" w:rsidP="00DF18AB">
      <w:pPr>
        <w:rPr>
          <w:rFonts w:cs="Arial"/>
          <w:b/>
          <w:color w:val="0072C6"/>
          <w:kern w:val="32"/>
          <w:sz w:val="32"/>
          <w:szCs w:val="32"/>
          <w:lang w:eastAsia="en-GB"/>
        </w:rPr>
      </w:pPr>
    </w:p>
    <w:p w:rsidR="00DF18AB" w:rsidRPr="00DF18AB" w:rsidRDefault="00DF18AB" w:rsidP="00DF18AB">
      <w:pPr>
        <w:rPr>
          <w:rFonts w:cs="Arial"/>
          <w:b/>
          <w:color w:val="0072C6"/>
          <w:kern w:val="32"/>
          <w:sz w:val="32"/>
          <w:szCs w:val="32"/>
          <w:lang w:eastAsia="en-GB"/>
        </w:rPr>
      </w:pPr>
      <w:r w:rsidRPr="00DF18AB">
        <w:rPr>
          <w:lang w:eastAsia="en-GB"/>
        </w:rPr>
        <w:br w:type="page"/>
      </w:r>
    </w:p>
    <w:p w:rsidR="00DF18AB" w:rsidRPr="00DF18AB" w:rsidRDefault="00DF18AB" w:rsidP="00DF18AB">
      <w:pPr>
        <w:numPr>
          <w:ilvl w:val="0"/>
          <w:numId w:val="2"/>
        </w:numPr>
        <w:outlineLvl w:val="0"/>
        <w:rPr>
          <w:rFonts w:cs="Arial"/>
          <w:b/>
          <w:color w:val="0072C6"/>
          <w:kern w:val="32"/>
          <w:sz w:val="32"/>
          <w:szCs w:val="32"/>
          <w:lang w:eastAsia="en-GB"/>
        </w:rPr>
      </w:pPr>
      <w:bookmarkStart w:id="69" w:name="_Toc466290257"/>
      <w:r w:rsidRPr="00DF18AB">
        <w:rPr>
          <w:rFonts w:cs="Arial"/>
          <w:b/>
          <w:color w:val="0072C6"/>
          <w:kern w:val="32"/>
          <w:sz w:val="32"/>
          <w:szCs w:val="32"/>
          <w:lang w:eastAsia="en-GB"/>
        </w:rPr>
        <w:lastRenderedPageBreak/>
        <w:t>Preventing ill health by risky behaviours – alcohol and tobacco</w:t>
      </w:r>
      <w:bookmarkEnd w:id="69"/>
    </w:p>
    <w:p w:rsidR="00DF18AB" w:rsidRPr="00DF18AB" w:rsidRDefault="00DF18AB" w:rsidP="00DF18AB">
      <w:pPr>
        <w:rPr>
          <w:lang w:eastAsia="en-GB"/>
        </w:rPr>
      </w:pPr>
    </w:p>
    <w:p w:rsidR="00DF18AB" w:rsidRPr="00DF18AB" w:rsidRDefault="00DF18AB" w:rsidP="00DF18AB">
      <w:r w:rsidRPr="00DF18AB">
        <w:t xml:space="preserve">There are five parts to this CQUIN indicator. </w:t>
      </w:r>
    </w:p>
    <w:p w:rsidR="00DF18AB" w:rsidRPr="00DF18AB" w:rsidRDefault="00DF18AB" w:rsidP="00DF18AB"/>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977"/>
        <w:gridCol w:w="3402"/>
      </w:tblGrid>
      <w:tr w:rsidR="00DF18AB" w:rsidRPr="00DF18AB" w:rsidTr="00593B8C">
        <w:trPr>
          <w:trHeight w:val="864"/>
        </w:trPr>
        <w:tc>
          <w:tcPr>
            <w:tcW w:w="2376" w:type="dxa"/>
            <w:shd w:val="clear" w:color="auto" w:fill="0070C0"/>
          </w:tcPr>
          <w:p w:rsidR="00DF18AB" w:rsidRPr="00DF18AB" w:rsidRDefault="00DF18AB" w:rsidP="00DF18AB">
            <w:pPr>
              <w:jc w:val="center"/>
              <w:rPr>
                <w:rFonts w:cs="Arial"/>
                <w:b/>
                <w:color w:val="FFFFFF"/>
                <w:szCs w:val="24"/>
              </w:rPr>
            </w:pPr>
            <w:r w:rsidRPr="00DF18AB">
              <w:rPr>
                <w:rFonts w:cs="Arial"/>
                <w:color w:val="FFFFFF"/>
                <w:szCs w:val="24"/>
              </w:rPr>
              <w:br w:type="page"/>
            </w:r>
            <w:r w:rsidRPr="00DF18AB">
              <w:rPr>
                <w:rFonts w:cs="Arial"/>
                <w:b/>
                <w:color w:val="FFFFFF"/>
                <w:szCs w:val="24"/>
              </w:rPr>
              <w:t>National CQUIN</w:t>
            </w:r>
          </w:p>
        </w:tc>
        <w:tc>
          <w:tcPr>
            <w:tcW w:w="2977" w:type="dxa"/>
            <w:shd w:val="clear" w:color="auto" w:fill="0070C0"/>
          </w:tcPr>
          <w:p w:rsidR="00DF18AB" w:rsidRPr="00DF18AB" w:rsidRDefault="00DF18AB" w:rsidP="00DF18AB">
            <w:pPr>
              <w:jc w:val="center"/>
              <w:rPr>
                <w:rFonts w:cs="Arial"/>
                <w:b/>
                <w:color w:val="FFFFFF"/>
                <w:szCs w:val="24"/>
              </w:rPr>
            </w:pPr>
            <w:r w:rsidRPr="00DF18AB">
              <w:rPr>
                <w:rFonts w:cs="Arial"/>
                <w:b/>
                <w:color w:val="FFFFFF"/>
                <w:szCs w:val="24"/>
              </w:rPr>
              <w:t>Indicator</w:t>
            </w:r>
          </w:p>
        </w:tc>
        <w:tc>
          <w:tcPr>
            <w:tcW w:w="3402" w:type="dxa"/>
            <w:shd w:val="clear" w:color="auto" w:fill="0070C0"/>
          </w:tcPr>
          <w:p w:rsidR="00DF18AB" w:rsidRPr="00DF18AB" w:rsidRDefault="00DF18AB" w:rsidP="00DF18AB">
            <w:pPr>
              <w:jc w:val="center"/>
              <w:rPr>
                <w:rFonts w:cs="Arial"/>
                <w:b/>
                <w:bCs w:val="0"/>
                <w:color w:val="FFFFFF"/>
                <w:szCs w:val="24"/>
                <w:lang w:val="en-US"/>
              </w:rPr>
            </w:pPr>
            <w:r w:rsidRPr="00DF18AB">
              <w:rPr>
                <w:rFonts w:cs="Arial"/>
                <w:b/>
                <w:bCs w:val="0"/>
                <w:color w:val="FFFFFF"/>
                <w:szCs w:val="24"/>
                <w:lang w:val="en-US"/>
              </w:rPr>
              <w:t>Indicator weighting (% of CQUIN scheme available)</w:t>
            </w:r>
          </w:p>
          <w:p w:rsidR="00DF18AB" w:rsidRPr="00DF18AB" w:rsidRDefault="00DF18AB" w:rsidP="00DF18AB">
            <w:pPr>
              <w:jc w:val="center"/>
              <w:rPr>
                <w:rFonts w:cs="Arial"/>
                <w:b/>
                <w:color w:val="FFFFFF"/>
                <w:szCs w:val="24"/>
              </w:rPr>
            </w:pPr>
          </w:p>
        </w:tc>
      </w:tr>
      <w:tr w:rsidR="00DF18AB" w:rsidRPr="00DF18AB" w:rsidTr="00593B8C">
        <w:trPr>
          <w:trHeight w:val="191"/>
        </w:trPr>
        <w:tc>
          <w:tcPr>
            <w:tcW w:w="2376" w:type="dxa"/>
            <w:shd w:val="clear" w:color="auto" w:fill="auto"/>
          </w:tcPr>
          <w:p w:rsidR="00DF18AB" w:rsidRPr="00DF18AB" w:rsidRDefault="00DF18AB" w:rsidP="00DF18AB">
            <w:pPr>
              <w:rPr>
                <w:rFonts w:cs="Arial"/>
                <w:szCs w:val="24"/>
              </w:rPr>
            </w:pPr>
            <w:r w:rsidRPr="00DF18AB">
              <w:rPr>
                <w:rFonts w:cs="Arial"/>
                <w:szCs w:val="24"/>
              </w:rPr>
              <w:t>CQUIN 9 - Tobacco</w:t>
            </w:r>
          </w:p>
          <w:p w:rsidR="00DF18AB" w:rsidRPr="00DF18AB" w:rsidRDefault="00DF18AB" w:rsidP="00DF18AB">
            <w:pPr>
              <w:rPr>
                <w:rFonts w:cs="Arial"/>
                <w:szCs w:val="24"/>
              </w:rPr>
            </w:pPr>
            <w:r w:rsidRPr="00DF18AB">
              <w:rPr>
                <w:rFonts w:cs="Arial"/>
                <w:szCs w:val="24"/>
              </w:rPr>
              <w:t xml:space="preserve"> </w:t>
            </w:r>
          </w:p>
        </w:tc>
        <w:tc>
          <w:tcPr>
            <w:tcW w:w="2977" w:type="dxa"/>
            <w:shd w:val="clear" w:color="auto" w:fill="auto"/>
          </w:tcPr>
          <w:p w:rsidR="00DF18AB" w:rsidRPr="00DF18AB" w:rsidRDefault="00DF18AB" w:rsidP="00DF18AB">
            <w:pPr>
              <w:rPr>
                <w:rFonts w:cs="Arial"/>
                <w:szCs w:val="24"/>
              </w:rPr>
            </w:pPr>
            <w:r w:rsidRPr="00DF18AB">
              <w:rPr>
                <w:rFonts w:cs="Arial"/>
                <w:szCs w:val="24"/>
              </w:rPr>
              <w:t>9a Tobacco screening</w:t>
            </w:r>
          </w:p>
        </w:tc>
        <w:tc>
          <w:tcPr>
            <w:tcW w:w="3402" w:type="dxa"/>
            <w:shd w:val="clear" w:color="auto" w:fill="auto"/>
          </w:tcPr>
          <w:p w:rsidR="00DF18AB" w:rsidRPr="00DF18AB" w:rsidRDefault="00DF18AB" w:rsidP="00DF18AB">
            <w:pPr>
              <w:jc w:val="center"/>
              <w:rPr>
                <w:rFonts w:cs="Arial"/>
                <w:szCs w:val="24"/>
              </w:rPr>
            </w:pPr>
            <w:r w:rsidRPr="00DF18AB">
              <w:rPr>
                <w:rFonts w:cs="Arial"/>
                <w:szCs w:val="24"/>
              </w:rPr>
              <w:t>5%</w:t>
            </w:r>
            <w:r w:rsidR="00311336">
              <w:rPr>
                <w:rFonts w:cs="Arial"/>
                <w:szCs w:val="24"/>
              </w:rPr>
              <w:t xml:space="preserve"> of 0.25% (0.0125%)</w:t>
            </w:r>
          </w:p>
        </w:tc>
      </w:tr>
      <w:tr w:rsidR="00DF18AB" w:rsidRPr="00DF18AB" w:rsidTr="00593B8C">
        <w:trPr>
          <w:trHeight w:val="509"/>
        </w:trPr>
        <w:tc>
          <w:tcPr>
            <w:tcW w:w="2376" w:type="dxa"/>
            <w:shd w:val="clear" w:color="auto" w:fill="auto"/>
          </w:tcPr>
          <w:p w:rsidR="00DF18AB" w:rsidRPr="00DF18AB" w:rsidRDefault="00DF18AB" w:rsidP="00DF18AB">
            <w:pPr>
              <w:rPr>
                <w:rFonts w:cs="Arial"/>
                <w:szCs w:val="24"/>
              </w:rPr>
            </w:pPr>
          </w:p>
        </w:tc>
        <w:tc>
          <w:tcPr>
            <w:tcW w:w="2977" w:type="dxa"/>
            <w:shd w:val="clear" w:color="auto" w:fill="auto"/>
          </w:tcPr>
          <w:p w:rsidR="00DF18AB" w:rsidRPr="00DF18AB" w:rsidRDefault="00DF18AB" w:rsidP="00DF18AB">
            <w:pPr>
              <w:rPr>
                <w:rFonts w:cs="Arial"/>
                <w:bCs w:val="0"/>
                <w:color w:val="000000"/>
                <w:szCs w:val="24"/>
                <w:lang w:val="en-US"/>
              </w:rPr>
            </w:pPr>
            <w:r w:rsidRPr="00DF18AB">
              <w:rPr>
                <w:rFonts w:cs="Arial"/>
                <w:szCs w:val="24"/>
              </w:rPr>
              <w:t>9b Tobacco brief advice</w:t>
            </w:r>
          </w:p>
        </w:tc>
        <w:tc>
          <w:tcPr>
            <w:tcW w:w="3402" w:type="dxa"/>
            <w:shd w:val="clear" w:color="auto" w:fill="auto"/>
          </w:tcPr>
          <w:p w:rsidR="00DF18AB" w:rsidRPr="00DF18AB" w:rsidRDefault="00DF18AB" w:rsidP="00DF18AB">
            <w:pPr>
              <w:jc w:val="center"/>
              <w:rPr>
                <w:rFonts w:cs="Arial"/>
                <w:szCs w:val="24"/>
              </w:rPr>
            </w:pPr>
            <w:r w:rsidRPr="00DF18AB">
              <w:rPr>
                <w:rFonts w:cs="Arial"/>
                <w:szCs w:val="24"/>
              </w:rPr>
              <w:t>20%</w:t>
            </w:r>
            <w:r w:rsidR="00311336">
              <w:rPr>
                <w:rFonts w:cs="Arial"/>
                <w:szCs w:val="24"/>
              </w:rPr>
              <w:t xml:space="preserve"> of 0.25% (0.05%)</w:t>
            </w:r>
          </w:p>
        </w:tc>
      </w:tr>
      <w:tr w:rsidR="00DF18AB" w:rsidRPr="00DF18AB" w:rsidTr="00593B8C">
        <w:trPr>
          <w:trHeight w:val="509"/>
        </w:trPr>
        <w:tc>
          <w:tcPr>
            <w:tcW w:w="2376" w:type="dxa"/>
            <w:shd w:val="clear" w:color="auto" w:fill="auto"/>
          </w:tcPr>
          <w:p w:rsidR="00DF18AB" w:rsidRPr="00DF18AB" w:rsidRDefault="00DF18AB" w:rsidP="00DF18AB">
            <w:pPr>
              <w:rPr>
                <w:rFonts w:cs="Arial"/>
                <w:szCs w:val="24"/>
              </w:rPr>
            </w:pPr>
          </w:p>
        </w:tc>
        <w:tc>
          <w:tcPr>
            <w:tcW w:w="2977" w:type="dxa"/>
            <w:shd w:val="clear" w:color="auto" w:fill="auto"/>
          </w:tcPr>
          <w:p w:rsidR="00DF18AB" w:rsidRPr="00DF18AB" w:rsidRDefault="00DF18AB" w:rsidP="00DF18AB">
            <w:pPr>
              <w:rPr>
                <w:rFonts w:cs="Arial"/>
                <w:szCs w:val="24"/>
              </w:rPr>
            </w:pPr>
            <w:r w:rsidRPr="00DF18AB">
              <w:rPr>
                <w:rFonts w:cs="Arial"/>
                <w:szCs w:val="24"/>
              </w:rPr>
              <w:t>9c Tobacco referral and medication</w:t>
            </w:r>
            <w:r w:rsidR="00570226">
              <w:rPr>
                <w:rFonts w:cs="Arial"/>
                <w:szCs w:val="24"/>
              </w:rPr>
              <w:t xml:space="preserve"> offer</w:t>
            </w:r>
          </w:p>
        </w:tc>
        <w:tc>
          <w:tcPr>
            <w:tcW w:w="3402" w:type="dxa"/>
            <w:shd w:val="clear" w:color="auto" w:fill="auto"/>
          </w:tcPr>
          <w:p w:rsidR="00DF18AB" w:rsidRPr="00DF18AB" w:rsidRDefault="00DF18AB" w:rsidP="00DF18AB">
            <w:pPr>
              <w:jc w:val="center"/>
              <w:rPr>
                <w:rFonts w:cs="Arial"/>
                <w:szCs w:val="24"/>
              </w:rPr>
            </w:pPr>
            <w:r w:rsidRPr="00DF18AB">
              <w:rPr>
                <w:rFonts w:cs="Arial"/>
                <w:szCs w:val="24"/>
              </w:rPr>
              <w:t>25%</w:t>
            </w:r>
            <w:r w:rsidR="00311336">
              <w:rPr>
                <w:rFonts w:cs="Arial"/>
                <w:szCs w:val="24"/>
              </w:rPr>
              <w:t xml:space="preserve"> of 0.25% (0.0625%)</w:t>
            </w:r>
          </w:p>
        </w:tc>
      </w:tr>
      <w:tr w:rsidR="00DF18AB" w:rsidRPr="00DF18AB" w:rsidTr="00593B8C">
        <w:trPr>
          <w:trHeight w:val="509"/>
        </w:trPr>
        <w:tc>
          <w:tcPr>
            <w:tcW w:w="2376" w:type="dxa"/>
            <w:shd w:val="clear" w:color="auto" w:fill="auto"/>
          </w:tcPr>
          <w:p w:rsidR="00DF18AB" w:rsidRPr="00DF18AB" w:rsidRDefault="00DF18AB" w:rsidP="00DF18AB">
            <w:pPr>
              <w:rPr>
                <w:rFonts w:cs="Arial"/>
                <w:szCs w:val="24"/>
              </w:rPr>
            </w:pPr>
            <w:r w:rsidRPr="00DF18AB">
              <w:rPr>
                <w:rFonts w:cs="Arial"/>
                <w:szCs w:val="24"/>
              </w:rPr>
              <w:t>CQUIN 9 – Alcohol</w:t>
            </w:r>
          </w:p>
          <w:p w:rsidR="00DF18AB" w:rsidRPr="00DF18AB" w:rsidRDefault="00DF18AB" w:rsidP="00DF18AB">
            <w:pPr>
              <w:rPr>
                <w:rFonts w:cs="Arial"/>
                <w:szCs w:val="24"/>
              </w:rPr>
            </w:pPr>
          </w:p>
        </w:tc>
        <w:tc>
          <w:tcPr>
            <w:tcW w:w="2977" w:type="dxa"/>
            <w:shd w:val="clear" w:color="auto" w:fill="auto"/>
          </w:tcPr>
          <w:p w:rsidR="00DF18AB" w:rsidRPr="00DF18AB" w:rsidRDefault="00DF18AB" w:rsidP="00DF18AB">
            <w:pPr>
              <w:rPr>
                <w:rFonts w:cs="Arial"/>
                <w:szCs w:val="24"/>
              </w:rPr>
            </w:pPr>
            <w:r w:rsidRPr="00DF18AB">
              <w:rPr>
                <w:rFonts w:cs="Arial"/>
                <w:szCs w:val="24"/>
              </w:rPr>
              <w:t>9d Alcohol screening</w:t>
            </w:r>
          </w:p>
        </w:tc>
        <w:tc>
          <w:tcPr>
            <w:tcW w:w="3402" w:type="dxa"/>
            <w:shd w:val="clear" w:color="auto" w:fill="auto"/>
          </w:tcPr>
          <w:p w:rsidR="00DF18AB" w:rsidRPr="00DF18AB" w:rsidRDefault="00311336" w:rsidP="00DF18AB">
            <w:pPr>
              <w:jc w:val="center"/>
              <w:rPr>
                <w:rFonts w:cs="Arial"/>
                <w:szCs w:val="24"/>
              </w:rPr>
            </w:pPr>
            <w:r w:rsidRPr="00DF18AB">
              <w:rPr>
                <w:rFonts w:cs="Arial"/>
                <w:szCs w:val="24"/>
              </w:rPr>
              <w:t>25%</w:t>
            </w:r>
            <w:r>
              <w:rPr>
                <w:rFonts w:cs="Arial"/>
                <w:szCs w:val="24"/>
              </w:rPr>
              <w:t xml:space="preserve"> of 0.25% (0.0625%)</w:t>
            </w:r>
          </w:p>
        </w:tc>
      </w:tr>
      <w:tr w:rsidR="00DF18AB" w:rsidRPr="00DF18AB" w:rsidTr="00593B8C">
        <w:trPr>
          <w:trHeight w:val="509"/>
        </w:trPr>
        <w:tc>
          <w:tcPr>
            <w:tcW w:w="2376" w:type="dxa"/>
            <w:shd w:val="clear" w:color="auto" w:fill="auto"/>
          </w:tcPr>
          <w:p w:rsidR="00DF18AB" w:rsidRPr="00DF18AB" w:rsidRDefault="00DF18AB" w:rsidP="00DF18AB">
            <w:pPr>
              <w:rPr>
                <w:rFonts w:cs="Arial"/>
                <w:szCs w:val="24"/>
              </w:rPr>
            </w:pPr>
          </w:p>
        </w:tc>
        <w:tc>
          <w:tcPr>
            <w:tcW w:w="2977" w:type="dxa"/>
            <w:shd w:val="clear" w:color="auto" w:fill="auto"/>
          </w:tcPr>
          <w:p w:rsidR="00DF18AB" w:rsidRPr="00DF18AB" w:rsidRDefault="00DF18AB" w:rsidP="00DF18AB">
            <w:pPr>
              <w:rPr>
                <w:rFonts w:cs="Arial"/>
                <w:szCs w:val="24"/>
              </w:rPr>
            </w:pPr>
            <w:r w:rsidRPr="00DF18AB">
              <w:rPr>
                <w:rFonts w:cs="Arial"/>
                <w:szCs w:val="24"/>
              </w:rPr>
              <w:t>9e Alcohol brief advice or referral</w:t>
            </w:r>
          </w:p>
        </w:tc>
        <w:tc>
          <w:tcPr>
            <w:tcW w:w="3402" w:type="dxa"/>
            <w:shd w:val="clear" w:color="auto" w:fill="auto"/>
          </w:tcPr>
          <w:p w:rsidR="00DF18AB" w:rsidRPr="00DF18AB" w:rsidRDefault="00DF18AB" w:rsidP="00DF18AB">
            <w:pPr>
              <w:jc w:val="center"/>
              <w:rPr>
                <w:rFonts w:cs="Arial"/>
                <w:szCs w:val="24"/>
              </w:rPr>
            </w:pPr>
            <w:r w:rsidRPr="00DF18AB">
              <w:rPr>
                <w:rFonts w:cs="Arial"/>
                <w:szCs w:val="24"/>
              </w:rPr>
              <w:t>2</w:t>
            </w:r>
            <w:r w:rsidR="00311336" w:rsidRPr="00DF18AB">
              <w:rPr>
                <w:rFonts w:cs="Arial"/>
                <w:szCs w:val="24"/>
              </w:rPr>
              <w:t>5%</w:t>
            </w:r>
            <w:r w:rsidR="00311336">
              <w:rPr>
                <w:rFonts w:cs="Arial"/>
                <w:szCs w:val="24"/>
              </w:rPr>
              <w:t xml:space="preserve"> of 0.25% (0.0625%)</w:t>
            </w:r>
          </w:p>
        </w:tc>
      </w:tr>
    </w:tbl>
    <w:p w:rsidR="00DF18AB" w:rsidRPr="00DF18AB" w:rsidRDefault="00DF18AB" w:rsidP="00DF18AB">
      <w:pPr>
        <w:rPr>
          <w:lang w:eastAsia="en-GB"/>
        </w:rPr>
      </w:pPr>
    </w:p>
    <w:p w:rsidR="00DF18AB" w:rsidRPr="00DF18AB" w:rsidRDefault="00DF18AB" w:rsidP="00DF18AB">
      <w:pPr>
        <w:keepNext/>
        <w:keepLines/>
        <w:outlineLvl w:val="3"/>
        <w:rPr>
          <w:rFonts w:eastAsiaTheme="majorEastAsia" w:cstheme="majorBidi"/>
          <w:b/>
          <w:bCs w:val="0"/>
          <w:iCs/>
          <w:color w:val="A00054" w:themeColor="accent2"/>
          <w:lang w:eastAsia="en-GB"/>
        </w:rPr>
      </w:pPr>
      <w:r w:rsidRPr="00DF18AB">
        <w:rPr>
          <w:rFonts w:eastAsiaTheme="majorEastAsia" w:cstheme="majorBidi"/>
          <w:b/>
          <w:bCs w:val="0"/>
          <w:iCs/>
          <w:color w:val="A00054" w:themeColor="accent2"/>
          <w:lang w:eastAsia="en-GB"/>
        </w:rPr>
        <w:t>Indicator 9a Tobacco screening</w:t>
      </w:r>
    </w:p>
    <w:p w:rsidR="00DF18AB" w:rsidRPr="00DF18AB" w:rsidRDefault="00DF18AB" w:rsidP="00DF18AB">
      <w:pPr>
        <w:rPr>
          <w:lang w:eastAsia="en-GB"/>
        </w:rPr>
      </w:pPr>
    </w:p>
    <w:tbl>
      <w:tblPr>
        <w:tblStyle w:val="TableGrid551"/>
        <w:tblW w:w="0" w:type="auto"/>
        <w:tblLook w:val="04A0" w:firstRow="1" w:lastRow="0" w:firstColumn="1" w:lastColumn="0" w:noHBand="0" w:noVBand="1"/>
        <w:tblCaption w:val="Indicator"/>
      </w:tblPr>
      <w:tblGrid>
        <w:gridCol w:w="2802"/>
        <w:gridCol w:w="5953"/>
      </w:tblGrid>
      <w:tr w:rsidR="00DF18AB" w:rsidRPr="00DF18AB" w:rsidTr="00593B8C">
        <w:trPr>
          <w:tblHeader/>
        </w:trPr>
        <w:tc>
          <w:tcPr>
            <w:tcW w:w="8755" w:type="dxa"/>
            <w:gridSpan w:val="2"/>
            <w:shd w:val="clear" w:color="auto" w:fill="0070C0"/>
          </w:tcPr>
          <w:p w:rsidR="00DF18AB" w:rsidRPr="00DF18AB" w:rsidRDefault="00DF18AB" w:rsidP="00DF18AB">
            <w:pPr>
              <w:jc w:val="center"/>
              <w:rPr>
                <w:rFonts w:eastAsia="HGSMinchoE"/>
                <w:bCs w:val="0"/>
                <w:szCs w:val="24"/>
                <w:lang w:eastAsia="en-GB"/>
              </w:rPr>
            </w:pPr>
            <w:r w:rsidRPr="00DF18AB">
              <w:rPr>
                <w:rFonts w:cs="Arial"/>
                <w:b/>
                <w:color w:val="FFFFFF"/>
                <w:lang w:eastAsia="en-GB"/>
              </w:rPr>
              <w:t xml:space="preserve">Indicator 9a </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Indicator name</w:t>
            </w:r>
          </w:p>
        </w:tc>
        <w:tc>
          <w:tcPr>
            <w:tcW w:w="5953"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 xml:space="preserve">Tobacco screening </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 xml:space="preserve">Indicator weighting </w:t>
            </w:r>
            <w:r w:rsidRPr="00DF18AB">
              <w:rPr>
                <w:rFonts w:cs="Arial"/>
                <w:b/>
                <w:color w:val="000000"/>
                <w:lang w:eastAsia="en-GB"/>
              </w:rPr>
              <w:br/>
              <w:t>(% of CQUIN scheme available)</w:t>
            </w:r>
          </w:p>
        </w:tc>
        <w:tc>
          <w:tcPr>
            <w:tcW w:w="5953" w:type="dxa"/>
          </w:tcPr>
          <w:p w:rsidR="00DF18AB" w:rsidRPr="00DF18AB" w:rsidRDefault="00DF18AB" w:rsidP="00DF18AB">
            <w:pPr>
              <w:rPr>
                <w:rFonts w:cs="Arial"/>
                <w:b/>
                <w:color w:val="000000"/>
                <w:lang w:eastAsia="en-GB"/>
              </w:rPr>
            </w:pPr>
            <w:r w:rsidRPr="00DF18AB">
              <w:rPr>
                <w:rFonts w:cs="Arial"/>
                <w:color w:val="000000"/>
                <w:lang w:eastAsia="en-GB"/>
              </w:rPr>
              <w:t xml:space="preserve">Achievement of target for this indicator attracts </w:t>
            </w:r>
            <w:r w:rsidR="00311336" w:rsidRPr="00DF18AB">
              <w:rPr>
                <w:rFonts w:cs="Arial"/>
                <w:szCs w:val="24"/>
              </w:rPr>
              <w:t>5%</w:t>
            </w:r>
            <w:r w:rsidR="00311336">
              <w:rPr>
                <w:rFonts w:cs="Arial"/>
                <w:szCs w:val="24"/>
              </w:rPr>
              <w:t xml:space="preserve"> of 0.25% (0.0125%).</w:t>
            </w:r>
            <w:r w:rsidRPr="00DF18AB">
              <w:rPr>
                <w:rFonts w:cs="Arial"/>
                <w:b/>
                <w:color w:val="000000"/>
                <w:lang w:eastAsia="en-GB"/>
              </w:rPr>
              <w:t xml:space="preserve"> </w:t>
            </w:r>
          </w:p>
          <w:p w:rsidR="00DF18AB" w:rsidRPr="00DF18AB" w:rsidRDefault="00DF18AB" w:rsidP="00DF18AB">
            <w:pPr>
              <w:rPr>
                <w:rFonts w:cs="Arial"/>
                <w:b/>
                <w:color w:val="000000"/>
                <w:lang w:eastAsia="en-GB"/>
              </w:rPr>
            </w:pPr>
          </w:p>
          <w:p w:rsidR="00DF18AB" w:rsidRPr="00DF18AB" w:rsidRDefault="00DF18AB" w:rsidP="00DF18AB">
            <w:pPr>
              <w:rPr>
                <w:rFonts w:cs="Arial"/>
                <w:i/>
                <w:color w:val="000000"/>
                <w:lang w:eastAsia="en-GB"/>
              </w:rPr>
            </w:pPr>
            <w:r w:rsidRPr="00DF18AB">
              <w:rPr>
                <w:rFonts w:cs="Arial"/>
                <w:i/>
                <w:color w:val="000000"/>
                <w:lang w:eastAsia="en-GB"/>
              </w:rPr>
              <w:t>(NB: this applies for Q2 onwards, different reward structure for Q1, see ‘rules for in-year payment’ section below)</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Description of indicator</w:t>
            </w:r>
          </w:p>
        </w:tc>
        <w:tc>
          <w:tcPr>
            <w:tcW w:w="5953" w:type="dxa"/>
          </w:tcPr>
          <w:p w:rsidR="00DF18AB" w:rsidRPr="00DF18AB" w:rsidRDefault="00DF18AB" w:rsidP="00DF18AB">
            <w:pPr>
              <w:keepNext/>
              <w:contextualSpacing/>
              <w:rPr>
                <w:rFonts w:eastAsia="HGSMinchoE" w:cs="Arial"/>
                <w:bCs w:val="0"/>
                <w:szCs w:val="24"/>
                <w:lang w:eastAsia="en-GB"/>
              </w:rPr>
            </w:pPr>
            <w:r w:rsidRPr="00DF18AB">
              <w:rPr>
                <w:rFonts w:eastAsia="HGSMinchoE" w:cs="Arial"/>
                <w:bCs w:val="0"/>
                <w:szCs w:val="24"/>
                <w:lang w:eastAsia="en-GB"/>
              </w:rPr>
              <w:t xml:space="preserve">Percentage of unique adult patients who are screened for smoking status AND whose results are recorded. </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Numerator</w:t>
            </w:r>
          </w:p>
        </w:tc>
        <w:tc>
          <w:tcPr>
            <w:tcW w:w="5953" w:type="dxa"/>
          </w:tcPr>
          <w:p w:rsidR="00DF18AB" w:rsidRPr="00DF18AB" w:rsidRDefault="00DF18AB" w:rsidP="00DF18AB">
            <w:pPr>
              <w:keepNext/>
              <w:contextualSpacing/>
              <w:rPr>
                <w:rFonts w:eastAsia="HGSMinchoE" w:cs="Arial"/>
                <w:bCs w:val="0"/>
                <w:szCs w:val="24"/>
                <w:lang w:eastAsia="en-GB"/>
              </w:rPr>
            </w:pPr>
            <w:r w:rsidRPr="00DF18AB">
              <w:rPr>
                <w:rFonts w:eastAsia="HGSMinchoE" w:cs="Arial"/>
                <w:bCs w:val="0"/>
                <w:szCs w:val="24"/>
                <w:lang w:eastAsia="en-GB"/>
              </w:rPr>
              <w:t xml:space="preserve">Number of </w:t>
            </w:r>
            <w:r w:rsidRPr="00DF18AB">
              <w:rPr>
                <w:rFonts w:eastAsia="HGSMinchoE" w:cs="Arial"/>
                <w:b/>
                <w:bCs w:val="0"/>
                <w:szCs w:val="24"/>
                <w:lang w:eastAsia="en-GB"/>
              </w:rPr>
              <w:t>unique,</w:t>
            </w:r>
            <w:r w:rsidRPr="00DF18AB">
              <w:rPr>
                <w:rFonts w:eastAsia="HGSMinchoE" w:cs="Arial"/>
                <w:bCs w:val="0"/>
                <w:szCs w:val="24"/>
                <w:lang w:eastAsia="en-GB"/>
              </w:rPr>
              <w:t xml:space="preserve"> </w:t>
            </w:r>
            <w:r w:rsidRPr="00DF18AB">
              <w:rPr>
                <w:rFonts w:eastAsia="HGSMinchoE" w:cs="Arial"/>
                <w:b/>
                <w:bCs w:val="0"/>
                <w:szCs w:val="24"/>
                <w:lang w:eastAsia="en-GB"/>
              </w:rPr>
              <w:t>adult</w:t>
            </w:r>
            <w:r w:rsidRPr="00DF18AB">
              <w:rPr>
                <w:rFonts w:eastAsia="HGSMinchoE" w:cs="Arial"/>
                <w:bCs w:val="0"/>
                <w:szCs w:val="24"/>
                <w:lang w:eastAsia="en-GB"/>
              </w:rPr>
              <w:t xml:space="preserve"> </w:t>
            </w:r>
            <w:r w:rsidRPr="00DF18AB">
              <w:rPr>
                <w:rFonts w:eastAsia="HGSMinchoE" w:cs="Arial"/>
                <w:b/>
                <w:bCs w:val="0"/>
                <w:szCs w:val="24"/>
                <w:lang w:eastAsia="en-GB"/>
              </w:rPr>
              <w:t>patients</w:t>
            </w:r>
            <w:r w:rsidRPr="00DF18AB">
              <w:rPr>
                <w:rFonts w:eastAsia="HGSMinchoE" w:cs="Arial"/>
                <w:bCs w:val="0"/>
                <w:szCs w:val="24"/>
                <w:lang w:eastAsia="en-GB"/>
              </w:rPr>
              <w:t xml:space="preserve"> who are </w:t>
            </w:r>
            <w:r w:rsidRPr="00DF18AB">
              <w:rPr>
                <w:rFonts w:eastAsia="HGSMinchoE" w:cs="Arial"/>
                <w:b/>
                <w:bCs w:val="0"/>
                <w:szCs w:val="24"/>
                <w:lang w:eastAsia="en-GB"/>
              </w:rPr>
              <w:t>admitted</w:t>
            </w:r>
            <w:r w:rsidRPr="00DF18AB">
              <w:rPr>
                <w:rFonts w:eastAsia="HGSMinchoE" w:cs="Arial"/>
                <w:bCs w:val="0"/>
                <w:szCs w:val="24"/>
                <w:lang w:eastAsia="en-GB"/>
              </w:rPr>
              <w:t xml:space="preserve"> and </w:t>
            </w:r>
            <w:r w:rsidRPr="00DF18AB">
              <w:rPr>
                <w:rFonts w:eastAsia="HGSMinchoE" w:cs="Arial"/>
                <w:b/>
                <w:bCs w:val="0"/>
                <w:szCs w:val="24"/>
                <w:lang w:eastAsia="en-GB"/>
              </w:rPr>
              <w:t>screened for smoking status</w:t>
            </w:r>
            <w:r w:rsidRPr="00DF18AB">
              <w:rPr>
                <w:rFonts w:eastAsia="HGSMinchoE" w:cs="Arial"/>
                <w:bCs w:val="0"/>
                <w:szCs w:val="24"/>
                <w:lang w:eastAsia="en-GB"/>
              </w:rPr>
              <w:t xml:space="preserve"> and results are recorded in patient’s record during this quarter:</w:t>
            </w:r>
          </w:p>
          <w:p w:rsidR="00DF18AB" w:rsidRPr="00DF18AB" w:rsidRDefault="00DF18AB" w:rsidP="00DF18AB">
            <w:pPr>
              <w:keepNext/>
              <w:numPr>
                <w:ilvl w:val="0"/>
                <w:numId w:val="51"/>
              </w:numPr>
              <w:spacing w:before="120"/>
              <w:contextualSpacing/>
              <w:rPr>
                <w:rFonts w:eastAsia="HGSMinchoE" w:cs="Arial"/>
                <w:szCs w:val="24"/>
                <w:lang w:eastAsia="en-GB"/>
              </w:rPr>
            </w:pPr>
            <w:r w:rsidRPr="00DF18AB">
              <w:rPr>
                <w:rFonts w:eastAsia="HGSMinchoE" w:cs="Arial"/>
                <w:b/>
                <w:szCs w:val="24"/>
                <w:lang w:eastAsia="en-GB"/>
              </w:rPr>
              <w:t xml:space="preserve">unique </w:t>
            </w:r>
            <w:r w:rsidRPr="00DF18AB">
              <w:rPr>
                <w:rFonts w:eastAsia="HGSMinchoE" w:cs="Arial"/>
                <w:szCs w:val="24"/>
                <w:lang w:eastAsia="en-GB"/>
              </w:rPr>
              <w:t>is</w:t>
            </w:r>
            <w:r w:rsidRPr="00DF18AB">
              <w:rPr>
                <w:rFonts w:eastAsia="HGSMinchoE" w:cs="Arial"/>
                <w:b/>
                <w:szCs w:val="24"/>
                <w:lang w:eastAsia="en-GB"/>
              </w:rPr>
              <w:t xml:space="preserve"> </w:t>
            </w:r>
            <w:r w:rsidRPr="00DF18AB">
              <w:rPr>
                <w:rFonts w:eastAsia="HGSMinchoE" w:cs="Arial"/>
                <w:szCs w:val="24"/>
                <w:lang w:eastAsia="en-GB"/>
              </w:rPr>
              <w:t>defined as non-repeat admission of a patient during the duration of the CQUIN (</w:t>
            </w:r>
            <w:proofErr w:type="spellStart"/>
            <w:r w:rsidRPr="00DF18AB">
              <w:rPr>
                <w:rFonts w:eastAsia="HGSMinchoE" w:cs="Arial"/>
                <w:szCs w:val="24"/>
                <w:lang w:eastAsia="en-GB"/>
              </w:rPr>
              <w:t>ie</w:t>
            </w:r>
            <w:proofErr w:type="spellEnd"/>
            <w:r w:rsidRPr="00DF18AB">
              <w:rPr>
                <w:rFonts w:eastAsia="HGSMinchoE" w:cs="Arial"/>
                <w:szCs w:val="24"/>
                <w:lang w:eastAsia="en-GB"/>
              </w:rPr>
              <w:t xml:space="preserve"> FY 17/18 and 18/19) who has not already received the intervention within the period of the CQUIN;</w:t>
            </w:r>
          </w:p>
          <w:p w:rsidR="00DF18AB" w:rsidRPr="00DF18AB" w:rsidRDefault="00DF18AB" w:rsidP="00DF18AB">
            <w:pPr>
              <w:keepNext/>
              <w:numPr>
                <w:ilvl w:val="0"/>
                <w:numId w:val="51"/>
              </w:numPr>
              <w:spacing w:before="120"/>
              <w:ind w:left="714" w:hanging="357"/>
              <w:contextualSpacing/>
              <w:rPr>
                <w:rFonts w:eastAsia="HGSMinchoE" w:cs="Arial"/>
                <w:szCs w:val="24"/>
                <w:lang w:eastAsia="en-GB"/>
              </w:rPr>
            </w:pPr>
            <w:r w:rsidRPr="00DF18AB">
              <w:rPr>
                <w:rFonts w:eastAsia="HGSMinchoE" w:cs="Arial"/>
                <w:b/>
                <w:szCs w:val="24"/>
                <w:lang w:eastAsia="en-GB"/>
              </w:rPr>
              <w:t>adult patient</w:t>
            </w:r>
            <w:r w:rsidRPr="00DF18AB">
              <w:rPr>
                <w:rFonts w:eastAsia="HGSMinchoE" w:cs="Arial"/>
                <w:szCs w:val="24"/>
                <w:lang w:eastAsia="en-GB"/>
              </w:rPr>
              <w:t xml:space="preserve"> is defined as patients of at least 18 years of age</w:t>
            </w:r>
            <w:r w:rsidRPr="00DF18AB">
              <w:t xml:space="preserve"> </w:t>
            </w:r>
            <w:r w:rsidRPr="00DF18AB">
              <w:rPr>
                <w:rFonts w:eastAsia="HGSMinchoE" w:cs="Arial"/>
                <w:szCs w:val="24"/>
                <w:lang w:eastAsia="en-GB"/>
              </w:rPr>
              <w:t xml:space="preserve">for the purpose of this CQUIN; </w:t>
            </w:r>
          </w:p>
          <w:p w:rsidR="00DF18AB" w:rsidRPr="00DF18AB" w:rsidRDefault="00DF18AB" w:rsidP="00DF18AB">
            <w:pPr>
              <w:keepNext/>
              <w:numPr>
                <w:ilvl w:val="0"/>
                <w:numId w:val="51"/>
              </w:numPr>
              <w:spacing w:before="120"/>
              <w:ind w:left="714" w:hanging="357"/>
              <w:contextualSpacing/>
              <w:rPr>
                <w:rFonts w:eastAsia="HGSMinchoE" w:cs="Arial"/>
                <w:szCs w:val="24"/>
                <w:lang w:eastAsia="en-GB"/>
              </w:rPr>
            </w:pPr>
            <w:r w:rsidRPr="00DF18AB">
              <w:rPr>
                <w:rFonts w:eastAsia="HGSMinchoE" w:cs="Arial"/>
                <w:b/>
                <w:szCs w:val="24"/>
                <w:lang w:eastAsia="en-GB"/>
              </w:rPr>
              <w:t>admitted</w:t>
            </w:r>
            <w:r w:rsidRPr="00DF18AB">
              <w:rPr>
                <w:rFonts w:eastAsia="HGSMinchoE" w:cs="Arial"/>
                <w:szCs w:val="24"/>
                <w:lang w:eastAsia="en-GB"/>
              </w:rPr>
              <w:t xml:space="preserve"> is defined as admitted to an inpatient ward for at least one night (i.e. Length of stay equal to or greater than one) </w:t>
            </w:r>
            <w:r w:rsidRPr="00DF18AB">
              <w:rPr>
                <w:rFonts w:eastAsia="HGSMinchoE" w:cs="Arial"/>
                <w:b/>
                <w:szCs w:val="24"/>
                <w:u w:val="single"/>
                <w:lang w:eastAsia="en-GB"/>
              </w:rPr>
              <w:t>excluding</w:t>
            </w:r>
            <w:r w:rsidRPr="00DF18AB">
              <w:rPr>
                <w:rFonts w:eastAsia="HGSMinchoE" w:cs="Arial"/>
                <w:szCs w:val="24"/>
                <w:lang w:eastAsia="en-GB"/>
              </w:rPr>
              <w:t xml:space="preserve"> any admissions to maternity wards (i.e. admissions to maternity wards not in scope of this CQUIN).</w:t>
            </w:r>
            <w:r w:rsidRPr="00DF18AB">
              <w:rPr>
                <w:rFonts w:eastAsia="HGSMinchoE" w:cs="Arial"/>
                <w:szCs w:val="24"/>
              </w:rPr>
              <w:t xml:space="preserve"> NB: screening should take place at a time that is clinically appropriate for the patient. For </w:t>
            </w:r>
            <w:r w:rsidRPr="00DF18AB">
              <w:rPr>
                <w:rFonts w:eastAsia="HGSMinchoE" w:cs="Arial"/>
                <w:szCs w:val="24"/>
              </w:rPr>
              <w:lastRenderedPageBreak/>
              <w:t>example, &gt;7 days for patients with severe mental health illness as set out in the CQUIN for improving physical healthcare in people with severe mental health illness (‘PSMI’);</w:t>
            </w:r>
          </w:p>
          <w:p w:rsidR="00DF18AB" w:rsidRPr="00DF18AB" w:rsidRDefault="00DF18AB" w:rsidP="00DF18AB">
            <w:pPr>
              <w:keepNext/>
              <w:numPr>
                <w:ilvl w:val="0"/>
                <w:numId w:val="51"/>
              </w:numPr>
              <w:spacing w:before="120"/>
              <w:ind w:left="714" w:hanging="357"/>
              <w:contextualSpacing/>
              <w:rPr>
                <w:rFonts w:eastAsia="HGSMinchoE" w:cs="Arial"/>
                <w:szCs w:val="24"/>
                <w:lang w:eastAsia="en-GB"/>
              </w:rPr>
            </w:pPr>
            <w:r w:rsidRPr="00DF18AB">
              <w:rPr>
                <w:rFonts w:eastAsia="HGSMinchoE" w:cs="Arial"/>
                <w:szCs w:val="24"/>
                <w:lang w:eastAsia="en-GB"/>
              </w:rPr>
              <w:t>the “</w:t>
            </w:r>
            <w:r w:rsidRPr="00DF18AB">
              <w:rPr>
                <w:rFonts w:eastAsia="HGSMinchoE" w:cs="Arial"/>
                <w:b/>
                <w:szCs w:val="24"/>
                <w:lang w:eastAsia="en-GB"/>
              </w:rPr>
              <w:t>screened for smoking status</w:t>
            </w:r>
            <w:r w:rsidRPr="00DF18AB">
              <w:rPr>
                <w:rFonts w:eastAsia="HGSMinchoE" w:cs="Arial"/>
                <w:szCs w:val="24"/>
                <w:lang w:eastAsia="en-GB"/>
              </w:rPr>
              <w:t>” element of this indicator requires the standard protocol for screening smokers in secondary care as per NICE guidance PH48 to be implemented. Detail on the required actions from healthcare professionals can be found on the National Centre for smoking Cessation and Training website (</w:t>
            </w:r>
            <w:hyperlink r:id="rId40" w:history="1">
              <w:r w:rsidRPr="00DF18AB">
                <w:rPr>
                  <w:rFonts w:eastAsia="HGSMinchoE" w:cs="Arial"/>
                  <w:color w:val="0000FF"/>
                  <w:szCs w:val="24"/>
                  <w:u w:val="single"/>
                  <w:lang w:eastAsia="en-GB"/>
                </w:rPr>
                <w:t>NCSCT</w:t>
              </w:r>
            </w:hyperlink>
            <w:r w:rsidRPr="00DF18AB">
              <w:rPr>
                <w:rFonts w:eastAsia="HGSMinchoE" w:cs="Arial"/>
                <w:szCs w:val="24"/>
                <w:lang w:eastAsia="en-GB"/>
              </w:rPr>
              <w:t xml:space="preserve">). </w:t>
            </w:r>
            <w:r w:rsidRPr="00DF18AB">
              <w:rPr>
                <w:rFonts w:cs="Arial"/>
              </w:rPr>
              <w:t xml:space="preserve">Secondary mental health providers in particular may want to build on the </w:t>
            </w:r>
            <w:hyperlink r:id="rId41" w:history="1">
              <w:r w:rsidRPr="00DF18AB">
                <w:rPr>
                  <w:rFonts w:cs="Arial"/>
                  <w:color w:val="0000FF"/>
                  <w:u w:val="single"/>
                </w:rPr>
                <w:t>Lester tool</w:t>
              </w:r>
            </w:hyperlink>
            <w:r w:rsidRPr="00DF18AB">
              <w:rPr>
                <w:rFonts w:cs="Arial"/>
              </w:rPr>
              <w:t xml:space="preserve"> as appropriate (which is also encouraged by the PSMI CQUIN). </w:t>
            </w:r>
            <w:r w:rsidRPr="00DF18AB">
              <w:rPr>
                <w:rFonts w:eastAsia="HGSMinchoE" w:cs="Arial"/>
                <w:szCs w:val="24"/>
                <w:lang w:eastAsia="en-GB"/>
              </w:rPr>
              <w:t>See Annex A for further details; and</w:t>
            </w:r>
          </w:p>
          <w:p w:rsidR="00DF18AB" w:rsidRPr="00DF18AB" w:rsidRDefault="00DF18AB" w:rsidP="00DF18AB">
            <w:pPr>
              <w:keepNext/>
              <w:numPr>
                <w:ilvl w:val="0"/>
                <w:numId w:val="51"/>
              </w:numPr>
              <w:spacing w:before="120"/>
              <w:ind w:left="714" w:hanging="357"/>
              <w:contextualSpacing/>
              <w:rPr>
                <w:rFonts w:eastAsia="HGSMinchoE" w:cs="Arial"/>
                <w:szCs w:val="24"/>
                <w:lang w:eastAsia="en-GB"/>
              </w:rPr>
            </w:pPr>
            <w:r w:rsidRPr="00DF18AB">
              <w:rPr>
                <w:rFonts w:eastAsia="HGSMinchoE" w:cs="Arial"/>
                <w:szCs w:val="24"/>
                <w:lang w:eastAsia="en-GB"/>
              </w:rPr>
              <w:t>the “</w:t>
            </w:r>
            <w:r w:rsidRPr="00DF18AB">
              <w:rPr>
                <w:rFonts w:eastAsia="HGSMinchoE" w:cs="Arial"/>
                <w:b/>
                <w:szCs w:val="24"/>
                <w:lang w:eastAsia="en-GB"/>
              </w:rPr>
              <w:t>recorded in patient’s record</w:t>
            </w:r>
            <w:r w:rsidRPr="00DF18AB">
              <w:rPr>
                <w:rFonts w:eastAsia="HGSMinchoE" w:cs="Arial"/>
                <w:szCs w:val="24"/>
                <w:lang w:eastAsia="en-GB"/>
              </w:rPr>
              <w:t xml:space="preserve">” element of this indicator requires the delivery of the standard protocol as described above and the outcome to be recorded in the patient’s record in a clear and consistent way. </w:t>
            </w:r>
            <w:r w:rsidRPr="00DF18AB">
              <w:rPr>
                <w:rFonts w:eastAsia="HGSMinchoE"/>
                <w:szCs w:val="24"/>
                <w:lang w:eastAsia="en-GB"/>
              </w:rPr>
              <w:t>It is the responsibility of providers to identify the most effective way of recording this information.</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lastRenderedPageBreak/>
              <w:t>Denominator</w:t>
            </w:r>
          </w:p>
        </w:tc>
        <w:tc>
          <w:tcPr>
            <w:tcW w:w="5953" w:type="dxa"/>
          </w:tcPr>
          <w:p w:rsidR="00DF18AB" w:rsidRPr="00DF18AB" w:rsidRDefault="00DF18AB" w:rsidP="00DF18AB">
            <w:pPr>
              <w:keepNext/>
              <w:contextualSpacing/>
              <w:rPr>
                <w:rFonts w:eastAsia="HGSMinchoE" w:cs="Arial"/>
                <w:bCs w:val="0"/>
                <w:szCs w:val="24"/>
                <w:lang w:eastAsia="en-GB"/>
              </w:rPr>
            </w:pPr>
            <w:r w:rsidRPr="00DF18AB">
              <w:rPr>
                <w:rFonts w:eastAsia="HGSMinchoE" w:cs="Arial"/>
                <w:bCs w:val="0"/>
                <w:szCs w:val="24"/>
                <w:lang w:eastAsia="en-GB"/>
              </w:rPr>
              <w:t xml:space="preserve">All </w:t>
            </w:r>
            <w:r w:rsidRPr="00DF18AB">
              <w:rPr>
                <w:rFonts w:eastAsia="HGSMinchoE" w:cs="Arial"/>
                <w:b/>
                <w:bCs w:val="0"/>
                <w:szCs w:val="24"/>
                <w:lang w:eastAsia="en-GB"/>
              </w:rPr>
              <w:t>unique,</w:t>
            </w:r>
            <w:r w:rsidRPr="00DF18AB">
              <w:rPr>
                <w:rFonts w:eastAsia="HGSMinchoE" w:cs="Arial"/>
                <w:bCs w:val="0"/>
                <w:szCs w:val="24"/>
                <w:lang w:eastAsia="en-GB"/>
              </w:rPr>
              <w:t xml:space="preserve"> </w:t>
            </w:r>
            <w:r w:rsidRPr="00DF18AB">
              <w:rPr>
                <w:rFonts w:eastAsia="HGSMinchoE" w:cs="Arial"/>
                <w:b/>
                <w:bCs w:val="0"/>
                <w:szCs w:val="24"/>
                <w:lang w:eastAsia="en-GB"/>
              </w:rPr>
              <w:t>adult patients</w:t>
            </w:r>
            <w:r w:rsidRPr="00DF18AB">
              <w:rPr>
                <w:rFonts w:eastAsia="HGSMinchoE" w:cs="Arial"/>
                <w:bCs w:val="0"/>
                <w:szCs w:val="24"/>
                <w:lang w:eastAsia="en-GB"/>
              </w:rPr>
              <w:t xml:space="preserve"> who are </w:t>
            </w:r>
            <w:r w:rsidRPr="00DF18AB">
              <w:rPr>
                <w:rFonts w:eastAsia="HGSMinchoE" w:cs="Arial"/>
                <w:b/>
                <w:bCs w:val="0"/>
                <w:szCs w:val="24"/>
                <w:lang w:eastAsia="en-GB"/>
              </w:rPr>
              <w:t>admitted</w:t>
            </w:r>
            <w:r w:rsidRPr="00DF18AB">
              <w:rPr>
                <w:rFonts w:eastAsia="HGSMinchoE" w:cs="Arial"/>
                <w:bCs w:val="0"/>
                <w:szCs w:val="24"/>
                <w:lang w:eastAsia="en-GB"/>
              </w:rPr>
              <w:t xml:space="preserve"> during this quarter: </w:t>
            </w:r>
          </w:p>
          <w:p w:rsidR="00DF18AB" w:rsidRPr="00DF18AB" w:rsidRDefault="00DF18AB" w:rsidP="00DF18AB">
            <w:pPr>
              <w:keepNext/>
              <w:numPr>
                <w:ilvl w:val="0"/>
                <w:numId w:val="51"/>
              </w:numPr>
              <w:spacing w:before="120" w:after="120"/>
              <w:ind w:left="714" w:hanging="357"/>
              <w:contextualSpacing/>
              <w:rPr>
                <w:rFonts w:eastAsia="HGSMinchoE" w:cs="Arial"/>
                <w:szCs w:val="24"/>
                <w:lang w:eastAsia="en-GB"/>
              </w:rPr>
            </w:pPr>
            <w:r w:rsidRPr="00DF18AB">
              <w:rPr>
                <w:rFonts w:eastAsia="HGSMinchoE" w:cs="Arial"/>
                <w:b/>
                <w:szCs w:val="24"/>
                <w:lang w:eastAsia="en-GB"/>
              </w:rPr>
              <w:t xml:space="preserve">unique </w:t>
            </w:r>
            <w:r w:rsidRPr="00DF18AB">
              <w:rPr>
                <w:rFonts w:eastAsia="HGSMinchoE" w:cs="Arial"/>
                <w:szCs w:val="24"/>
                <w:lang w:eastAsia="en-GB"/>
              </w:rPr>
              <w:t>is</w:t>
            </w:r>
            <w:r w:rsidRPr="00DF18AB">
              <w:rPr>
                <w:rFonts w:eastAsia="HGSMinchoE" w:cs="Arial"/>
                <w:b/>
                <w:szCs w:val="24"/>
                <w:lang w:eastAsia="en-GB"/>
              </w:rPr>
              <w:t xml:space="preserve"> </w:t>
            </w:r>
            <w:r w:rsidRPr="00DF18AB">
              <w:rPr>
                <w:rFonts w:eastAsia="HGSMinchoE" w:cs="Arial"/>
                <w:szCs w:val="24"/>
                <w:lang w:eastAsia="en-GB"/>
              </w:rPr>
              <w:t>defined as a non-repeat admission of a patient during the duration of the CQUIN (</w:t>
            </w:r>
            <w:proofErr w:type="spellStart"/>
            <w:r w:rsidRPr="00DF18AB">
              <w:rPr>
                <w:rFonts w:eastAsia="HGSMinchoE" w:cs="Arial"/>
                <w:szCs w:val="24"/>
                <w:lang w:eastAsia="en-GB"/>
              </w:rPr>
              <w:t>ie</w:t>
            </w:r>
            <w:proofErr w:type="spellEnd"/>
            <w:r w:rsidRPr="00DF18AB">
              <w:rPr>
                <w:rFonts w:eastAsia="HGSMinchoE" w:cs="Arial"/>
                <w:szCs w:val="24"/>
                <w:lang w:eastAsia="en-GB"/>
              </w:rPr>
              <w:t xml:space="preserve"> FY 17/18 and 18/19) who has not already received the intervention within the period of the CQUIN;</w:t>
            </w:r>
          </w:p>
          <w:p w:rsidR="00DF18AB" w:rsidRPr="00DF18AB" w:rsidRDefault="00DF18AB" w:rsidP="00DF18AB">
            <w:pPr>
              <w:keepNext/>
              <w:numPr>
                <w:ilvl w:val="0"/>
                <w:numId w:val="51"/>
              </w:numPr>
              <w:spacing w:before="120" w:after="120"/>
              <w:ind w:left="714" w:hanging="357"/>
              <w:contextualSpacing/>
              <w:rPr>
                <w:rFonts w:eastAsia="HGSMinchoE" w:cs="Arial"/>
                <w:szCs w:val="24"/>
                <w:lang w:eastAsia="en-GB"/>
              </w:rPr>
            </w:pPr>
            <w:r w:rsidRPr="00DF18AB">
              <w:rPr>
                <w:rFonts w:eastAsia="HGSMinchoE" w:cs="Arial"/>
                <w:b/>
                <w:szCs w:val="24"/>
                <w:lang w:eastAsia="en-GB"/>
              </w:rPr>
              <w:t>adult patient</w:t>
            </w:r>
            <w:r w:rsidRPr="00DF18AB">
              <w:rPr>
                <w:rFonts w:eastAsia="HGSMinchoE" w:cs="Arial"/>
                <w:szCs w:val="24"/>
                <w:lang w:eastAsia="en-GB"/>
              </w:rPr>
              <w:t xml:space="preserve"> is defined as patients of at least 18 years of age; and</w:t>
            </w:r>
          </w:p>
          <w:p w:rsidR="00DF18AB" w:rsidRPr="00DF18AB" w:rsidRDefault="00DF18AB" w:rsidP="00DF18AB">
            <w:pPr>
              <w:keepNext/>
              <w:numPr>
                <w:ilvl w:val="0"/>
                <w:numId w:val="51"/>
              </w:numPr>
              <w:spacing w:before="120" w:after="120"/>
              <w:ind w:left="714" w:hanging="357"/>
              <w:contextualSpacing/>
              <w:rPr>
                <w:rFonts w:eastAsia="HGSMinchoE" w:cs="Arial"/>
                <w:szCs w:val="24"/>
                <w:lang w:eastAsia="en-GB"/>
              </w:rPr>
            </w:pPr>
            <w:r w:rsidRPr="00DF18AB">
              <w:rPr>
                <w:rFonts w:eastAsia="HGSMinchoE" w:cs="Arial"/>
                <w:b/>
                <w:szCs w:val="24"/>
                <w:lang w:eastAsia="en-GB"/>
              </w:rPr>
              <w:t>admitted</w:t>
            </w:r>
            <w:r w:rsidRPr="00DF18AB">
              <w:rPr>
                <w:rFonts w:eastAsia="HGSMinchoE" w:cs="Arial"/>
                <w:szCs w:val="24"/>
                <w:lang w:eastAsia="en-GB"/>
              </w:rPr>
              <w:t xml:space="preserve"> is defined as admitted to an inpatient ward for at least one night (i.e. Length of stay equal to or greater than one) </w:t>
            </w:r>
            <w:r w:rsidRPr="00DF18AB">
              <w:rPr>
                <w:rFonts w:eastAsia="HGSMinchoE" w:cs="Arial"/>
                <w:b/>
                <w:szCs w:val="24"/>
                <w:u w:val="single"/>
                <w:lang w:eastAsia="en-GB"/>
              </w:rPr>
              <w:t>excluding</w:t>
            </w:r>
            <w:r w:rsidRPr="00DF18AB">
              <w:rPr>
                <w:rFonts w:eastAsia="HGSMinchoE" w:cs="Arial"/>
                <w:szCs w:val="24"/>
                <w:lang w:eastAsia="en-GB"/>
              </w:rPr>
              <w:t xml:space="preserve"> any admissions to maternity wards (i.e. admissions to maternity wards not in scope of this CQUIN).</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Rationale for inclusion</w:t>
            </w:r>
          </w:p>
        </w:tc>
        <w:tc>
          <w:tcPr>
            <w:tcW w:w="5953" w:type="dxa"/>
          </w:tcPr>
          <w:p w:rsidR="00DF18AB" w:rsidRPr="00DF18AB" w:rsidRDefault="00DF18AB" w:rsidP="00DF18AB">
            <w:pPr>
              <w:rPr>
                <w:rFonts w:eastAsia="HGSMinchoE"/>
                <w:b/>
                <w:bCs w:val="0"/>
                <w:szCs w:val="24"/>
                <w:lang w:eastAsia="en-GB"/>
              </w:rPr>
            </w:pPr>
            <w:r w:rsidRPr="00DF18AB">
              <w:rPr>
                <w:rFonts w:eastAsia="HGSMinchoE"/>
                <w:b/>
                <w:bCs w:val="0"/>
                <w:szCs w:val="24"/>
                <w:lang w:eastAsia="en-GB"/>
              </w:rPr>
              <w:t>Context</w:t>
            </w:r>
          </w:p>
          <w:p w:rsidR="00DF18AB" w:rsidRPr="00DF18AB" w:rsidRDefault="00DF18AB" w:rsidP="00DF18AB">
            <w:pPr>
              <w:rPr>
                <w:rFonts w:eastAsia="HGSMinchoE"/>
                <w:bCs w:val="0"/>
                <w:szCs w:val="24"/>
                <w:lang w:eastAsia="en-GB"/>
              </w:rPr>
            </w:pPr>
            <w:r w:rsidRPr="00DF18AB">
              <w:rPr>
                <w:rFonts w:eastAsia="HGSMinchoE"/>
                <w:bCs w:val="0"/>
                <w:szCs w:val="24"/>
                <w:lang w:eastAsia="en-GB"/>
              </w:rPr>
              <w:t>This CQUIN seeks to help deliver on the objectives set out in the Five Year Forward View (</w:t>
            </w:r>
            <w:hyperlink r:id="rId42" w:history="1">
              <w:r w:rsidRPr="00DF18AB">
                <w:rPr>
                  <w:rFonts w:eastAsia="HGSMinchoE"/>
                  <w:bCs w:val="0"/>
                  <w:color w:val="0000FF"/>
                  <w:szCs w:val="24"/>
                  <w:u w:val="single"/>
                  <w:lang w:eastAsia="en-GB"/>
                </w:rPr>
                <w:t>5YFV</w:t>
              </w:r>
            </w:hyperlink>
            <w:r w:rsidRPr="00DF18AB">
              <w:rPr>
                <w:rFonts w:eastAsia="HGSMinchoE"/>
                <w:bCs w:val="0"/>
                <w:szCs w:val="24"/>
                <w:lang w:eastAsia="en-GB"/>
              </w:rPr>
              <w:t xml:space="preserve">), particularly around the need for a ’…radical upgrade in prevention…’ and to ‘…incentivising and supporting healthier behaviour’. The proposal also supports delivery against the FYFV efficiency target by generating a projected national net cost-saving to the NHS over the course of the CQUIN.  </w:t>
            </w:r>
          </w:p>
          <w:p w:rsidR="00DF18AB" w:rsidRPr="00DF18AB" w:rsidRDefault="00DF18AB" w:rsidP="00DF18AB">
            <w:pPr>
              <w:rPr>
                <w:rFonts w:eastAsia="HGSMinchoE"/>
                <w:b/>
                <w:bCs w:val="0"/>
                <w:szCs w:val="24"/>
                <w:lang w:eastAsia="en-GB"/>
              </w:rPr>
            </w:pPr>
          </w:p>
          <w:p w:rsidR="00DF18AB" w:rsidRPr="00DF18AB" w:rsidRDefault="00DF18AB" w:rsidP="00DF18AB">
            <w:pPr>
              <w:rPr>
                <w:rFonts w:eastAsia="HGSMinchoE"/>
                <w:b/>
                <w:bCs w:val="0"/>
                <w:szCs w:val="24"/>
                <w:lang w:eastAsia="en-GB"/>
              </w:rPr>
            </w:pPr>
            <w:r w:rsidRPr="00DF18AB">
              <w:rPr>
                <w:rFonts w:eastAsia="HGSMinchoE"/>
                <w:b/>
                <w:bCs w:val="0"/>
                <w:szCs w:val="24"/>
                <w:lang w:eastAsia="en-GB"/>
              </w:rPr>
              <w:t xml:space="preserve">The burden of smoking </w:t>
            </w:r>
          </w:p>
          <w:p w:rsidR="00DF18AB" w:rsidRPr="00DF18AB" w:rsidRDefault="00DF18AB" w:rsidP="00DF18AB">
            <w:pPr>
              <w:rPr>
                <w:rFonts w:eastAsia="HGSMinchoE" w:cs="Calibri"/>
                <w:bCs w:val="0"/>
                <w:szCs w:val="24"/>
                <w:lang w:eastAsia="en-GB"/>
              </w:rPr>
            </w:pPr>
            <w:r w:rsidRPr="00DF18AB">
              <w:rPr>
                <w:rFonts w:eastAsia="HGSMinchoE" w:cs="Calibri"/>
                <w:bCs w:val="0"/>
                <w:szCs w:val="24"/>
                <w:lang w:eastAsia="en-GB"/>
              </w:rPr>
              <w:t xml:space="preserve">Smoking is estimated to cost £13.8bn to society </w:t>
            </w:r>
            <w:r w:rsidRPr="00DF18AB">
              <w:rPr>
                <w:rFonts w:eastAsia="HGSMinchoE" w:cs="Calibri"/>
                <w:bCs w:val="0"/>
                <w:szCs w:val="24"/>
                <w:lang w:eastAsia="en-GB"/>
              </w:rPr>
              <w:lastRenderedPageBreak/>
              <w:t>(£2bn on the NHS through hospital admissions, £7.5bn through lost productivity, £1.1bn in social care). Smoking is England’s biggest killer, causing nearly 80,000 premature deaths a year and a heavy toll of illness, 33% of tobacco is consumed by people with mental health problems.</w:t>
            </w:r>
            <w:r w:rsidRPr="00DF18AB">
              <w:rPr>
                <w:rFonts w:eastAsia="HGSMinchoE"/>
                <w:bCs w:val="0"/>
                <w:szCs w:val="24"/>
                <w:vertAlign w:val="superscript"/>
                <w:lang w:eastAsia="en-GB"/>
              </w:rPr>
              <w:footnoteReference w:id="26"/>
            </w:r>
            <w:r w:rsidRPr="00DF18AB">
              <w:rPr>
                <w:rFonts w:eastAsia="HGSMinchoE" w:cs="Calibri"/>
                <w:bCs w:val="0"/>
                <w:szCs w:val="24"/>
                <w:vertAlign w:val="superscript"/>
                <w:lang w:eastAsia="en-GB"/>
              </w:rPr>
              <w:t xml:space="preserve"> </w:t>
            </w:r>
            <w:r w:rsidRPr="00DF18AB">
              <w:rPr>
                <w:rFonts w:eastAsia="HGSMinchoE" w:cs="Calibri"/>
                <w:bCs w:val="0"/>
                <w:szCs w:val="24"/>
                <w:lang w:eastAsia="en-GB"/>
              </w:rPr>
              <w:t>Smoking is the single largest cause of health inequalities</w:t>
            </w:r>
            <w:r w:rsidRPr="00DF18AB">
              <w:rPr>
                <w:rFonts w:eastAsia="HGSMinchoE"/>
                <w:bCs w:val="0"/>
                <w:szCs w:val="24"/>
                <w:vertAlign w:val="superscript"/>
                <w:lang w:eastAsia="en-GB"/>
              </w:rPr>
              <w:footnoteReference w:id="27"/>
            </w:r>
            <w:r w:rsidRPr="00DF18AB">
              <w:rPr>
                <w:rFonts w:eastAsia="HGSMinchoE" w:cs="Calibri"/>
                <w:bCs w:val="0"/>
                <w:szCs w:val="24"/>
                <w:vertAlign w:val="superscript"/>
                <w:lang w:eastAsia="en-GB"/>
              </w:rPr>
              <w:t>.</w:t>
            </w:r>
          </w:p>
          <w:p w:rsidR="00DF18AB" w:rsidRPr="00DF18AB" w:rsidRDefault="00DF18AB" w:rsidP="00DF18AB">
            <w:pPr>
              <w:rPr>
                <w:rFonts w:eastAsia="HGSMinchoE" w:cs="Calibri"/>
                <w:bCs w:val="0"/>
                <w:szCs w:val="24"/>
                <w:lang w:eastAsia="en-GB"/>
              </w:rPr>
            </w:pPr>
          </w:p>
          <w:p w:rsidR="00DF18AB" w:rsidRPr="00DF18AB" w:rsidRDefault="00DF18AB" w:rsidP="00DF18AB">
            <w:pPr>
              <w:rPr>
                <w:rFonts w:eastAsia="HGSMinchoE" w:cs="Calibri"/>
                <w:bCs w:val="0"/>
                <w:szCs w:val="24"/>
                <w:lang w:eastAsia="en-GB"/>
              </w:rPr>
            </w:pPr>
            <w:r w:rsidRPr="00DF18AB">
              <w:rPr>
                <w:rFonts w:eastAsia="HGSMinchoE" w:cs="Calibri"/>
                <w:bCs w:val="0"/>
                <w:szCs w:val="24"/>
                <w:lang w:eastAsia="en-GB"/>
              </w:rPr>
              <w:t>A Cochrane Review</w:t>
            </w:r>
            <w:r w:rsidRPr="00DF18AB">
              <w:rPr>
                <w:rFonts w:eastAsia="HGSMinchoE"/>
                <w:bCs w:val="0"/>
                <w:szCs w:val="24"/>
                <w:vertAlign w:val="superscript"/>
                <w:lang w:eastAsia="en-GB"/>
              </w:rPr>
              <w:footnoteReference w:id="28"/>
            </w:r>
            <w:r w:rsidRPr="00DF18AB">
              <w:rPr>
                <w:rFonts w:eastAsia="HGSMinchoE" w:cs="Calibri"/>
                <w:bCs w:val="0"/>
                <w:szCs w:val="24"/>
                <w:lang w:eastAsia="en-GB"/>
              </w:rPr>
              <w:t xml:space="preserve"> shows that smoking cessation interventions are effective for hospitalised patients regardless of admitting diagnosis. Inpatient smoking cessation leads to a reduced rate of wound infections, improved wound healing and increased rate of bone healing. Permanent smoking cessation reduces the risk of heart disease, stroke, cancer and premature death.  The quit rates among patients who want to quit and take up a referral to stop smoking services are between 15% and 20%, compared to 3% to 4% amongst those without a referral.</w:t>
            </w:r>
            <w:r w:rsidRPr="00DF18AB">
              <w:rPr>
                <w:rFonts w:eastAsia="HGSMinchoE" w:cs="Calibri"/>
                <w:bCs w:val="0"/>
                <w:szCs w:val="24"/>
                <w:vertAlign w:val="superscript"/>
                <w:lang w:eastAsia="en-GB"/>
              </w:rPr>
              <w:footnoteReference w:id="29"/>
            </w:r>
            <w:r w:rsidRPr="00DF18AB">
              <w:rPr>
                <w:rFonts w:eastAsia="HGSMinchoE" w:cs="Calibri"/>
                <w:bCs w:val="0"/>
                <w:color w:val="0000FF"/>
                <w:szCs w:val="24"/>
                <w:u w:val="single"/>
                <w:lang w:eastAsia="en-GB"/>
              </w:rPr>
              <w:t xml:space="preserve"> </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
                <w:bCs w:val="0"/>
                <w:szCs w:val="24"/>
                <w:lang w:eastAsia="en-GB"/>
              </w:rPr>
            </w:pPr>
            <w:r w:rsidRPr="00DF18AB">
              <w:rPr>
                <w:rFonts w:eastAsia="HGSMinchoE"/>
                <w:b/>
                <w:bCs w:val="0"/>
                <w:szCs w:val="24"/>
                <w:lang w:eastAsia="en-GB"/>
              </w:rPr>
              <w:t>The status quo nationally</w:t>
            </w:r>
          </w:p>
          <w:p w:rsidR="00DF18AB" w:rsidRPr="00DF18AB" w:rsidRDefault="00DF18AB" w:rsidP="00DF18AB">
            <w:pPr>
              <w:rPr>
                <w:rFonts w:eastAsia="HGSMinchoE"/>
                <w:bCs w:val="0"/>
                <w:szCs w:val="24"/>
                <w:lang w:eastAsia="en-GB"/>
              </w:rPr>
            </w:pPr>
            <w:r w:rsidRPr="00DF18AB">
              <w:rPr>
                <w:rFonts w:eastAsia="HGSMinchoE"/>
                <w:bCs w:val="0"/>
                <w:szCs w:val="24"/>
                <w:lang w:eastAsia="en-GB"/>
              </w:rPr>
              <w:t>Coverage of advice and referral interventions for smokers are patchy. Currently in secondary care, some patients may be asked if they smoke, but not all, and not at every admission, e.g. less than half of smokers admitted to hospital receive very brief advice to stop as an inpatient. For those patients that have been identified as a smoker, this is no guarantee that they will then be given an effective stop smoking intervention and referral to evidence based smoking cessation support. Currently, only 1.5% of smokers in acute hospital settings go onto make a quit attempt with stop smoking services.</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
                <w:bCs w:val="0"/>
                <w:szCs w:val="24"/>
                <w:lang w:eastAsia="en-GB"/>
              </w:rPr>
            </w:pPr>
            <w:r w:rsidRPr="00DF18AB">
              <w:rPr>
                <w:rFonts w:eastAsia="HGSMinchoE"/>
                <w:b/>
                <w:bCs w:val="0"/>
                <w:szCs w:val="24"/>
                <w:lang w:eastAsia="en-GB"/>
              </w:rPr>
              <w:t xml:space="preserve">The financial case </w:t>
            </w:r>
          </w:p>
          <w:p w:rsidR="00DF18AB" w:rsidRPr="00DF18AB" w:rsidRDefault="00DF18AB" w:rsidP="00DF18AB">
            <w:r w:rsidRPr="00DF18AB">
              <w:t>Modelling of the tobacco component of the CQUIN suggests that it could reduce costs through fewer admissions and improved health of smokers and passive smokers; resulting in net savings of £13 per patient referred to stop smoking support and prescribed Nicotine Replacement Therapy each year over 4 years. This is a conservative estimate accounting for the reduced cost of hospital admissions only.</w:t>
            </w:r>
          </w:p>
        </w:tc>
      </w:tr>
      <w:tr w:rsidR="00DF18AB" w:rsidRPr="00DF18AB" w:rsidTr="00593B8C">
        <w:tc>
          <w:tcPr>
            <w:tcW w:w="2802" w:type="dxa"/>
          </w:tcPr>
          <w:p w:rsidR="00DF18AB" w:rsidRPr="00DF18AB" w:rsidRDefault="00DF18AB" w:rsidP="00DF18AB">
            <w:pPr>
              <w:rPr>
                <w:rFonts w:eastAsia="HGSMinchoE"/>
                <w:bCs w:val="0"/>
                <w:szCs w:val="24"/>
                <w:lang w:eastAsia="en-GB"/>
              </w:rPr>
            </w:pPr>
            <w:r w:rsidRPr="00DF18AB">
              <w:rPr>
                <w:rFonts w:cs="Arial"/>
                <w:color w:val="000000"/>
                <w:lang w:eastAsia="en-GB"/>
              </w:rPr>
              <w:lastRenderedPageBreak/>
              <w:t>Data source</w:t>
            </w:r>
          </w:p>
        </w:tc>
        <w:tc>
          <w:tcPr>
            <w:tcW w:w="5953" w:type="dxa"/>
          </w:tcPr>
          <w:p w:rsidR="00DF18AB" w:rsidRPr="00DF18AB" w:rsidRDefault="00DF18AB" w:rsidP="00DF18AB">
            <w:pPr>
              <w:keepNext/>
              <w:tabs>
                <w:tab w:val="left" w:pos="2074"/>
              </w:tabs>
              <w:rPr>
                <w:rFonts w:eastAsia="HGSMinchoE"/>
                <w:b/>
                <w:bCs w:val="0"/>
                <w:szCs w:val="24"/>
                <w:lang w:eastAsia="en-GB"/>
              </w:rPr>
            </w:pPr>
            <w:r w:rsidRPr="00DF18AB">
              <w:rPr>
                <w:rFonts w:eastAsia="HGSMinchoE"/>
                <w:b/>
                <w:bCs w:val="0"/>
                <w:szCs w:val="24"/>
                <w:lang w:eastAsia="en-GB"/>
              </w:rPr>
              <w:t>Provider audit of patient records, submitted to CCGs on a quarterly basis:</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tabs>
                <w:tab w:val="left" w:pos="2074"/>
              </w:tabs>
              <w:rPr>
                <w:rFonts w:eastAsia="HGSMinchoE"/>
                <w:bCs w:val="0"/>
                <w:szCs w:val="24"/>
                <w:lang w:eastAsia="en-GB"/>
              </w:rPr>
            </w:pPr>
            <w:r w:rsidRPr="00DF18AB">
              <w:rPr>
                <w:rFonts w:eastAsia="HGSMinchoE"/>
                <w:bCs w:val="0"/>
                <w:szCs w:val="24"/>
                <w:lang w:eastAsia="en-GB"/>
              </w:rPr>
              <w:t>We propose that:</w:t>
            </w:r>
          </w:p>
          <w:p w:rsidR="00DF18AB" w:rsidRPr="00DF18AB" w:rsidRDefault="00DF18AB" w:rsidP="00DF18AB">
            <w:pPr>
              <w:keepNext/>
              <w:numPr>
                <w:ilvl w:val="0"/>
                <w:numId w:val="49"/>
              </w:numPr>
              <w:tabs>
                <w:tab w:val="left" w:pos="2074"/>
              </w:tabs>
              <w:contextualSpacing/>
              <w:rPr>
                <w:rFonts w:eastAsia="HGSMinchoE"/>
                <w:szCs w:val="24"/>
                <w:lang w:eastAsia="en-GB"/>
              </w:rPr>
            </w:pPr>
            <w:r w:rsidRPr="00DF18AB">
              <w:rPr>
                <w:rFonts w:eastAsia="HGSMinchoE"/>
                <w:szCs w:val="24"/>
                <w:lang w:eastAsia="en-GB"/>
              </w:rPr>
              <w:t xml:space="preserve">Providers with searchable electronic patient records audit </w:t>
            </w:r>
            <w:r w:rsidRPr="00DF18AB">
              <w:rPr>
                <w:rFonts w:eastAsia="HGSMinchoE"/>
                <w:b/>
                <w:szCs w:val="24"/>
                <w:lang w:eastAsia="en-GB"/>
              </w:rPr>
              <w:t>all patient records</w:t>
            </w:r>
            <w:r w:rsidRPr="00DF18AB">
              <w:rPr>
                <w:rFonts w:eastAsia="HGSMinchoE"/>
                <w:szCs w:val="24"/>
                <w:lang w:eastAsia="en-GB"/>
              </w:rPr>
              <w:t xml:space="preserve">. </w:t>
            </w:r>
          </w:p>
          <w:p w:rsidR="00DF18AB" w:rsidRPr="00DF18AB" w:rsidRDefault="00DF18AB" w:rsidP="00DF18AB">
            <w:pPr>
              <w:keepNext/>
              <w:numPr>
                <w:ilvl w:val="0"/>
                <w:numId w:val="49"/>
              </w:numPr>
              <w:tabs>
                <w:tab w:val="left" w:pos="2074"/>
              </w:tabs>
              <w:contextualSpacing/>
              <w:rPr>
                <w:rFonts w:eastAsia="HGSMinchoE"/>
                <w:szCs w:val="24"/>
                <w:lang w:eastAsia="en-GB"/>
              </w:rPr>
            </w:pPr>
            <w:r w:rsidRPr="00DF18AB">
              <w:rPr>
                <w:rFonts w:eastAsia="HGSMinchoE"/>
                <w:szCs w:val="24"/>
                <w:lang w:eastAsia="en-GB"/>
              </w:rPr>
              <w:t xml:space="preserve">Providers that do not have searchable electronic patient records conduct audits of a </w:t>
            </w:r>
            <w:r w:rsidRPr="00DF18AB">
              <w:rPr>
                <w:rFonts w:eastAsia="HGSMinchoE"/>
                <w:b/>
                <w:szCs w:val="24"/>
                <w:lang w:eastAsia="en-GB"/>
              </w:rPr>
              <w:t>random sample of patient records</w:t>
            </w:r>
            <w:r w:rsidRPr="00DF18AB">
              <w:rPr>
                <w:rFonts w:eastAsia="HGSMinchoE"/>
                <w:szCs w:val="24"/>
                <w:lang w:eastAsia="en-GB"/>
              </w:rPr>
              <w:t xml:space="preserve">. </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tabs>
                <w:tab w:val="left" w:pos="2074"/>
              </w:tabs>
              <w:rPr>
                <w:rFonts w:eastAsia="HGSMinchoE"/>
                <w:bCs w:val="0"/>
                <w:szCs w:val="24"/>
                <w:lang w:eastAsia="en-GB"/>
              </w:rPr>
            </w:pPr>
            <w:r w:rsidRPr="00DF18AB">
              <w:rPr>
                <w:rFonts w:eastAsia="HGSMinchoE"/>
                <w:b/>
                <w:bCs w:val="0"/>
                <w:szCs w:val="24"/>
                <w:lang w:eastAsia="en-GB"/>
              </w:rPr>
              <w:t>The case notes in scope</w:t>
            </w:r>
            <w:r w:rsidRPr="00DF18AB">
              <w:rPr>
                <w:rFonts w:eastAsia="HGSMinchoE"/>
                <w:bCs w:val="0"/>
                <w:szCs w:val="24"/>
                <w:lang w:eastAsia="en-GB"/>
              </w:rPr>
              <w:t xml:space="preserve"> of the audit are of all completed emergency and elective admissions   (</w:t>
            </w:r>
            <w:proofErr w:type="spellStart"/>
            <w:r w:rsidRPr="00DF18AB">
              <w:rPr>
                <w:rFonts w:eastAsia="HGSMinchoE"/>
                <w:bCs w:val="0"/>
                <w:szCs w:val="24"/>
                <w:lang w:eastAsia="en-GB"/>
              </w:rPr>
              <w:t>ie</w:t>
            </w:r>
            <w:proofErr w:type="spellEnd"/>
            <w:r w:rsidRPr="00DF18AB">
              <w:rPr>
                <w:rFonts w:eastAsia="HGSMinchoE"/>
                <w:bCs w:val="0"/>
                <w:szCs w:val="24"/>
                <w:lang w:eastAsia="en-GB"/>
              </w:rPr>
              <w:t xml:space="preserve"> all inpatient admissions) with Length of Stay equal to or bigger than 1 day over the last three months. </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tabs>
                <w:tab w:val="left" w:pos="2074"/>
              </w:tabs>
              <w:rPr>
                <w:rFonts w:eastAsia="HGSMinchoE"/>
                <w:bCs w:val="0"/>
                <w:szCs w:val="24"/>
                <w:lang w:eastAsia="en-GB"/>
              </w:rPr>
            </w:pPr>
            <w:r w:rsidRPr="00DF18AB">
              <w:rPr>
                <w:rFonts w:eastAsia="HGSMinchoE"/>
                <w:b/>
                <w:bCs w:val="0"/>
                <w:szCs w:val="24"/>
                <w:lang w:eastAsia="en-GB"/>
              </w:rPr>
              <w:t>The following exclusion criteria</w:t>
            </w:r>
            <w:r w:rsidRPr="00DF18AB">
              <w:rPr>
                <w:rFonts w:eastAsia="HGSMinchoE"/>
                <w:bCs w:val="0"/>
                <w:szCs w:val="24"/>
                <w:lang w:eastAsia="en-GB"/>
              </w:rPr>
              <w:t xml:space="preserve"> should be applied: </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numPr>
                <w:ilvl w:val="0"/>
                <w:numId w:val="50"/>
              </w:numPr>
              <w:tabs>
                <w:tab w:val="left" w:pos="2074"/>
              </w:tabs>
              <w:contextualSpacing/>
              <w:rPr>
                <w:rFonts w:eastAsia="HGSMinchoE"/>
                <w:szCs w:val="24"/>
                <w:lang w:eastAsia="en-GB"/>
              </w:rPr>
            </w:pPr>
            <w:r w:rsidRPr="00DF18AB">
              <w:rPr>
                <w:rFonts w:eastAsia="HGSMinchoE"/>
                <w:szCs w:val="24"/>
                <w:lang w:eastAsia="en-GB"/>
              </w:rPr>
              <w:t>All patients below 18 years of age</w:t>
            </w:r>
          </w:p>
          <w:p w:rsidR="00DF18AB" w:rsidRPr="00DF18AB" w:rsidRDefault="00DF18AB" w:rsidP="00DF18AB">
            <w:pPr>
              <w:keepNext/>
              <w:numPr>
                <w:ilvl w:val="0"/>
                <w:numId w:val="50"/>
              </w:numPr>
              <w:tabs>
                <w:tab w:val="left" w:pos="2074"/>
              </w:tabs>
              <w:contextualSpacing/>
              <w:rPr>
                <w:rFonts w:eastAsia="HGSMinchoE"/>
                <w:szCs w:val="24"/>
                <w:lang w:eastAsia="en-GB"/>
              </w:rPr>
            </w:pPr>
            <w:r w:rsidRPr="00DF18AB">
              <w:rPr>
                <w:rFonts w:eastAsia="HGSMinchoE"/>
                <w:szCs w:val="24"/>
                <w:lang w:eastAsia="en-GB"/>
              </w:rPr>
              <w:t>All in-patients in maternity wards</w:t>
            </w:r>
          </w:p>
          <w:p w:rsidR="00DF18AB" w:rsidRPr="00DF18AB" w:rsidRDefault="00DF18AB" w:rsidP="00DF18AB">
            <w:pPr>
              <w:keepNext/>
              <w:numPr>
                <w:ilvl w:val="0"/>
                <w:numId w:val="50"/>
              </w:numPr>
              <w:tabs>
                <w:tab w:val="left" w:pos="2074"/>
              </w:tabs>
              <w:contextualSpacing/>
              <w:rPr>
                <w:rFonts w:eastAsia="HGSMinchoE"/>
                <w:szCs w:val="24"/>
                <w:lang w:eastAsia="en-GB"/>
              </w:rPr>
            </w:pPr>
            <w:r w:rsidRPr="00DF18AB">
              <w:rPr>
                <w:rFonts w:eastAsia="HGSMinchoE"/>
                <w:szCs w:val="24"/>
                <w:lang w:eastAsia="en-GB"/>
              </w:rPr>
              <w:t>All A&amp;E attendances that do not lead to in-patient admissions</w:t>
            </w:r>
          </w:p>
          <w:p w:rsidR="00DF18AB" w:rsidRPr="00DF18AB" w:rsidRDefault="00DF18AB" w:rsidP="00DF18AB">
            <w:pPr>
              <w:keepNext/>
              <w:numPr>
                <w:ilvl w:val="0"/>
                <w:numId w:val="50"/>
              </w:numPr>
              <w:tabs>
                <w:tab w:val="left" w:pos="2074"/>
              </w:tabs>
              <w:contextualSpacing/>
              <w:rPr>
                <w:rFonts w:eastAsia="HGSMinchoE"/>
                <w:szCs w:val="24"/>
                <w:lang w:eastAsia="en-GB"/>
              </w:rPr>
            </w:pPr>
            <w:r w:rsidRPr="00DF18AB">
              <w:rPr>
                <w:rFonts w:eastAsia="HGSMinchoE"/>
                <w:szCs w:val="24"/>
                <w:lang w:eastAsia="en-GB"/>
              </w:rPr>
              <w:t>All repeat admissions during the duration of the CQUIN (i.e. FY 17/18 and 18/19) of patients who have already received the intervention.</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tabs>
                <w:tab w:val="left" w:pos="2074"/>
              </w:tabs>
              <w:rPr>
                <w:rFonts w:eastAsia="HGSMinchoE"/>
                <w:bCs w:val="0"/>
                <w:szCs w:val="24"/>
                <w:lang w:eastAsia="en-GB"/>
              </w:rPr>
            </w:pPr>
            <w:r w:rsidRPr="00DF18AB">
              <w:rPr>
                <w:rFonts w:eastAsia="HGSMinchoE"/>
                <w:b/>
                <w:bCs w:val="0"/>
                <w:szCs w:val="24"/>
                <w:lang w:eastAsia="en-GB"/>
              </w:rPr>
              <w:t xml:space="preserve">For audits based on samples </w:t>
            </w:r>
            <w:r w:rsidRPr="00DF18AB">
              <w:rPr>
                <w:rFonts w:eastAsia="HGSMinchoE"/>
                <w:bCs w:val="0"/>
                <w:szCs w:val="24"/>
                <w:lang w:eastAsia="en-GB"/>
              </w:rPr>
              <w:t xml:space="preserve">of the eligible patient records, it is suggested that they identify a random sample, an appropriate sample size and an appropriate method for conducting the review. Additional guidance on sampling is provided in Annex B. </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contextualSpacing/>
              <w:rPr>
                <w:rFonts w:cs="Arial"/>
                <w:color w:val="000000"/>
                <w:lang w:eastAsia="en-GB"/>
              </w:rPr>
            </w:pPr>
            <w:r w:rsidRPr="00DF18AB">
              <w:rPr>
                <w:rFonts w:cs="Arial"/>
                <w:b/>
                <w:color w:val="000000"/>
                <w:lang w:eastAsia="en-GB"/>
              </w:rPr>
              <w:t>The sampling method</w:t>
            </w:r>
            <w:r w:rsidRPr="00DF18AB">
              <w:rPr>
                <w:rFonts w:cs="Arial"/>
                <w:color w:val="000000"/>
                <w:lang w:eastAsia="en-GB"/>
              </w:rPr>
              <w:t xml:space="preserve"> used should seek to ensure that a cross-section of appropriate wards are represented in the sample. Audits to be undertaken by provider performance and insight teams.</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tabs>
                <w:tab w:val="left" w:pos="2074"/>
              </w:tabs>
              <w:rPr>
                <w:rFonts w:eastAsia="HGSMinchoE"/>
                <w:bCs w:val="0"/>
                <w:szCs w:val="24"/>
                <w:lang w:eastAsia="en-GB"/>
              </w:rPr>
            </w:pPr>
            <w:r w:rsidRPr="00DF18AB">
              <w:rPr>
                <w:rFonts w:eastAsia="HGSMinchoE"/>
                <w:b/>
                <w:bCs w:val="0"/>
                <w:szCs w:val="24"/>
                <w:lang w:eastAsia="en-GB"/>
              </w:rPr>
              <w:t>Patient records should be clear and consistent</w:t>
            </w:r>
            <w:r w:rsidRPr="00DF18AB">
              <w:rPr>
                <w:rFonts w:eastAsia="HGSMinchoE"/>
                <w:bCs w:val="0"/>
                <w:szCs w:val="24"/>
                <w:lang w:eastAsia="en-GB"/>
              </w:rPr>
              <w:t xml:space="preserve"> in the way that the individual components of the CQUIN actions are recorded to enable uniform collection across the provider. It is the responsibility of providers to identify the most effective way of recording the required information and communicating this to relevant staff</w:t>
            </w:r>
            <w:r w:rsidRPr="00DF18AB">
              <w:rPr>
                <w:rFonts w:eastAsia="HGSMinchoE"/>
                <w:bCs w:val="0"/>
                <w:szCs w:val="24"/>
                <w:vertAlign w:val="superscript"/>
                <w:lang w:eastAsia="en-GB"/>
              </w:rPr>
              <w:footnoteReference w:id="30"/>
            </w:r>
            <w:r w:rsidRPr="00DF18AB">
              <w:rPr>
                <w:rFonts w:eastAsia="HGSMinchoE"/>
                <w:bCs w:val="0"/>
                <w:szCs w:val="24"/>
                <w:lang w:eastAsia="en-GB"/>
              </w:rPr>
              <w:t xml:space="preserve">. </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 xml:space="preserve">Frequency of data </w:t>
            </w:r>
            <w:r w:rsidRPr="00DF18AB">
              <w:rPr>
                <w:rFonts w:cs="Arial"/>
                <w:b/>
                <w:color w:val="000000"/>
                <w:lang w:eastAsia="en-GB"/>
              </w:rPr>
              <w:lastRenderedPageBreak/>
              <w:t>collection</w:t>
            </w:r>
          </w:p>
        </w:tc>
        <w:tc>
          <w:tcPr>
            <w:tcW w:w="5953" w:type="dxa"/>
          </w:tcPr>
          <w:p w:rsidR="00DF18AB" w:rsidRPr="00DF18AB" w:rsidRDefault="00DF18AB" w:rsidP="00DF18AB">
            <w:pPr>
              <w:rPr>
                <w:rFonts w:eastAsia="HGSMinchoE"/>
                <w:bCs w:val="0"/>
                <w:szCs w:val="24"/>
                <w:lang w:eastAsia="en-GB"/>
              </w:rPr>
            </w:pPr>
            <w:r w:rsidRPr="00DF18AB">
              <w:rPr>
                <w:rFonts w:eastAsia="HGSMinchoE"/>
                <w:b/>
                <w:bCs w:val="0"/>
                <w:szCs w:val="24"/>
                <w:lang w:eastAsia="en-GB"/>
              </w:rPr>
              <w:lastRenderedPageBreak/>
              <w:t>Quarterly</w:t>
            </w:r>
            <w:r w:rsidRPr="00DF18AB">
              <w:rPr>
                <w:rFonts w:eastAsia="HGSMinchoE"/>
                <w:bCs w:val="0"/>
                <w:szCs w:val="24"/>
                <w:lang w:eastAsia="en-GB"/>
              </w:rPr>
              <w:t xml:space="preserve">. Data to be collected ahead of quarterly </w:t>
            </w:r>
            <w:r w:rsidRPr="00DF18AB">
              <w:rPr>
                <w:rFonts w:eastAsia="HGSMinchoE"/>
                <w:bCs w:val="0"/>
                <w:szCs w:val="24"/>
                <w:lang w:eastAsia="en-GB"/>
              </w:rPr>
              <w:lastRenderedPageBreak/>
              <w:t xml:space="preserve">audit. </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Cs w:val="0"/>
                <w:szCs w:val="24"/>
                <w:lang w:eastAsia="en-GB"/>
              </w:rPr>
            </w:pPr>
            <w:r w:rsidRPr="00DF18AB">
              <w:rPr>
                <w:rFonts w:eastAsia="HGSMinchoE"/>
                <w:bCs w:val="0"/>
                <w:szCs w:val="24"/>
                <w:lang w:eastAsia="en-GB"/>
              </w:rPr>
              <w:t>Note that the data that is required for the audits are patient case notes which are to be updated by staff whenever relevant.</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lastRenderedPageBreak/>
              <w:t>Organisation responsible for data collection</w:t>
            </w:r>
          </w:p>
        </w:tc>
        <w:tc>
          <w:tcPr>
            <w:tcW w:w="5953" w:type="dxa"/>
          </w:tcPr>
          <w:p w:rsidR="00DF18AB" w:rsidRPr="00DF18AB" w:rsidRDefault="00DF18AB" w:rsidP="00DF18AB">
            <w:pPr>
              <w:rPr>
                <w:rFonts w:eastAsia="HGSMinchoE"/>
                <w:bCs w:val="0"/>
                <w:szCs w:val="24"/>
                <w:lang w:eastAsia="en-GB"/>
              </w:rPr>
            </w:pPr>
            <w:r w:rsidRPr="00DF18AB">
              <w:rPr>
                <w:rFonts w:eastAsia="HGSMinchoE"/>
                <w:b/>
                <w:bCs w:val="0"/>
                <w:szCs w:val="24"/>
                <w:lang w:eastAsia="en-GB"/>
              </w:rPr>
              <w:t>Provider</w:t>
            </w:r>
            <w:r w:rsidRPr="00DF18AB">
              <w:rPr>
                <w:rFonts w:eastAsia="HGSMinchoE"/>
                <w:bCs w:val="0"/>
                <w:szCs w:val="24"/>
                <w:lang w:eastAsia="en-GB"/>
              </w:rPr>
              <w:t>.</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Frequency of reporting to commissioner</w:t>
            </w:r>
          </w:p>
        </w:tc>
        <w:tc>
          <w:tcPr>
            <w:tcW w:w="5953" w:type="dxa"/>
          </w:tcPr>
          <w:p w:rsidR="00DF18AB" w:rsidRPr="00DF18AB" w:rsidRDefault="00DF18AB" w:rsidP="00DF18AB">
            <w:pPr>
              <w:keepNext/>
              <w:tabs>
                <w:tab w:val="left" w:pos="2074"/>
              </w:tabs>
              <w:rPr>
                <w:rFonts w:eastAsia="HGSMinchoE"/>
                <w:bCs w:val="0"/>
                <w:szCs w:val="24"/>
                <w:lang w:eastAsia="en-GB"/>
              </w:rPr>
            </w:pPr>
            <w:r w:rsidRPr="00DF18AB">
              <w:rPr>
                <w:rFonts w:eastAsia="HGSMinchoE"/>
                <w:b/>
                <w:bCs w:val="0"/>
                <w:szCs w:val="24"/>
                <w:lang w:eastAsia="en-GB"/>
              </w:rPr>
              <w:t>Quarterly</w:t>
            </w:r>
            <w:r w:rsidRPr="00DF18AB">
              <w:rPr>
                <w:rFonts w:eastAsia="HGSMinchoE"/>
                <w:bCs w:val="0"/>
                <w:szCs w:val="24"/>
                <w:lang w:eastAsia="en-GB"/>
              </w:rPr>
              <w:t xml:space="preserve">.  </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tabs>
                <w:tab w:val="left" w:pos="2074"/>
              </w:tabs>
              <w:rPr>
                <w:rFonts w:eastAsia="HGSMinchoE"/>
                <w:bCs w:val="0"/>
                <w:szCs w:val="24"/>
                <w:lang w:eastAsia="en-GB"/>
              </w:rPr>
            </w:pPr>
            <w:r w:rsidRPr="00DF18AB">
              <w:rPr>
                <w:rFonts w:eastAsia="HGSMinchoE"/>
                <w:bCs w:val="0"/>
                <w:szCs w:val="24"/>
                <w:lang w:eastAsia="en-GB"/>
              </w:rPr>
              <w:t xml:space="preserve">Note that to enable national audits, providers are required to simultaneously submit audit data to NHS England via UNIFY on a quarterly basis as well. </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Baseline period/date</w:t>
            </w:r>
          </w:p>
        </w:tc>
        <w:tc>
          <w:tcPr>
            <w:tcW w:w="5953"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 xml:space="preserve">Baseline to be identified and set during Q1 of the CQUIN (i.e. Q1 of FY 17/18); see </w:t>
            </w:r>
            <w:r w:rsidRPr="00DF18AB">
              <w:rPr>
                <w:rFonts w:eastAsia="HGSMinchoE"/>
                <w:bCs w:val="0"/>
                <w:i/>
                <w:szCs w:val="24"/>
                <w:lang w:eastAsia="en-GB"/>
              </w:rPr>
              <w:t>Milestones</w:t>
            </w:r>
            <w:r w:rsidRPr="00DF18AB">
              <w:rPr>
                <w:rFonts w:eastAsia="HGSMinchoE"/>
                <w:bCs w:val="0"/>
                <w:szCs w:val="24"/>
                <w:lang w:eastAsia="en-GB"/>
              </w:rPr>
              <w:t xml:space="preserve"> below.</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Baseline value</w:t>
            </w:r>
          </w:p>
        </w:tc>
        <w:tc>
          <w:tcPr>
            <w:tcW w:w="5953" w:type="dxa"/>
          </w:tcPr>
          <w:p w:rsidR="00DF18AB" w:rsidRPr="00DF18AB" w:rsidRDefault="00DF18AB" w:rsidP="00DF18AB">
            <w:pPr>
              <w:keepNext/>
              <w:contextualSpacing/>
              <w:rPr>
                <w:rFonts w:cs="Arial"/>
                <w:color w:val="000000"/>
                <w:lang w:eastAsia="en-GB"/>
              </w:rPr>
            </w:pPr>
            <w:r w:rsidRPr="00DF18AB">
              <w:rPr>
                <w:rFonts w:cs="Arial"/>
                <w:color w:val="000000"/>
                <w:lang w:eastAsia="en-GB"/>
              </w:rPr>
              <w:t xml:space="preserve">To be determined locally, based on baseline setting exercise in Q1; </w:t>
            </w:r>
            <w:r w:rsidRPr="00DF18AB">
              <w:rPr>
                <w:rFonts w:eastAsia="HGSMinchoE"/>
                <w:bCs w:val="0"/>
                <w:szCs w:val="24"/>
                <w:lang w:eastAsia="en-GB"/>
              </w:rPr>
              <w:t xml:space="preserve">see </w:t>
            </w:r>
            <w:r w:rsidRPr="00DF18AB">
              <w:rPr>
                <w:rFonts w:eastAsia="HGSMinchoE"/>
                <w:bCs w:val="0"/>
                <w:i/>
                <w:szCs w:val="24"/>
                <w:lang w:eastAsia="en-GB"/>
              </w:rPr>
              <w:t>Milestones</w:t>
            </w:r>
            <w:r w:rsidRPr="00DF18AB">
              <w:rPr>
                <w:rFonts w:eastAsia="HGSMinchoE"/>
                <w:bCs w:val="0"/>
                <w:szCs w:val="24"/>
                <w:lang w:eastAsia="en-GB"/>
              </w:rPr>
              <w:t xml:space="preserve"> below.</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Final indicator period/date (on which payment is based)</w:t>
            </w:r>
          </w:p>
        </w:tc>
        <w:tc>
          <w:tcPr>
            <w:tcW w:w="5953"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 xml:space="preserve">Quarter 4 FY 18/19. </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Final indicator value (payment threshold)</w:t>
            </w:r>
          </w:p>
        </w:tc>
        <w:tc>
          <w:tcPr>
            <w:tcW w:w="5953" w:type="dxa"/>
          </w:tcPr>
          <w:p w:rsidR="00DF18AB" w:rsidRPr="00DF18AB" w:rsidRDefault="00DF18AB" w:rsidP="00DF18AB">
            <w:pPr>
              <w:rPr>
                <w:rFonts w:cs="Arial"/>
                <w:b/>
                <w:color w:val="000000"/>
                <w:lang w:eastAsia="en-GB"/>
              </w:rPr>
            </w:pPr>
            <w:r w:rsidRPr="00DF18AB">
              <w:rPr>
                <w:rFonts w:cs="Arial"/>
                <w:b/>
                <w:color w:val="000000"/>
                <w:lang w:eastAsia="en-GB"/>
              </w:rPr>
              <w:t xml:space="preserve">90% </w:t>
            </w:r>
            <w:r w:rsidRPr="00DF18AB">
              <w:rPr>
                <w:rFonts w:cs="Arial"/>
                <w:color w:val="000000"/>
                <w:lang w:eastAsia="en-GB"/>
              </w:rPr>
              <w:t>(NB: – this might be reviewed for 18/19 in light of learning from the first year of the scheme).</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Final indicator reporting date</w:t>
            </w:r>
          </w:p>
        </w:tc>
        <w:tc>
          <w:tcPr>
            <w:tcW w:w="5953" w:type="dxa"/>
          </w:tcPr>
          <w:p w:rsidR="00DF18AB" w:rsidRPr="00DF18AB" w:rsidRDefault="00DF18AB" w:rsidP="00DF18AB">
            <w:pPr>
              <w:keepNext/>
              <w:contextualSpacing/>
              <w:rPr>
                <w:rFonts w:eastAsia="HGSMinchoE"/>
                <w:bCs w:val="0"/>
                <w:szCs w:val="24"/>
                <w:lang w:eastAsia="en-GB"/>
              </w:rPr>
            </w:pPr>
            <w:r w:rsidRPr="00DF18AB">
              <w:rPr>
                <w:rFonts w:eastAsia="HGSMinchoE"/>
                <w:bCs w:val="0"/>
                <w:szCs w:val="24"/>
                <w:lang w:eastAsia="en-GB"/>
              </w:rPr>
              <w:t>As soon as possible after Q4 2018/19.</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Are there rules for any agreed in-year milestones that result in payment?</w:t>
            </w:r>
          </w:p>
        </w:tc>
        <w:tc>
          <w:tcPr>
            <w:tcW w:w="5953"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 xml:space="preserve">Yes. </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Cs w:val="0"/>
                <w:szCs w:val="24"/>
                <w:lang w:eastAsia="en-GB"/>
              </w:rPr>
            </w:pPr>
            <w:r w:rsidRPr="00DF18AB">
              <w:rPr>
                <w:rFonts w:eastAsia="HGSMinchoE"/>
                <w:b/>
                <w:bCs w:val="0"/>
                <w:szCs w:val="24"/>
                <w:lang w:eastAsia="en-GB"/>
              </w:rPr>
              <w:t>Quarter 1</w:t>
            </w:r>
            <w:r w:rsidRPr="00DF18AB">
              <w:rPr>
                <w:rFonts w:eastAsia="HGSMinchoE"/>
                <w:bCs w:val="0"/>
                <w:szCs w:val="24"/>
                <w:lang w:eastAsia="en-GB"/>
              </w:rPr>
              <w:t xml:space="preserve"> – payment is available for achieving three milestones at the end of Q1, namely a) completing an information systems audit; b) training staff to deliver brief advice and c) collect baseline data. Payment is split equally between a), b) and c), for more detail see </w:t>
            </w:r>
            <w:r w:rsidRPr="00DF18AB">
              <w:rPr>
                <w:rFonts w:eastAsia="HGSMinchoE"/>
                <w:bCs w:val="0"/>
                <w:i/>
                <w:szCs w:val="24"/>
                <w:lang w:eastAsia="en-GB"/>
              </w:rPr>
              <w:t>Milestones</w:t>
            </w:r>
            <w:r w:rsidRPr="00DF18AB">
              <w:rPr>
                <w:rFonts w:eastAsia="HGSMinchoE"/>
                <w:bCs w:val="0"/>
                <w:szCs w:val="24"/>
                <w:lang w:eastAsia="en-GB"/>
              </w:rPr>
              <w:t xml:space="preserve"> below.</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Cs w:val="0"/>
                <w:i/>
                <w:szCs w:val="24"/>
                <w:lang w:eastAsia="en-GB"/>
              </w:rPr>
            </w:pPr>
            <w:r w:rsidRPr="00DF18AB">
              <w:rPr>
                <w:rFonts w:eastAsia="HGSMinchoE"/>
                <w:b/>
                <w:bCs w:val="0"/>
                <w:szCs w:val="24"/>
                <w:lang w:eastAsia="en-GB"/>
              </w:rPr>
              <w:t>Quarter 2 and onwards</w:t>
            </w:r>
            <w:r w:rsidRPr="00DF18AB">
              <w:rPr>
                <w:rFonts w:eastAsia="HGSMinchoE"/>
                <w:bCs w:val="0"/>
                <w:szCs w:val="24"/>
                <w:lang w:eastAsia="en-GB"/>
              </w:rPr>
              <w:t xml:space="preserve"> – payment is available for high (i.e. to target performance) or improving performance across the indicators; performance data will be submitted on a quarterly basis by providers to commissioners who will reward payment.</w:t>
            </w:r>
          </w:p>
        </w:tc>
      </w:tr>
      <w:tr w:rsidR="00DF18AB" w:rsidRPr="00DF18AB" w:rsidTr="00593B8C">
        <w:tc>
          <w:tcPr>
            <w:tcW w:w="2802" w:type="dxa"/>
          </w:tcPr>
          <w:p w:rsidR="00DF18AB" w:rsidRPr="00DF18AB" w:rsidRDefault="00DF18AB" w:rsidP="00DF18AB">
            <w:pPr>
              <w:rPr>
                <w:rFonts w:cs="Arial"/>
                <w:b/>
                <w:color w:val="000000"/>
                <w:lang w:eastAsia="en-GB"/>
              </w:rPr>
            </w:pPr>
            <w:r w:rsidRPr="00DF18AB">
              <w:rPr>
                <w:rFonts w:cs="Arial"/>
                <w:b/>
                <w:color w:val="000000"/>
                <w:lang w:eastAsia="en-GB"/>
              </w:rPr>
              <w:t>Are there any rules for partial achievement of the indicator at the final indicator period/date?</w:t>
            </w:r>
          </w:p>
        </w:tc>
        <w:tc>
          <w:tcPr>
            <w:tcW w:w="5953" w:type="dxa"/>
          </w:tcPr>
          <w:p w:rsidR="00DF18AB" w:rsidRPr="00DF18AB" w:rsidRDefault="00DF18AB" w:rsidP="00DF18AB">
            <w:pPr>
              <w:rPr>
                <w:rFonts w:eastAsia="Calibri" w:cs="Arial"/>
                <w:szCs w:val="24"/>
                <w:lang w:eastAsia="en-GB"/>
              </w:rPr>
            </w:pPr>
            <w:r w:rsidRPr="00DF18AB">
              <w:rPr>
                <w:rFonts w:eastAsia="Calibri" w:cs="Arial"/>
                <w:szCs w:val="24"/>
                <w:lang w:eastAsia="en-GB"/>
              </w:rPr>
              <w:t xml:space="preserve">Yes – see </w:t>
            </w:r>
            <w:r w:rsidRPr="00DF18AB">
              <w:rPr>
                <w:rFonts w:eastAsia="Calibri" w:cs="Arial"/>
                <w:i/>
                <w:szCs w:val="24"/>
                <w:lang w:eastAsia="en-GB"/>
              </w:rPr>
              <w:t xml:space="preserve">Rules for partial achievement </w:t>
            </w:r>
            <w:r w:rsidRPr="00DF18AB">
              <w:rPr>
                <w:rFonts w:eastAsia="Calibri" w:cs="Arial"/>
                <w:szCs w:val="24"/>
                <w:lang w:eastAsia="en-GB"/>
              </w:rPr>
              <w:t>below</w:t>
            </w:r>
          </w:p>
        </w:tc>
      </w:tr>
    </w:tbl>
    <w:p w:rsidR="00DF18AB" w:rsidRPr="00DF18AB" w:rsidRDefault="00DF18AB" w:rsidP="00DF18AB">
      <w:pPr>
        <w:rPr>
          <w:lang w:eastAsia="en-GB"/>
        </w:rPr>
      </w:pPr>
    </w:p>
    <w:p w:rsidR="00DF18AB" w:rsidRPr="00DF18AB" w:rsidRDefault="00DF18AB" w:rsidP="00DF18AB">
      <w:pPr>
        <w:rPr>
          <w:rFonts w:eastAsiaTheme="majorEastAsia" w:cstheme="majorBidi"/>
          <w:b/>
          <w:bCs w:val="0"/>
          <w:iCs/>
          <w:color w:val="A00054" w:themeColor="accent2"/>
          <w:lang w:eastAsia="en-GB"/>
        </w:rPr>
      </w:pPr>
      <w:r w:rsidRPr="00DF18AB">
        <w:rPr>
          <w:lang w:eastAsia="en-GB"/>
        </w:rPr>
        <w:br w:type="page"/>
      </w:r>
    </w:p>
    <w:p w:rsidR="00DF18AB" w:rsidRPr="00DF18AB" w:rsidRDefault="00DF18AB" w:rsidP="00DF18AB">
      <w:pPr>
        <w:keepNext/>
        <w:keepLines/>
        <w:outlineLvl w:val="3"/>
        <w:rPr>
          <w:rFonts w:eastAsiaTheme="majorEastAsia" w:cstheme="majorBidi"/>
          <w:b/>
          <w:bCs w:val="0"/>
          <w:iCs/>
          <w:color w:val="A00054" w:themeColor="accent2"/>
          <w:lang w:eastAsia="en-GB"/>
        </w:rPr>
      </w:pPr>
      <w:r w:rsidRPr="00DF18AB">
        <w:rPr>
          <w:rFonts w:eastAsiaTheme="majorEastAsia" w:cstheme="majorBidi"/>
          <w:b/>
          <w:bCs w:val="0"/>
          <w:iCs/>
          <w:color w:val="A00054" w:themeColor="accent2"/>
          <w:lang w:eastAsia="en-GB"/>
        </w:rPr>
        <w:lastRenderedPageBreak/>
        <w:t>Indicator 9b Tobacco brief advice</w:t>
      </w:r>
    </w:p>
    <w:p w:rsidR="00DF18AB" w:rsidRPr="00DF18AB" w:rsidRDefault="00DF18AB" w:rsidP="00DF18AB">
      <w:pPr>
        <w:rPr>
          <w:lang w:eastAsia="en-GB"/>
        </w:rPr>
      </w:pPr>
    </w:p>
    <w:tbl>
      <w:tblPr>
        <w:tblStyle w:val="TableGrid561"/>
        <w:tblW w:w="0" w:type="auto"/>
        <w:tblLook w:val="04A0" w:firstRow="1" w:lastRow="0" w:firstColumn="1" w:lastColumn="0" w:noHBand="0" w:noVBand="1"/>
        <w:tblCaption w:val="Indicator"/>
      </w:tblPr>
      <w:tblGrid>
        <w:gridCol w:w="2802"/>
        <w:gridCol w:w="6378"/>
      </w:tblGrid>
      <w:tr w:rsidR="00DF18AB" w:rsidRPr="00DF18AB" w:rsidTr="00593B8C">
        <w:trPr>
          <w:tblHeader/>
        </w:trPr>
        <w:tc>
          <w:tcPr>
            <w:tcW w:w="9180" w:type="dxa"/>
            <w:gridSpan w:val="2"/>
            <w:shd w:val="clear" w:color="auto" w:fill="0070C0"/>
          </w:tcPr>
          <w:p w:rsidR="00DF18AB" w:rsidRPr="00DF18AB" w:rsidRDefault="00DF18AB" w:rsidP="00DF18AB">
            <w:pPr>
              <w:jc w:val="center"/>
              <w:rPr>
                <w:rFonts w:eastAsia="HGSMinchoE"/>
                <w:bCs w:val="0"/>
                <w:szCs w:val="24"/>
                <w:lang w:eastAsia="en-GB"/>
              </w:rPr>
            </w:pPr>
            <w:r w:rsidRPr="00DF18AB">
              <w:rPr>
                <w:rFonts w:cs="Arial"/>
                <w:b/>
                <w:color w:val="FFFFFF"/>
                <w:lang w:eastAsia="en-GB"/>
              </w:rPr>
              <w:t xml:space="preserve">Indicator 9b </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Indicator name</w:t>
            </w:r>
          </w:p>
        </w:tc>
        <w:tc>
          <w:tcPr>
            <w:tcW w:w="6378" w:type="dxa"/>
          </w:tcPr>
          <w:p w:rsidR="00DF18AB" w:rsidRPr="00DF18AB" w:rsidRDefault="00DF18AB" w:rsidP="00DF18AB">
            <w:pPr>
              <w:rPr>
                <w:rFonts w:eastAsia="HGSMinchoE"/>
                <w:bCs w:val="0"/>
                <w:szCs w:val="24"/>
                <w:lang w:eastAsia="en-GB"/>
              </w:rPr>
            </w:pPr>
            <w:r w:rsidRPr="00DF18AB">
              <w:rPr>
                <w:rFonts w:cs="Arial"/>
                <w:color w:val="000000"/>
                <w:lang w:eastAsia="en-GB"/>
              </w:rPr>
              <w:t>Tobacco brief advice</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 xml:space="preserve">Indicator weighting </w:t>
            </w:r>
            <w:r w:rsidRPr="00DF18AB">
              <w:rPr>
                <w:rFonts w:cs="Arial"/>
                <w:b/>
                <w:color w:val="000000"/>
                <w:lang w:eastAsia="en-GB"/>
              </w:rPr>
              <w:br/>
              <w:t>(% of CQUIN scheme available)</w:t>
            </w:r>
          </w:p>
        </w:tc>
        <w:tc>
          <w:tcPr>
            <w:tcW w:w="6378" w:type="dxa"/>
          </w:tcPr>
          <w:p w:rsidR="00DF18AB" w:rsidRPr="00DF18AB" w:rsidRDefault="00DF18AB" w:rsidP="00DF18AB">
            <w:pPr>
              <w:rPr>
                <w:rFonts w:cs="Arial"/>
                <w:b/>
                <w:color w:val="000000"/>
                <w:lang w:eastAsia="en-GB"/>
              </w:rPr>
            </w:pPr>
            <w:r w:rsidRPr="00DF18AB">
              <w:rPr>
                <w:rFonts w:cs="Arial"/>
                <w:color w:val="000000"/>
                <w:lang w:eastAsia="en-GB"/>
              </w:rPr>
              <w:t xml:space="preserve">Achievement of target for this indicator attracts </w:t>
            </w:r>
            <w:r w:rsidR="00311336" w:rsidRPr="00DF18AB">
              <w:rPr>
                <w:rFonts w:cs="Arial"/>
                <w:szCs w:val="24"/>
              </w:rPr>
              <w:t>20%</w:t>
            </w:r>
            <w:r w:rsidR="00311336">
              <w:rPr>
                <w:rFonts w:cs="Arial"/>
                <w:szCs w:val="24"/>
              </w:rPr>
              <w:t xml:space="preserve"> of 0.25% (0.05%).</w:t>
            </w:r>
            <w:r w:rsidRPr="00DF18AB">
              <w:rPr>
                <w:rFonts w:cs="Arial"/>
                <w:b/>
                <w:color w:val="000000"/>
                <w:lang w:eastAsia="en-GB"/>
              </w:rPr>
              <w:t xml:space="preserve"> </w:t>
            </w:r>
          </w:p>
          <w:p w:rsidR="00DF18AB" w:rsidRPr="00DF18AB" w:rsidRDefault="00DF18AB" w:rsidP="00DF18AB">
            <w:pPr>
              <w:rPr>
                <w:rFonts w:cs="Arial"/>
                <w:b/>
                <w:color w:val="000000"/>
                <w:lang w:eastAsia="en-GB"/>
              </w:rPr>
            </w:pPr>
          </w:p>
          <w:p w:rsidR="00DF18AB" w:rsidRPr="00DF18AB" w:rsidRDefault="00DF18AB" w:rsidP="00DF18AB">
            <w:pPr>
              <w:rPr>
                <w:rFonts w:cs="Arial"/>
                <w:i/>
                <w:color w:val="000000"/>
                <w:lang w:eastAsia="en-GB"/>
              </w:rPr>
            </w:pPr>
            <w:r w:rsidRPr="00DF18AB">
              <w:rPr>
                <w:rFonts w:cs="Arial"/>
                <w:i/>
                <w:color w:val="000000"/>
                <w:lang w:eastAsia="en-GB"/>
              </w:rPr>
              <w:t>(NB: this applies for Q2 onwards, different reward structure for Q1,see ‘rules for in-year payment’ section below).</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Description of indicator</w:t>
            </w:r>
          </w:p>
        </w:tc>
        <w:tc>
          <w:tcPr>
            <w:tcW w:w="6378" w:type="dxa"/>
          </w:tcPr>
          <w:p w:rsidR="00DF18AB" w:rsidRPr="00DF18AB" w:rsidRDefault="00DF18AB" w:rsidP="00DF18AB">
            <w:pPr>
              <w:keepNext/>
              <w:contextualSpacing/>
              <w:rPr>
                <w:rFonts w:eastAsia="HGSMinchoE" w:cs="Arial"/>
                <w:bCs w:val="0"/>
                <w:szCs w:val="24"/>
                <w:lang w:eastAsia="en-GB"/>
              </w:rPr>
            </w:pPr>
            <w:r w:rsidRPr="00DF18AB">
              <w:rPr>
                <w:rFonts w:eastAsia="HGSMinchoE" w:cs="Arial"/>
                <w:bCs w:val="0"/>
                <w:szCs w:val="24"/>
                <w:lang w:eastAsia="en-GB"/>
              </w:rPr>
              <w:t>Percentage of unique patients who smoke AND are given very brief advice</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Numerator</w:t>
            </w:r>
          </w:p>
        </w:tc>
        <w:tc>
          <w:tcPr>
            <w:tcW w:w="6378" w:type="dxa"/>
          </w:tcPr>
          <w:p w:rsidR="00DF18AB" w:rsidRPr="00DF18AB" w:rsidRDefault="00DF18AB" w:rsidP="00DF18AB">
            <w:pPr>
              <w:keepNext/>
              <w:contextualSpacing/>
              <w:rPr>
                <w:rFonts w:eastAsia="HGSMinchoE" w:cs="Arial"/>
                <w:bCs w:val="0"/>
                <w:szCs w:val="24"/>
                <w:lang w:eastAsia="en-GB"/>
              </w:rPr>
            </w:pPr>
            <w:r w:rsidRPr="00DF18AB">
              <w:rPr>
                <w:rFonts w:eastAsia="HGSMinchoE" w:cs="Arial"/>
                <w:bCs w:val="0"/>
                <w:szCs w:val="24"/>
                <w:lang w:eastAsia="en-GB"/>
              </w:rPr>
              <w:t xml:space="preserve">Number of </w:t>
            </w:r>
            <w:r w:rsidRPr="00DF18AB">
              <w:rPr>
                <w:rFonts w:eastAsia="HGSMinchoE" w:cs="Arial"/>
                <w:b/>
                <w:bCs w:val="0"/>
                <w:szCs w:val="24"/>
                <w:lang w:eastAsia="en-GB"/>
              </w:rPr>
              <w:t>eligible patients</w:t>
            </w:r>
            <w:r w:rsidRPr="00DF18AB">
              <w:rPr>
                <w:rFonts w:eastAsia="HGSMinchoE" w:cs="Arial"/>
                <w:bCs w:val="0"/>
                <w:szCs w:val="24"/>
                <w:lang w:eastAsia="en-GB"/>
              </w:rPr>
              <w:t xml:space="preserve"> who are </w:t>
            </w:r>
            <w:r w:rsidRPr="00DF18AB">
              <w:rPr>
                <w:rFonts w:eastAsia="HGSMinchoE" w:cs="Arial"/>
                <w:b/>
                <w:bCs w:val="0"/>
                <w:szCs w:val="24"/>
                <w:lang w:eastAsia="en-GB"/>
              </w:rPr>
              <w:t>given brief advice</w:t>
            </w:r>
            <w:r w:rsidRPr="00DF18AB">
              <w:rPr>
                <w:rFonts w:eastAsia="HGSMinchoE" w:cs="Arial"/>
                <w:bCs w:val="0"/>
                <w:szCs w:val="24"/>
                <w:lang w:eastAsia="en-GB"/>
              </w:rPr>
              <w:t xml:space="preserve"> during this quarter: </w:t>
            </w:r>
          </w:p>
          <w:p w:rsidR="00DF18AB" w:rsidRPr="00DF18AB" w:rsidRDefault="00DF18AB" w:rsidP="00DF18AB">
            <w:pPr>
              <w:keepNext/>
              <w:numPr>
                <w:ilvl w:val="0"/>
                <w:numId w:val="128"/>
              </w:numPr>
              <w:contextualSpacing/>
              <w:rPr>
                <w:rFonts w:cs="Arial"/>
                <w:i/>
                <w:lang w:eastAsia="en-GB"/>
              </w:rPr>
            </w:pPr>
            <w:r w:rsidRPr="00DF18AB">
              <w:rPr>
                <w:rFonts w:eastAsia="HGSMinchoE" w:cs="Arial"/>
                <w:b/>
                <w:szCs w:val="24"/>
                <w:lang w:eastAsia="en-GB"/>
              </w:rPr>
              <w:t>Eligible patients</w:t>
            </w:r>
            <w:r w:rsidRPr="00DF18AB">
              <w:rPr>
                <w:rFonts w:eastAsia="HGSMinchoE" w:cs="Arial"/>
                <w:szCs w:val="24"/>
                <w:lang w:eastAsia="en-GB"/>
              </w:rPr>
              <w:t xml:space="preserve"> are defined as patients who have been recorded as smokers during screening (in 1a); and</w:t>
            </w:r>
          </w:p>
          <w:p w:rsidR="00DF18AB" w:rsidRPr="00DF18AB" w:rsidRDefault="00DF18AB" w:rsidP="00DF18AB">
            <w:pPr>
              <w:keepNext/>
              <w:numPr>
                <w:ilvl w:val="0"/>
                <w:numId w:val="128"/>
              </w:numPr>
              <w:contextualSpacing/>
              <w:rPr>
                <w:rFonts w:cs="Arial"/>
                <w:i/>
                <w:lang w:eastAsia="en-GB"/>
              </w:rPr>
            </w:pPr>
            <w:r w:rsidRPr="00DF18AB">
              <w:rPr>
                <w:rFonts w:eastAsia="HGSMinchoE" w:cs="Arial"/>
                <w:szCs w:val="24"/>
                <w:lang w:eastAsia="en-GB"/>
              </w:rPr>
              <w:t>the “</w:t>
            </w:r>
            <w:r w:rsidRPr="00DF18AB">
              <w:rPr>
                <w:rFonts w:eastAsia="HGSMinchoE" w:cs="Arial"/>
                <w:b/>
                <w:szCs w:val="24"/>
                <w:lang w:eastAsia="en-GB"/>
              </w:rPr>
              <w:t>given very brief advice</w:t>
            </w:r>
            <w:r w:rsidRPr="00DF18AB">
              <w:rPr>
                <w:rFonts w:eastAsia="HGSMinchoE" w:cs="Arial"/>
                <w:szCs w:val="24"/>
                <w:lang w:eastAsia="en-GB"/>
              </w:rPr>
              <w:t xml:space="preserve">” element of this indicator requires healthcare professionals to provide brief advice message and this to be recorded in the patient’s record in a clear and consistent way. </w:t>
            </w:r>
            <w:r w:rsidRPr="00DF18AB">
              <w:rPr>
                <w:rFonts w:eastAsia="HGSMinchoE"/>
                <w:szCs w:val="24"/>
                <w:lang w:eastAsia="en-GB"/>
              </w:rPr>
              <w:t>It is the responsibility of providers to identify the most effective way of recording this information.</w:t>
            </w:r>
            <w:r w:rsidRPr="00DF18AB">
              <w:rPr>
                <w:rFonts w:eastAsia="HGSMinchoE" w:cs="Arial"/>
                <w:szCs w:val="24"/>
                <w:lang w:eastAsia="en-GB"/>
              </w:rPr>
              <w:t xml:space="preserve"> Detail on the required actions from staff can be found on the National Centre for smoking Cessation and Training website (</w:t>
            </w:r>
            <w:hyperlink r:id="rId43" w:history="1">
              <w:r w:rsidRPr="00DF18AB">
                <w:rPr>
                  <w:rFonts w:eastAsia="HGSMinchoE" w:cs="Arial"/>
                  <w:color w:val="0000FF"/>
                  <w:szCs w:val="24"/>
                  <w:u w:val="single"/>
                  <w:lang w:eastAsia="en-GB"/>
                </w:rPr>
                <w:t>NCSCT</w:t>
              </w:r>
            </w:hyperlink>
            <w:r w:rsidRPr="00DF18AB">
              <w:rPr>
                <w:rFonts w:eastAsia="HGSMinchoE" w:cs="Arial"/>
                <w:szCs w:val="24"/>
                <w:lang w:eastAsia="en-GB"/>
              </w:rPr>
              <w:t xml:space="preserve">). </w:t>
            </w:r>
            <w:r w:rsidRPr="00DF18AB">
              <w:rPr>
                <w:rFonts w:cs="Arial"/>
              </w:rPr>
              <w:t xml:space="preserve">Secondary mental health providers in particular may want to build on the </w:t>
            </w:r>
            <w:hyperlink r:id="rId44" w:history="1">
              <w:r w:rsidRPr="00DF18AB">
                <w:rPr>
                  <w:rFonts w:cs="Arial"/>
                  <w:color w:val="0000FF"/>
                  <w:u w:val="single"/>
                </w:rPr>
                <w:t>Lester tool</w:t>
              </w:r>
            </w:hyperlink>
            <w:r w:rsidRPr="00DF18AB">
              <w:rPr>
                <w:rFonts w:cs="Arial"/>
              </w:rPr>
              <w:t xml:space="preserve"> as appropriate.</w:t>
            </w:r>
            <w:r w:rsidRPr="00DF18AB">
              <w:rPr>
                <w:rFonts w:eastAsia="HGSMinchoE" w:cs="Arial"/>
                <w:szCs w:val="24"/>
                <w:lang w:eastAsia="en-GB"/>
              </w:rPr>
              <w:t xml:space="preserve"> See Annex A for further details.</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Denominator</w:t>
            </w:r>
          </w:p>
        </w:tc>
        <w:tc>
          <w:tcPr>
            <w:tcW w:w="6378" w:type="dxa"/>
          </w:tcPr>
          <w:p w:rsidR="00DF18AB" w:rsidRPr="00DF18AB" w:rsidRDefault="00DF18AB" w:rsidP="00DF18AB">
            <w:pPr>
              <w:keepNext/>
              <w:contextualSpacing/>
              <w:rPr>
                <w:rFonts w:eastAsia="HGSMinchoE" w:cs="Arial"/>
                <w:bCs w:val="0"/>
                <w:szCs w:val="24"/>
                <w:lang w:eastAsia="en-GB"/>
              </w:rPr>
            </w:pPr>
            <w:r w:rsidRPr="00DF18AB">
              <w:rPr>
                <w:rFonts w:eastAsia="HGSMinchoE" w:cs="Arial"/>
                <w:bCs w:val="0"/>
                <w:szCs w:val="24"/>
                <w:lang w:eastAsia="en-GB"/>
              </w:rPr>
              <w:t xml:space="preserve">All </w:t>
            </w:r>
            <w:r w:rsidRPr="00DF18AB">
              <w:rPr>
                <w:rFonts w:eastAsia="HGSMinchoE" w:cs="Arial"/>
                <w:b/>
                <w:bCs w:val="0"/>
                <w:szCs w:val="24"/>
                <w:lang w:eastAsia="en-GB"/>
              </w:rPr>
              <w:t>eligible patients</w:t>
            </w:r>
            <w:r w:rsidRPr="00DF18AB">
              <w:rPr>
                <w:rFonts w:eastAsia="HGSMinchoE" w:cs="Arial"/>
                <w:bCs w:val="0"/>
                <w:szCs w:val="24"/>
                <w:lang w:eastAsia="en-GB"/>
              </w:rPr>
              <w:t xml:space="preserve"> during this quarter: </w:t>
            </w:r>
          </w:p>
          <w:p w:rsidR="00DF18AB" w:rsidRPr="00DF18AB" w:rsidRDefault="00DF18AB" w:rsidP="00DF18AB">
            <w:pPr>
              <w:keepNext/>
              <w:numPr>
                <w:ilvl w:val="0"/>
                <w:numId w:val="129"/>
              </w:numPr>
              <w:contextualSpacing/>
              <w:rPr>
                <w:rFonts w:eastAsia="HGSMinchoE" w:cs="Arial"/>
                <w:szCs w:val="24"/>
                <w:lang w:eastAsia="en-GB"/>
              </w:rPr>
            </w:pPr>
            <w:r w:rsidRPr="00DF18AB">
              <w:rPr>
                <w:rFonts w:eastAsia="HGSMinchoE" w:cs="Arial"/>
                <w:b/>
                <w:szCs w:val="24"/>
                <w:lang w:eastAsia="en-GB"/>
              </w:rPr>
              <w:t>Eligible patients</w:t>
            </w:r>
            <w:r w:rsidRPr="00DF18AB">
              <w:rPr>
                <w:rFonts w:eastAsia="HGSMinchoE" w:cs="Arial"/>
                <w:szCs w:val="24"/>
                <w:lang w:eastAsia="en-GB"/>
              </w:rPr>
              <w:t xml:space="preserve"> are defined as patients who have been recorded as smokers duri</w:t>
            </w:r>
            <w:r w:rsidR="00570226">
              <w:rPr>
                <w:rFonts w:eastAsia="HGSMinchoE" w:cs="Arial"/>
                <w:szCs w:val="24"/>
                <w:lang w:eastAsia="en-GB"/>
              </w:rPr>
              <w:t>ng screening (in 9</w:t>
            </w:r>
            <w:r w:rsidRPr="00DF18AB">
              <w:rPr>
                <w:rFonts w:eastAsia="HGSMinchoE" w:cs="Arial"/>
                <w:szCs w:val="24"/>
                <w:lang w:eastAsia="en-GB"/>
              </w:rPr>
              <w:t>a).</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Rationale for inclusion</w:t>
            </w:r>
          </w:p>
        </w:tc>
        <w:tc>
          <w:tcPr>
            <w:tcW w:w="6378"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P</w:t>
            </w:r>
            <w:r w:rsidR="00570226">
              <w:rPr>
                <w:rFonts w:eastAsia="HGSMinchoE"/>
                <w:bCs w:val="0"/>
                <w:szCs w:val="24"/>
                <w:lang w:eastAsia="en-GB"/>
              </w:rPr>
              <w:t>lease refer to this section in 9</w:t>
            </w:r>
            <w:r w:rsidRPr="00DF18AB">
              <w:rPr>
                <w:rFonts w:eastAsia="HGSMinchoE"/>
                <w:bCs w:val="0"/>
                <w:szCs w:val="24"/>
                <w:lang w:eastAsia="en-GB"/>
              </w:rPr>
              <w:t>a.</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Data source</w:t>
            </w:r>
          </w:p>
        </w:tc>
        <w:tc>
          <w:tcPr>
            <w:tcW w:w="6378" w:type="dxa"/>
          </w:tcPr>
          <w:p w:rsidR="00DF18AB" w:rsidRPr="00DF18AB" w:rsidRDefault="00DF18AB" w:rsidP="00DF18AB">
            <w:pPr>
              <w:keepNext/>
              <w:tabs>
                <w:tab w:val="left" w:pos="2074"/>
              </w:tabs>
              <w:rPr>
                <w:rFonts w:eastAsia="HGSMinchoE"/>
                <w:bCs w:val="0"/>
                <w:szCs w:val="24"/>
                <w:lang w:eastAsia="en-GB"/>
              </w:rPr>
            </w:pPr>
            <w:r w:rsidRPr="00DF18AB">
              <w:rPr>
                <w:rFonts w:eastAsia="HGSMinchoE"/>
                <w:bCs w:val="0"/>
                <w:szCs w:val="24"/>
                <w:lang w:eastAsia="en-GB"/>
              </w:rPr>
              <w:t>P</w:t>
            </w:r>
            <w:r w:rsidR="00570226">
              <w:rPr>
                <w:rFonts w:eastAsia="HGSMinchoE"/>
                <w:bCs w:val="0"/>
                <w:szCs w:val="24"/>
                <w:lang w:eastAsia="en-GB"/>
              </w:rPr>
              <w:t>lease refer to this section in 9</w:t>
            </w:r>
            <w:r w:rsidRPr="00DF18AB">
              <w:rPr>
                <w:rFonts w:eastAsia="HGSMinchoE"/>
                <w:bCs w:val="0"/>
                <w:szCs w:val="24"/>
                <w:lang w:eastAsia="en-GB"/>
              </w:rPr>
              <w:t>a.</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Frequency of data collection</w:t>
            </w:r>
          </w:p>
        </w:tc>
        <w:tc>
          <w:tcPr>
            <w:tcW w:w="6378" w:type="dxa"/>
          </w:tcPr>
          <w:p w:rsidR="00DF18AB" w:rsidRPr="00DF18AB" w:rsidRDefault="00DF18AB" w:rsidP="00DF18AB">
            <w:pPr>
              <w:rPr>
                <w:rFonts w:eastAsia="HGSMinchoE"/>
                <w:bCs w:val="0"/>
                <w:szCs w:val="24"/>
                <w:lang w:eastAsia="en-GB"/>
              </w:rPr>
            </w:pPr>
            <w:r w:rsidRPr="00DF18AB">
              <w:rPr>
                <w:rFonts w:eastAsia="HGSMinchoE"/>
                <w:b/>
                <w:bCs w:val="0"/>
                <w:szCs w:val="24"/>
                <w:lang w:eastAsia="en-GB"/>
              </w:rPr>
              <w:t>Quarterly</w:t>
            </w:r>
            <w:r w:rsidRPr="00DF18AB">
              <w:rPr>
                <w:rFonts w:eastAsia="HGSMinchoE"/>
                <w:bCs w:val="0"/>
                <w:szCs w:val="24"/>
                <w:lang w:eastAsia="en-GB"/>
              </w:rPr>
              <w:t xml:space="preserve">. Data to be collected ahead of quarterly audit. </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Cs w:val="0"/>
                <w:szCs w:val="24"/>
                <w:lang w:eastAsia="en-GB"/>
              </w:rPr>
            </w:pPr>
            <w:r w:rsidRPr="00DF18AB">
              <w:rPr>
                <w:rFonts w:eastAsia="HGSMinchoE"/>
                <w:bCs w:val="0"/>
                <w:szCs w:val="24"/>
                <w:lang w:eastAsia="en-GB"/>
              </w:rPr>
              <w:t>Note that the data that is required for the audits are patient case notes which are to be updated by staff whenever relevant.</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Organisation responsible for data collection</w:t>
            </w:r>
          </w:p>
        </w:tc>
        <w:tc>
          <w:tcPr>
            <w:tcW w:w="6378" w:type="dxa"/>
          </w:tcPr>
          <w:p w:rsidR="00DF18AB" w:rsidRPr="00DF18AB" w:rsidRDefault="00DF18AB" w:rsidP="00DF18AB">
            <w:pPr>
              <w:rPr>
                <w:rFonts w:eastAsia="HGSMinchoE"/>
                <w:bCs w:val="0"/>
                <w:szCs w:val="24"/>
                <w:lang w:eastAsia="en-GB"/>
              </w:rPr>
            </w:pPr>
            <w:r w:rsidRPr="00DF18AB">
              <w:rPr>
                <w:rFonts w:eastAsia="HGSMinchoE"/>
                <w:b/>
                <w:bCs w:val="0"/>
                <w:szCs w:val="24"/>
                <w:lang w:eastAsia="en-GB"/>
              </w:rPr>
              <w:t>Provider</w:t>
            </w:r>
            <w:r w:rsidRPr="00DF18AB">
              <w:rPr>
                <w:rFonts w:eastAsia="HGSMinchoE"/>
                <w:bCs w:val="0"/>
                <w:szCs w:val="24"/>
                <w:lang w:eastAsia="en-GB"/>
              </w:rPr>
              <w:t>.</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Frequency of reporting to commissioner</w:t>
            </w:r>
          </w:p>
        </w:tc>
        <w:tc>
          <w:tcPr>
            <w:tcW w:w="6378" w:type="dxa"/>
          </w:tcPr>
          <w:p w:rsidR="00DF18AB" w:rsidRPr="00DF18AB" w:rsidRDefault="00DF18AB" w:rsidP="00DF18AB">
            <w:pPr>
              <w:keepNext/>
              <w:tabs>
                <w:tab w:val="left" w:pos="2074"/>
              </w:tabs>
              <w:rPr>
                <w:rFonts w:eastAsia="HGSMinchoE"/>
                <w:bCs w:val="0"/>
                <w:szCs w:val="24"/>
                <w:lang w:eastAsia="en-GB"/>
              </w:rPr>
            </w:pPr>
            <w:r w:rsidRPr="00DF18AB">
              <w:rPr>
                <w:rFonts w:eastAsia="HGSMinchoE"/>
                <w:b/>
                <w:bCs w:val="0"/>
                <w:szCs w:val="24"/>
                <w:lang w:eastAsia="en-GB"/>
              </w:rPr>
              <w:t>Quarterly</w:t>
            </w:r>
            <w:r w:rsidRPr="00DF18AB">
              <w:rPr>
                <w:rFonts w:eastAsia="HGSMinchoE"/>
                <w:bCs w:val="0"/>
                <w:szCs w:val="24"/>
                <w:lang w:eastAsia="en-GB"/>
              </w:rPr>
              <w:t xml:space="preserve">.  </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tabs>
                <w:tab w:val="left" w:pos="2074"/>
              </w:tabs>
              <w:rPr>
                <w:rFonts w:eastAsia="HGSMinchoE"/>
                <w:bCs w:val="0"/>
                <w:szCs w:val="24"/>
                <w:lang w:eastAsia="en-GB"/>
              </w:rPr>
            </w:pPr>
            <w:r w:rsidRPr="00DF18AB">
              <w:rPr>
                <w:rFonts w:eastAsia="HGSMinchoE"/>
                <w:bCs w:val="0"/>
                <w:szCs w:val="24"/>
                <w:lang w:eastAsia="en-GB"/>
              </w:rPr>
              <w:t>Note that to enable national audits, providers are required to simultaneously submit audit data to NHS England via UNIFY on a quarterly basis as well.</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Baseline period/date</w:t>
            </w:r>
          </w:p>
        </w:tc>
        <w:tc>
          <w:tcPr>
            <w:tcW w:w="6378"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 xml:space="preserve">Baseline to be identified and set during Q1 of the CQUIN </w:t>
            </w:r>
            <w:r w:rsidRPr="00DF18AB">
              <w:rPr>
                <w:rFonts w:eastAsia="HGSMinchoE"/>
                <w:bCs w:val="0"/>
                <w:szCs w:val="24"/>
                <w:lang w:eastAsia="en-GB"/>
              </w:rPr>
              <w:lastRenderedPageBreak/>
              <w:t xml:space="preserve">(i.e. Q1 of FY 17/18); see </w:t>
            </w:r>
            <w:r w:rsidRPr="00DF18AB">
              <w:rPr>
                <w:rFonts w:eastAsia="HGSMinchoE"/>
                <w:bCs w:val="0"/>
                <w:i/>
                <w:szCs w:val="24"/>
                <w:lang w:eastAsia="en-GB"/>
              </w:rPr>
              <w:t>Milestones</w:t>
            </w:r>
            <w:r w:rsidRPr="00DF18AB">
              <w:rPr>
                <w:rFonts w:eastAsia="HGSMinchoE"/>
                <w:bCs w:val="0"/>
                <w:szCs w:val="24"/>
                <w:lang w:eastAsia="en-GB"/>
              </w:rPr>
              <w:t xml:space="preserve"> below.</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lastRenderedPageBreak/>
              <w:t>Baseline value</w:t>
            </w:r>
          </w:p>
        </w:tc>
        <w:tc>
          <w:tcPr>
            <w:tcW w:w="6378" w:type="dxa"/>
          </w:tcPr>
          <w:p w:rsidR="00DF18AB" w:rsidRPr="00DF18AB" w:rsidRDefault="00DF18AB" w:rsidP="00DF18AB">
            <w:pPr>
              <w:keepNext/>
              <w:contextualSpacing/>
              <w:rPr>
                <w:rFonts w:cs="Arial"/>
                <w:color w:val="000000"/>
                <w:lang w:eastAsia="en-GB"/>
              </w:rPr>
            </w:pPr>
            <w:r w:rsidRPr="00DF18AB">
              <w:rPr>
                <w:rFonts w:cs="Arial"/>
                <w:color w:val="000000"/>
                <w:lang w:eastAsia="en-GB"/>
              </w:rPr>
              <w:t xml:space="preserve">To be determined locally, based on baseline setting exercise in Q1; </w:t>
            </w:r>
            <w:r w:rsidRPr="00DF18AB">
              <w:rPr>
                <w:rFonts w:eastAsia="HGSMinchoE"/>
                <w:bCs w:val="0"/>
                <w:szCs w:val="24"/>
                <w:lang w:eastAsia="en-GB"/>
              </w:rPr>
              <w:t xml:space="preserve">see </w:t>
            </w:r>
            <w:r w:rsidRPr="00DF18AB">
              <w:rPr>
                <w:rFonts w:eastAsia="HGSMinchoE"/>
                <w:bCs w:val="0"/>
                <w:i/>
                <w:szCs w:val="24"/>
                <w:lang w:eastAsia="en-GB"/>
              </w:rPr>
              <w:t>Milestones</w:t>
            </w:r>
            <w:r w:rsidRPr="00DF18AB">
              <w:rPr>
                <w:rFonts w:eastAsia="HGSMinchoE"/>
                <w:bCs w:val="0"/>
                <w:szCs w:val="24"/>
                <w:lang w:eastAsia="en-GB"/>
              </w:rPr>
              <w:t xml:space="preserve"> below.</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Final indicator period/date (on which payment is based)</w:t>
            </w:r>
          </w:p>
        </w:tc>
        <w:tc>
          <w:tcPr>
            <w:tcW w:w="6378"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Quarter 4 FY 18/19.</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Final indicator value (payment threshold)</w:t>
            </w:r>
          </w:p>
        </w:tc>
        <w:tc>
          <w:tcPr>
            <w:tcW w:w="6378" w:type="dxa"/>
          </w:tcPr>
          <w:p w:rsidR="00DF18AB" w:rsidRPr="00DF18AB" w:rsidRDefault="00DF18AB" w:rsidP="00DF18AB">
            <w:pPr>
              <w:rPr>
                <w:rFonts w:cs="Arial"/>
                <w:b/>
                <w:color w:val="000000"/>
                <w:lang w:eastAsia="en-GB"/>
              </w:rPr>
            </w:pPr>
            <w:r w:rsidRPr="00DF18AB">
              <w:rPr>
                <w:rFonts w:cs="Arial"/>
                <w:b/>
                <w:color w:val="000000"/>
                <w:lang w:eastAsia="en-GB"/>
              </w:rPr>
              <w:t>90%</w:t>
            </w:r>
            <w:r w:rsidRPr="00DF18AB">
              <w:rPr>
                <w:rFonts w:cs="Arial"/>
                <w:b/>
                <w:color w:val="000000"/>
                <w:lang w:eastAsia="en-GB"/>
              </w:rPr>
              <w:br/>
            </w:r>
            <w:r w:rsidRPr="00DF18AB">
              <w:rPr>
                <w:rFonts w:cs="Arial"/>
                <w:color w:val="000000"/>
                <w:lang w:eastAsia="en-GB"/>
              </w:rPr>
              <w:t>(NB: – this might be reviewed for 18/19 in light of learning from the first year of the scheme)</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Final indicator reporting date</w:t>
            </w:r>
          </w:p>
        </w:tc>
        <w:tc>
          <w:tcPr>
            <w:tcW w:w="6378" w:type="dxa"/>
          </w:tcPr>
          <w:p w:rsidR="00DF18AB" w:rsidRPr="00DF18AB" w:rsidRDefault="00DF18AB" w:rsidP="00DF18AB">
            <w:pPr>
              <w:keepNext/>
              <w:contextualSpacing/>
              <w:rPr>
                <w:rFonts w:eastAsia="HGSMinchoE"/>
                <w:bCs w:val="0"/>
                <w:szCs w:val="24"/>
                <w:lang w:eastAsia="en-GB"/>
              </w:rPr>
            </w:pPr>
            <w:r w:rsidRPr="00DF18AB">
              <w:rPr>
                <w:rFonts w:eastAsia="HGSMinchoE"/>
                <w:bCs w:val="0"/>
                <w:szCs w:val="24"/>
                <w:lang w:eastAsia="en-GB"/>
              </w:rPr>
              <w:t>As soon as possible after Q4 2018/19</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Are there rules for any agreed in-year milestones that result in payment?</w:t>
            </w:r>
          </w:p>
        </w:tc>
        <w:tc>
          <w:tcPr>
            <w:tcW w:w="6378"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 xml:space="preserve">Yes. </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Cs w:val="0"/>
                <w:szCs w:val="24"/>
                <w:lang w:eastAsia="en-GB"/>
              </w:rPr>
            </w:pPr>
            <w:r w:rsidRPr="00DF18AB">
              <w:rPr>
                <w:rFonts w:eastAsia="HGSMinchoE"/>
                <w:b/>
                <w:bCs w:val="0"/>
                <w:szCs w:val="24"/>
                <w:lang w:eastAsia="en-GB"/>
              </w:rPr>
              <w:t>Quarter 1</w:t>
            </w:r>
            <w:r w:rsidRPr="00DF18AB">
              <w:rPr>
                <w:rFonts w:eastAsia="HGSMinchoE"/>
                <w:bCs w:val="0"/>
                <w:szCs w:val="24"/>
                <w:lang w:eastAsia="en-GB"/>
              </w:rPr>
              <w:t xml:space="preserve"> – payment is available for achieving three milestones at the end of Q1, namely a) completing an information systems audit; b) training staff to deliver brief advice and c) collect baseline data. Payment is split equally between a), b) and c), for more detail see </w:t>
            </w:r>
            <w:r w:rsidRPr="00DF18AB">
              <w:rPr>
                <w:rFonts w:eastAsia="HGSMinchoE"/>
                <w:bCs w:val="0"/>
                <w:i/>
                <w:szCs w:val="24"/>
                <w:lang w:eastAsia="en-GB"/>
              </w:rPr>
              <w:t>Milestones</w:t>
            </w:r>
            <w:r w:rsidRPr="00DF18AB">
              <w:rPr>
                <w:rFonts w:eastAsia="HGSMinchoE"/>
                <w:bCs w:val="0"/>
                <w:szCs w:val="24"/>
                <w:lang w:eastAsia="en-GB"/>
              </w:rPr>
              <w:t xml:space="preserve"> below.</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Cs w:val="0"/>
                <w:szCs w:val="24"/>
                <w:lang w:eastAsia="en-GB"/>
              </w:rPr>
            </w:pPr>
            <w:r w:rsidRPr="00DF18AB">
              <w:rPr>
                <w:rFonts w:eastAsia="HGSMinchoE"/>
                <w:b/>
                <w:bCs w:val="0"/>
                <w:szCs w:val="24"/>
                <w:lang w:eastAsia="en-GB"/>
              </w:rPr>
              <w:t>Quarter 2 and onwards</w:t>
            </w:r>
            <w:r w:rsidRPr="00DF18AB">
              <w:rPr>
                <w:rFonts w:eastAsia="HGSMinchoE"/>
                <w:bCs w:val="0"/>
                <w:szCs w:val="24"/>
                <w:lang w:eastAsia="en-GB"/>
              </w:rPr>
              <w:t xml:space="preserve"> – payment is available for high (i.e. to target performance) or improving performance across the indicators; performance data will be submitted on a quarterly basis by providers to commissioners who will reward payment.</w:t>
            </w:r>
          </w:p>
        </w:tc>
      </w:tr>
      <w:tr w:rsidR="00DF18AB" w:rsidRPr="00DF18AB" w:rsidTr="00593B8C">
        <w:tc>
          <w:tcPr>
            <w:tcW w:w="2802" w:type="dxa"/>
          </w:tcPr>
          <w:p w:rsidR="00DF18AB" w:rsidRPr="00DF18AB" w:rsidRDefault="00DF18AB" w:rsidP="00DF18AB">
            <w:pPr>
              <w:rPr>
                <w:rFonts w:cs="Arial"/>
                <w:b/>
                <w:color w:val="000000"/>
                <w:lang w:eastAsia="en-GB"/>
              </w:rPr>
            </w:pPr>
            <w:r w:rsidRPr="00DF18AB">
              <w:rPr>
                <w:rFonts w:cs="Arial"/>
                <w:b/>
                <w:color w:val="000000"/>
                <w:lang w:eastAsia="en-GB"/>
              </w:rPr>
              <w:t>Are there any rules for partial achievement of the indicator at the final indicator period/date?</w:t>
            </w:r>
          </w:p>
        </w:tc>
        <w:tc>
          <w:tcPr>
            <w:tcW w:w="6378" w:type="dxa"/>
          </w:tcPr>
          <w:p w:rsidR="00DF18AB" w:rsidRPr="00DF18AB" w:rsidRDefault="00DF18AB" w:rsidP="00DF18AB">
            <w:pPr>
              <w:rPr>
                <w:rFonts w:eastAsia="Calibri" w:cs="Arial"/>
                <w:szCs w:val="24"/>
                <w:lang w:eastAsia="en-GB"/>
              </w:rPr>
            </w:pPr>
            <w:r w:rsidRPr="00DF18AB">
              <w:rPr>
                <w:rFonts w:eastAsia="Calibri" w:cs="Arial"/>
                <w:szCs w:val="24"/>
                <w:lang w:eastAsia="en-GB"/>
              </w:rPr>
              <w:t xml:space="preserve">Yes – see </w:t>
            </w:r>
            <w:r w:rsidRPr="00DF18AB">
              <w:rPr>
                <w:rFonts w:eastAsia="Calibri" w:cs="Arial"/>
                <w:i/>
                <w:szCs w:val="24"/>
                <w:lang w:eastAsia="en-GB"/>
              </w:rPr>
              <w:t xml:space="preserve">Rules for partial achievement </w:t>
            </w:r>
            <w:r w:rsidRPr="00DF18AB">
              <w:rPr>
                <w:rFonts w:eastAsia="Calibri" w:cs="Arial"/>
                <w:szCs w:val="24"/>
                <w:lang w:eastAsia="en-GB"/>
              </w:rPr>
              <w:t>below.</w:t>
            </w:r>
          </w:p>
        </w:tc>
      </w:tr>
    </w:tbl>
    <w:p w:rsidR="00DF18AB" w:rsidRPr="00DF18AB" w:rsidRDefault="00DF18AB" w:rsidP="00DF18AB">
      <w:pPr>
        <w:rPr>
          <w:lang w:eastAsia="en-GB"/>
        </w:rPr>
      </w:pPr>
    </w:p>
    <w:p w:rsidR="00DF18AB" w:rsidRPr="00DF18AB" w:rsidRDefault="00DF18AB" w:rsidP="00DF18AB">
      <w:pPr>
        <w:rPr>
          <w:rFonts w:eastAsiaTheme="majorEastAsia" w:cstheme="majorBidi"/>
          <w:b/>
          <w:bCs w:val="0"/>
          <w:iCs/>
          <w:color w:val="A00054" w:themeColor="accent2"/>
          <w:lang w:eastAsia="en-GB"/>
        </w:rPr>
      </w:pPr>
      <w:r w:rsidRPr="00DF18AB">
        <w:rPr>
          <w:lang w:eastAsia="en-GB"/>
        </w:rPr>
        <w:br w:type="page"/>
      </w:r>
    </w:p>
    <w:p w:rsidR="00DF18AB" w:rsidRPr="00DF18AB" w:rsidRDefault="00DF18AB" w:rsidP="00DF18AB">
      <w:pPr>
        <w:keepNext/>
        <w:keepLines/>
        <w:outlineLvl w:val="3"/>
        <w:rPr>
          <w:rFonts w:eastAsiaTheme="majorEastAsia" w:cstheme="majorBidi"/>
          <w:b/>
          <w:bCs w:val="0"/>
          <w:iCs/>
          <w:color w:val="A00054" w:themeColor="accent2"/>
          <w:lang w:eastAsia="en-GB"/>
        </w:rPr>
      </w:pPr>
      <w:r w:rsidRPr="00DF18AB">
        <w:rPr>
          <w:rFonts w:eastAsiaTheme="majorEastAsia" w:cstheme="majorBidi"/>
          <w:b/>
          <w:bCs w:val="0"/>
          <w:iCs/>
          <w:color w:val="A00054" w:themeColor="accent2"/>
          <w:lang w:eastAsia="en-GB"/>
        </w:rPr>
        <w:lastRenderedPageBreak/>
        <w:t>Indicator 9c Tobacco referral and medication offer</w:t>
      </w:r>
    </w:p>
    <w:p w:rsidR="00DF18AB" w:rsidRPr="00DF18AB" w:rsidRDefault="00DF18AB" w:rsidP="00DF18AB">
      <w:pPr>
        <w:rPr>
          <w:lang w:eastAsia="en-GB"/>
        </w:rPr>
      </w:pPr>
    </w:p>
    <w:tbl>
      <w:tblPr>
        <w:tblStyle w:val="TableGrid571"/>
        <w:tblW w:w="0" w:type="auto"/>
        <w:tblLook w:val="04A0" w:firstRow="1" w:lastRow="0" w:firstColumn="1" w:lastColumn="0" w:noHBand="0" w:noVBand="1"/>
        <w:tblCaption w:val="Indicator"/>
      </w:tblPr>
      <w:tblGrid>
        <w:gridCol w:w="2802"/>
        <w:gridCol w:w="6378"/>
      </w:tblGrid>
      <w:tr w:rsidR="00DF18AB" w:rsidRPr="00DF18AB" w:rsidTr="00593B8C">
        <w:trPr>
          <w:tblHeader/>
        </w:trPr>
        <w:tc>
          <w:tcPr>
            <w:tcW w:w="9180" w:type="dxa"/>
            <w:gridSpan w:val="2"/>
            <w:shd w:val="clear" w:color="auto" w:fill="0070C0"/>
          </w:tcPr>
          <w:p w:rsidR="00DF18AB" w:rsidRPr="00DF18AB" w:rsidRDefault="00DF18AB" w:rsidP="00DF18AB">
            <w:pPr>
              <w:jc w:val="center"/>
              <w:rPr>
                <w:rFonts w:eastAsia="HGSMinchoE"/>
                <w:bCs w:val="0"/>
                <w:szCs w:val="24"/>
                <w:lang w:eastAsia="en-GB"/>
              </w:rPr>
            </w:pPr>
            <w:r w:rsidRPr="00DF18AB">
              <w:rPr>
                <w:rFonts w:cs="Arial"/>
                <w:b/>
                <w:color w:val="FFFFFF"/>
                <w:lang w:eastAsia="en-GB"/>
              </w:rPr>
              <w:t xml:space="preserve">Indicator 9c </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Indicator name</w:t>
            </w:r>
          </w:p>
        </w:tc>
        <w:tc>
          <w:tcPr>
            <w:tcW w:w="6378" w:type="dxa"/>
          </w:tcPr>
          <w:p w:rsidR="00DF18AB" w:rsidRPr="00DF18AB" w:rsidRDefault="00DF18AB" w:rsidP="00DF18AB">
            <w:pPr>
              <w:rPr>
                <w:rFonts w:eastAsia="HGSMinchoE"/>
                <w:bCs w:val="0"/>
                <w:szCs w:val="24"/>
                <w:lang w:eastAsia="en-GB"/>
              </w:rPr>
            </w:pPr>
            <w:r w:rsidRPr="00DF18AB">
              <w:rPr>
                <w:rFonts w:cs="Arial"/>
                <w:color w:val="000000"/>
                <w:lang w:eastAsia="en-GB"/>
              </w:rPr>
              <w:t>Tobacco referral and medication offer</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 xml:space="preserve">Indicator weighting </w:t>
            </w:r>
            <w:r w:rsidRPr="00DF18AB">
              <w:rPr>
                <w:rFonts w:cs="Arial"/>
                <w:b/>
                <w:color w:val="000000"/>
                <w:lang w:eastAsia="en-GB"/>
              </w:rPr>
              <w:br/>
              <w:t>(% of CQUIN scheme available)</w:t>
            </w:r>
          </w:p>
        </w:tc>
        <w:tc>
          <w:tcPr>
            <w:tcW w:w="6378" w:type="dxa"/>
          </w:tcPr>
          <w:p w:rsidR="00DF18AB" w:rsidRPr="00DF18AB" w:rsidRDefault="00DF18AB" w:rsidP="00DF18AB">
            <w:pPr>
              <w:rPr>
                <w:rFonts w:cs="Arial"/>
                <w:b/>
                <w:color w:val="000000"/>
                <w:lang w:eastAsia="en-GB"/>
              </w:rPr>
            </w:pPr>
            <w:r w:rsidRPr="00DF18AB">
              <w:rPr>
                <w:rFonts w:cs="Arial"/>
                <w:color w:val="000000"/>
                <w:lang w:eastAsia="en-GB"/>
              </w:rPr>
              <w:t xml:space="preserve">Achievement of target for this indicator attracts </w:t>
            </w:r>
            <w:r w:rsidR="00311336" w:rsidRPr="00DF18AB">
              <w:rPr>
                <w:rFonts w:cs="Arial"/>
                <w:szCs w:val="24"/>
              </w:rPr>
              <w:t>25%</w:t>
            </w:r>
            <w:r w:rsidR="00311336">
              <w:rPr>
                <w:rFonts w:cs="Arial"/>
                <w:szCs w:val="24"/>
              </w:rPr>
              <w:t xml:space="preserve"> of 0.25% (0.0625%).</w:t>
            </w:r>
          </w:p>
          <w:p w:rsidR="00DF18AB" w:rsidRPr="00DF18AB" w:rsidRDefault="00DF18AB" w:rsidP="00DF18AB">
            <w:pPr>
              <w:rPr>
                <w:rFonts w:cs="Arial"/>
                <w:b/>
                <w:color w:val="000000"/>
                <w:lang w:eastAsia="en-GB"/>
              </w:rPr>
            </w:pPr>
          </w:p>
          <w:p w:rsidR="00DF18AB" w:rsidRPr="00DF18AB" w:rsidRDefault="00DF18AB" w:rsidP="00DF18AB">
            <w:pPr>
              <w:rPr>
                <w:rFonts w:cs="Arial"/>
                <w:i/>
                <w:color w:val="000000"/>
                <w:lang w:eastAsia="en-GB"/>
              </w:rPr>
            </w:pPr>
            <w:r w:rsidRPr="00DF18AB">
              <w:rPr>
                <w:rFonts w:cs="Arial"/>
                <w:i/>
                <w:color w:val="000000"/>
                <w:lang w:eastAsia="en-GB"/>
              </w:rPr>
              <w:t>(NB: this applies for Q2 onwards, different reward structure for Q1, see ‘rules for in-year payment’ section below)</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Description of indicator</w:t>
            </w:r>
          </w:p>
        </w:tc>
        <w:tc>
          <w:tcPr>
            <w:tcW w:w="6378" w:type="dxa"/>
          </w:tcPr>
          <w:p w:rsidR="00DF18AB" w:rsidRPr="00DF18AB" w:rsidRDefault="00DF18AB" w:rsidP="00DF18AB">
            <w:pPr>
              <w:keepNext/>
              <w:contextualSpacing/>
              <w:rPr>
                <w:rFonts w:eastAsia="HGSMinchoE" w:cs="Arial"/>
                <w:bCs w:val="0"/>
                <w:szCs w:val="24"/>
                <w:lang w:eastAsia="en-GB"/>
              </w:rPr>
            </w:pPr>
            <w:r w:rsidRPr="00DF18AB">
              <w:rPr>
                <w:rFonts w:eastAsia="HGSMinchoE" w:cs="Arial"/>
                <w:bCs w:val="0"/>
                <w:szCs w:val="24"/>
                <w:lang w:eastAsia="en-GB"/>
              </w:rPr>
              <w:t>Percentage of unique patients who are smokers AND are offered referral to stop smoking services AND offered stop smoking medication.</w:t>
            </w:r>
          </w:p>
        </w:tc>
      </w:tr>
      <w:tr w:rsidR="00DF18AB" w:rsidRPr="00DF18AB" w:rsidTr="00593B8C">
        <w:trPr>
          <w:trHeight w:val="8837"/>
        </w:trPr>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Numerator</w:t>
            </w:r>
          </w:p>
        </w:tc>
        <w:tc>
          <w:tcPr>
            <w:tcW w:w="6378" w:type="dxa"/>
          </w:tcPr>
          <w:p w:rsidR="00DF18AB" w:rsidRPr="00DF18AB" w:rsidRDefault="00DF18AB" w:rsidP="00DF18AB">
            <w:pPr>
              <w:keepNext/>
              <w:rPr>
                <w:rFonts w:eastAsia="HGSMinchoE" w:cs="Arial"/>
                <w:bCs w:val="0"/>
                <w:szCs w:val="24"/>
                <w:lang w:eastAsia="en-GB"/>
              </w:rPr>
            </w:pPr>
            <w:r w:rsidRPr="00DF18AB">
              <w:rPr>
                <w:rFonts w:eastAsia="HGSMinchoE" w:cs="Arial"/>
                <w:bCs w:val="0"/>
                <w:szCs w:val="24"/>
                <w:lang w:eastAsia="en-GB"/>
              </w:rPr>
              <w:t xml:space="preserve">Number of </w:t>
            </w:r>
            <w:r w:rsidRPr="00DF18AB">
              <w:rPr>
                <w:rFonts w:eastAsia="HGSMinchoE" w:cs="Arial"/>
                <w:b/>
                <w:bCs w:val="0"/>
                <w:szCs w:val="24"/>
                <w:lang w:eastAsia="en-GB"/>
              </w:rPr>
              <w:t>eligible patients</w:t>
            </w:r>
            <w:r w:rsidRPr="00DF18AB">
              <w:rPr>
                <w:rFonts w:eastAsia="HGSMinchoE" w:cs="Arial"/>
                <w:bCs w:val="0"/>
                <w:szCs w:val="24"/>
                <w:lang w:eastAsia="en-GB"/>
              </w:rPr>
              <w:t xml:space="preserve"> who are </w:t>
            </w:r>
            <w:r w:rsidRPr="00DF18AB">
              <w:rPr>
                <w:rFonts w:eastAsia="HGSMinchoE" w:cs="Arial"/>
                <w:b/>
                <w:bCs w:val="0"/>
                <w:szCs w:val="24"/>
                <w:lang w:eastAsia="en-GB"/>
              </w:rPr>
              <w:t xml:space="preserve">referred </w:t>
            </w:r>
            <w:r w:rsidRPr="00DF18AB">
              <w:rPr>
                <w:rFonts w:eastAsia="HGSMinchoE" w:cs="Arial"/>
                <w:bCs w:val="0"/>
                <w:szCs w:val="24"/>
                <w:lang w:eastAsia="en-GB"/>
              </w:rPr>
              <w:t>to specialist</w:t>
            </w:r>
            <w:r w:rsidRPr="00DF18AB">
              <w:rPr>
                <w:rFonts w:eastAsia="HGSMinchoE" w:cs="Arial"/>
                <w:b/>
                <w:bCs w:val="0"/>
                <w:szCs w:val="24"/>
                <w:lang w:eastAsia="en-GB"/>
              </w:rPr>
              <w:t xml:space="preserve"> </w:t>
            </w:r>
            <w:r w:rsidRPr="00DF18AB">
              <w:rPr>
                <w:rFonts w:eastAsia="HGSMinchoE" w:cs="Arial"/>
                <w:bCs w:val="0"/>
                <w:szCs w:val="24"/>
                <w:lang w:eastAsia="en-GB"/>
              </w:rPr>
              <w:t xml:space="preserve">services and </w:t>
            </w:r>
            <w:r w:rsidRPr="00DF18AB">
              <w:rPr>
                <w:rFonts w:eastAsia="HGSMinchoE" w:cs="Arial"/>
                <w:b/>
                <w:bCs w:val="0"/>
                <w:szCs w:val="24"/>
                <w:lang w:eastAsia="en-GB"/>
              </w:rPr>
              <w:t xml:space="preserve">offered stop smoking medication </w:t>
            </w:r>
            <w:r w:rsidRPr="00DF18AB">
              <w:rPr>
                <w:rFonts w:eastAsia="HGSMinchoE" w:cs="Arial"/>
                <w:bCs w:val="0"/>
                <w:szCs w:val="24"/>
                <w:lang w:eastAsia="en-GB"/>
              </w:rPr>
              <w:t xml:space="preserve">during this quarter: </w:t>
            </w:r>
          </w:p>
          <w:p w:rsidR="00DF18AB" w:rsidRPr="00DF18AB" w:rsidRDefault="00DF18AB" w:rsidP="00DF18AB">
            <w:pPr>
              <w:keepNext/>
              <w:numPr>
                <w:ilvl w:val="0"/>
                <w:numId w:val="129"/>
              </w:numPr>
              <w:contextualSpacing/>
              <w:rPr>
                <w:rFonts w:eastAsia="HGSMinchoE" w:cs="Arial"/>
                <w:szCs w:val="24"/>
                <w:lang w:eastAsia="en-GB"/>
              </w:rPr>
            </w:pPr>
            <w:r w:rsidRPr="00DF18AB">
              <w:rPr>
                <w:rFonts w:eastAsia="HGSMinchoE" w:cs="Arial"/>
                <w:b/>
                <w:szCs w:val="24"/>
                <w:lang w:eastAsia="en-GB"/>
              </w:rPr>
              <w:t>Eligible patients</w:t>
            </w:r>
            <w:r w:rsidRPr="00DF18AB">
              <w:rPr>
                <w:rFonts w:eastAsia="HGSMinchoE" w:cs="Arial"/>
                <w:szCs w:val="24"/>
                <w:lang w:eastAsia="en-GB"/>
              </w:rPr>
              <w:t xml:space="preserve"> are defined as patients who have been recorded as smokers during screening (in 1a);</w:t>
            </w:r>
          </w:p>
          <w:p w:rsidR="00DF18AB" w:rsidRPr="00DF18AB" w:rsidRDefault="00DF18AB" w:rsidP="00DF18AB">
            <w:pPr>
              <w:keepNext/>
              <w:numPr>
                <w:ilvl w:val="0"/>
                <w:numId w:val="51"/>
              </w:numPr>
              <w:spacing w:before="120" w:after="120"/>
              <w:ind w:left="714" w:hanging="357"/>
              <w:contextualSpacing/>
              <w:rPr>
                <w:rFonts w:eastAsia="HGSMinchoE" w:cs="Arial"/>
                <w:bCs w:val="0"/>
                <w:i/>
                <w:szCs w:val="24"/>
                <w:lang w:eastAsia="en-GB"/>
              </w:rPr>
            </w:pPr>
            <w:r w:rsidRPr="00DF18AB">
              <w:rPr>
                <w:rFonts w:eastAsia="HGSMinchoE" w:cs="Arial"/>
                <w:szCs w:val="24"/>
                <w:lang w:eastAsia="en-GB"/>
              </w:rPr>
              <w:t>the “</w:t>
            </w:r>
            <w:r w:rsidRPr="00DF18AB">
              <w:rPr>
                <w:rFonts w:eastAsia="HGSMinchoE" w:cs="Arial"/>
                <w:b/>
                <w:szCs w:val="24"/>
                <w:lang w:eastAsia="en-GB"/>
              </w:rPr>
              <w:t>referred</w:t>
            </w:r>
            <w:r w:rsidRPr="00DF18AB">
              <w:rPr>
                <w:rFonts w:eastAsia="HGSMinchoE" w:cs="Arial"/>
                <w:szCs w:val="24"/>
                <w:lang w:eastAsia="en-GB"/>
              </w:rPr>
              <w:t xml:space="preserve">” element of this indicator requires healthcare professionals to refer patients (not just signposting) to stop smoking services (these could be e.g. Local Authority funded Local Stop Smoking Services or lifestyle service in the community; in-house services in hospital; or within GP practices or pharmacies) and this to be recorded in the patient’s record in a clear and consistent way. </w:t>
            </w:r>
            <w:r w:rsidRPr="00DF18AB">
              <w:rPr>
                <w:rFonts w:eastAsia="HGSMinchoE"/>
                <w:szCs w:val="24"/>
                <w:lang w:eastAsia="en-GB"/>
              </w:rPr>
              <w:t>It is the responsibility of providers to identify the most effective way of recording this information.</w:t>
            </w:r>
            <w:r w:rsidRPr="00DF18AB">
              <w:rPr>
                <w:rFonts w:eastAsia="HGSMinchoE" w:cs="Arial"/>
                <w:szCs w:val="24"/>
                <w:lang w:eastAsia="en-GB"/>
              </w:rPr>
              <w:t xml:space="preserve"> Detail on the required actions from staff can be found on the National Centre for smoking Cessation and Training website (</w:t>
            </w:r>
            <w:hyperlink r:id="rId45" w:history="1">
              <w:r w:rsidRPr="00DF18AB">
                <w:rPr>
                  <w:rFonts w:eastAsia="HGSMinchoE" w:cs="Arial"/>
                  <w:color w:val="0000FF"/>
                  <w:szCs w:val="24"/>
                  <w:u w:val="single"/>
                  <w:lang w:eastAsia="en-GB"/>
                </w:rPr>
                <w:t>NCSCT</w:t>
              </w:r>
            </w:hyperlink>
            <w:r w:rsidRPr="00DF18AB">
              <w:rPr>
                <w:rFonts w:eastAsia="HGSMinchoE" w:cs="Arial"/>
                <w:szCs w:val="24"/>
                <w:lang w:eastAsia="en-GB"/>
              </w:rPr>
              <w:t xml:space="preserve">). </w:t>
            </w:r>
            <w:r w:rsidRPr="00DF18AB">
              <w:rPr>
                <w:rFonts w:cs="Arial"/>
              </w:rPr>
              <w:t xml:space="preserve">Secondary mental health providers in particular may want to build on the </w:t>
            </w:r>
            <w:hyperlink r:id="rId46" w:history="1">
              <w:r w:rsidRPr="00DF18AB">
                <w:rPr>
                  <w:rFonts w:cs="Arial"/>
                  <w:color w:val="0000FF"/>
                  <w:u w:val="single"/>
                </w:rPr>
                <w:t>Lester tool</w:t>
              </w:r>
            </w:hyperlink>
            <w:r w:rsidRPr="00DF18AB">
              <w:rPr>
                <w:rFonts w:cs="Arial"/>
              </w:rPr>
              <w:t xml:space="preserve"> as appropriate. </w:t>
            </w:r>
            <w:r w:rsidRPr="00DF18AB">
              <w:rPr>
                <w:rFonts w:eastAsia="HGSMinchoE" w:cs="Arial"/>
                <w:szCs w:val="24"/>
                <w:lang w:eastAsia="en-GB"/>
              </w:rPr>
              <w:t>See Annex A for further details; and</w:t>
            </w:r>
          </w:p>
          <w:p w:rsidR="00DF18AB" w:rsidRPr="00DF18AB" w:rsidRDefault="00DF18AB" w:rsidP="00DF18AB">
            <w:pPr>
              <w:keepNext/>
              <w:numPr>
                <w:ilvl w:val="0"/>
                <w:numId w:val="51"/>
              </w:numPr>
              <w:spacing w:before="120" w:after="120"/>
              <w:ind w:left="714" w:hanging="357"/>
              <w:contextualSpacing/>
              <w:rPr>
                <w:rFonts w:eastAsia="HGSMinchoE" w:cs="Arial"/>
                <w:bCs w:val="0"/>
                <w:i/>
                <w:szCs w:val="24"/>
                <w:lang w:eastAsia="en-GB"/>
              </w:rPr>
            </w:pPr>
            <w:r w:rsidRPr="00DF18AB">
              <w:rPr>
                <w:rFonts w:eastAsia="HGSMinchoE" w:cs="Arial"/>
                <w:szCs w:val="24"/>
                <w:lang w:eastAsia="en-GB"/>
              </w:rPr>
              <w:t>the “</w:t>
            </w:r>
            <w:r w:rsidRPr="00DF18AB">
              <w:rPr>
                <w:rFonts w:eastAsia="HGSMinchoE" w:cs="Arial"/>
                <w:b/>
                <w:szCs w:val="24"/>
                <w:lang w:eastAsia="en-GB"/>
              </w:rPr>
              <w:t>offered stop smoking medication</w:t>
            </w:r>
            <w:r w:rsidRPr="00DF18AB">
              <w:rPr>
                <w:rFonts w:eastAsia="HGSMinchoE" w:cs="Arial"/>
                <w:szCs w:val="24"/>
                <w:lang w:eastAsia="en-GB"/>
              </w:rPr>
              <w:t>” element of this indicator requires healthcare professionals to offer medication (where this is medically appropriate and possible) and this to be recorded in the patient’s record in a clear and consistent way. This should be accompanied where relevant by behavioural support as per NICE guidance.</w:t>
            </w:r>
            <w:r w:rsidRPr="00DF18AB">
              <w:rPr>
                <w:rFonts w:cs="Arial"/>
              </w:rPr>
              <w:t xml:space="preserve"> Secondary mental health providers in particular may want to build on the </w:t>
            </w:r>
            <w:hyperlink r:id="rId47" w:history="1">
              <w:r w:rsidRPr="00DF18AB">
                <w:rPr>
                  <w:rFonts w:cs="Arial"/>
                  <w:color w:val="0000FF"/>
                  <w:u w:val="single"/>
                </w:rPr>
                <w:t>Lester tool</w:t>
              </w:r>
            </w:hyperlink>
            <w:r w:rsidRPr="00DF18AB">
              <w:rPr>
                <w:rFonts w:cs="Arial"/>
              </w:rPr>
              <w:t xml:space="preserve"> as appropriate.</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Denominator</w:t>
            </w:r>
          </w:p>
        </w:tc>
        <w:tc>
          <w:tcPr>
            <w:tcW w:w="6378" w:type="dxa"/>
          </w:tcPr>
          <w:p w:rsidR="00DF18AB" w:rsidRPr="00DF18AB" w:rsidRDefault="00DF18AB" w:rsidP="00DF18AB">
            <w:pPr>
              <w:keepNext/>
              <w:contextualSpacing/>
              <w:rPr>
                <w:rFonts w:eastAsia="HGSMinchoE" w:cs="Arial"/>
                <w:bCs w:val="0"/>
                <w:szCs w:val="24"/>
                <w:lang w:eastAsia="en-GB"/>
              </w:rPr>
            </w:pPr>
            <w:r w:rsidRPr="00DF18AB">
              <w:rPr>
                <w:rFonts w:eastAsia="HGSMinchoE" w:cs="Arial"/>
                <w:bCs w:val="0"/>
                <w:szCs w:val="24"/>
                <w:lang w:eastAsia="en-GB"/>
              </w:rPr>
              <w:t xml:space="preserve">All </w:t>
            </w:r>
            <w:r w:rsidRPr="00DF18AB">
              <w:rPr>
                <w:rFonts w:eastAsia="HGSMinchoE" w:cs="Arial"/>
                <w:b/>
                <w:bCs w:val="0"/>
                <w:szCs w:val="24"/>
                <w:lang w:eastAsia="en-GB"/>
              </w:rPr>
              <w:t>eligible patients</w:t>
            </w:r>
            <w:r w:rsidRPr="00DF18AB">
              <w:rPr>
                <w:rFonts w:eastAsia="HGSMinchoE" w:cs="Arial"/>
                <w:bCs w:val="0"/>
                <w:szCs w:val="24"/>
                <w:lang w:eastAsia="en-GB"/>
              </w:rPr>
              <w:t xml:space="preserve"> during this quarter:</w:t>
            </w:r>
          </w:p>
          <w:p w:rsidR="00DF18AB" w:rsidRPr="00DF18AB" w:rsidRDefault="00DF18AB" w:rsidP="00DF18AB">
            <w:pPr>
              <w:keepNext/>
              <w:numPr>
                <w:ilvl w:val="0"/>
                <w:numId w:val="126"/>
              </w:numPr>
              <w:contextualSpacing/>
              <w:rPr>
                <w:rFonts w:eastAsia="HGSMinchoE" w:cs="Arial"/>
                <w:szCs w:val="24"/>
                <w:lang w:eastAsia="en-GB"/>
              </w:rPr>
            </w:pPr>
            <w:r w:rsidRPr="00DF18AB">
              <w:rPr>
                <w:rFonts w:eastAsia="HGSMinchoE" w:cs="Arial"/>
                <w:b/>
                <w:szCs w:val="24"/>
                <w:lang w:eastAsia="en-GB"/>
              </w:rPr>
              <w:t>Eligible patients</w:t>
            </w:r>
            <w:r w:rsidRPr="00DF18AB">
              <w:rPr>
                <w:rFonts w:eastAsia="HGSMinchoE" w:cs="Arial"/>
                <w:szCs w:val="24"/>
                <w:lang w:eastAsia="en-GB"/>
              </w:rPr>
              <w:t xml:space="preserve"> are defined as patients who have been recorded a</w:t>
            </w:r>
            <w:r w:rsidR="00570226">
              <w:rPr>
                <w:rFonts w:eastAsia="HGSMinchoE" w:cs="Arial"/>
                <w:szCs w:val="24"/>
                <w:lang w:eastAsia="en-GB"/>
              </w:rPr>
              <w:t>s smokers during screening (in 9</w:t>
            </w:r>
            <w:r w:rsidRPr="00DF18AB">
              <w:rPr>
                <w:rFonts w:eastAsia="HGSMinchoE" w:cs="Arial"/>
                <w:szCs w:val="24"/>
                <w:lang w:eastAsia="en-GB"/>
              </w:rPr>
              <w:t>a)</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Rationale for inclusion</w:t>
            </w:r>
          </w:p>
        </w:tc>
        <w:tc>
          <w:tcPr>
            <w:tcW w:w="6378"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Please refer to this sect</w:t>
            </w:r>
            <w:r w:rsidR="00570226">
              <w:rPr>
                <w:rFonts w:eastAsia="HGSMinchoE"/>
                <w:bCs w:val="0"/>
                <w:szCs w:val="24"/>
                <w:lang w:eastAsia="en-GB"/>
              </w:rPr>
              <w:t>ion in 9</w:t>
            </w:r>
            <w:r w:rsidRPr="00DF18AB">
              <w:rPr>
                <w:rFonts w:eastAsia="HGSMinchoE"/>
                <w:bCs w:val="0"/>
                <w:szCs w:val="24"/>
                <w:lang w:eastAsia="en-GB"/>
              </w:rPr>
              <w:t>a.</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lastRenderedPageBreak/>
              <w:t>Data source</w:t>
            </w:r>
          </w:p>
        </w:tc>
        <w:tc>
          <w:tcPr>
            <w:tcW w:w="6378" w:type="dxa"/>
          </w:tcPr>
          <w:p w:rsidR="00DF18AB" w:rsidRPr="00DF18AB" w:rsidRDefault="00DF18AB" w:rsidP="00DF18AB">
            <w:pPr>
              <w:keepNext/>
              <w:tabs>
                <w:tab w:val="left" w:pos="2074"/>
              </w:tabs>
              <w:rPr>
                <w:rFonts w:eastAsia="HGSMinchoE"/>
                <w:bCs w:val="0"/>
                <w:szCs w:val="24"/>
                <w:lang w:eastAsia="en-GB"/>
              </w:rPr>
            </w:pPr>
            <w:r w:rsidRPr="00DF18AB">
              <w:rPr>
                <w:rFonts w:eastAsia="HGSMinchoE"/>
                <w:bCs w:val="0"/>
                <w:szCs w:val="24"/>
                <w:lang w:eastAsia="en-GB"/>
              </w:rPr>
              <w:t>P</w:t>
            </w:r>
            <w:r w:rsidR="00570226">
              <w:rPr>
                <w:rFonts w:eastAsia="HGSMinchoE"/>
                <w:bCs w:val="0"/>
                <w:szCs w:val="24"/>
                <w:lang w:eastAsia="en-GB"/>
              </w:rPr>
              <w:t>lease refer to this section in 9</w:t>
            </w:r>
            <w:r w:rsidRPr="00DF18AB">
              <w:rPr>
                <w:rFonts w:eastAsia="HGSMinchoE"/>
                <w:bCs w:val="0"/>
                <w:szCs w:val="24"/>
                <w:lang w:eastAsia="en-GB"/>
              </w:rPr>
              <w:t>a.</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Frequency of data collection</w:t>
            </w:r>
          </w:p>
        </w:tc>
        <w:tc>
          <w:tcPr>
            <w:tcW w:w="6378" w:type="dxa"/>
          </w:tcPr>
          <w:p w:rsidR="00DF18AB" w:rsidRPr="00DF18AB" w:rsidRDefault="00DF18AB" w:rsidP="00DF18AB">
            <w:pPr>
              <w:rPr>
                <w:rFonts w:eastAsia="HGSMinchoE"/>
                <w:bCs w:val="0"/>
                <w:szCs w:val="24"/>
                <w:lang w:eastAsia="en-GB"/>
              </w:rPr>
            </w:pPr>
            <w:r w:rsidRPr="00DF18AB">
              <w:rPr>
                <w:rFonts w:eastAsia="HGSMinchoE"/>
                <w:b/>
                <w:bCs w:val="0"/>
                <w:szCs w:val="24"/>
                <w:lang w:eastAsia="en-GB"/>
              </w:rPr>
              <w:t>Quarterly</w:t>
            </w:r>
            <w:r w:rsidRPr="00DF18AB">
              <w:rPr>
                <w:rFonts w:eastAsia="HGSMinchoE"/>
                <w:bCs w:val="0"/>
                <w:szCs w:val="24"/>
                <w:lang w:eastAsia="en-GB"/>
              </w:rPr>
              <w:t xml:space="preserve">. Data to be collected ahead of quarterly audit. </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Cs w:val="0"/>
                <w:szCs w:val="24"/>
                <w:lang w:eastAsia="en-GB"/>
              </w:rPr>
            </w:pPr>
            <w:r w:rsidRPr="00DF18AB">
              <w:rPr>
                <w:rFonts w:eastAsia="HGSMinchoE"/>
                <w:bCs w:val="0"/>
                <w:szCs w:val="24"/>
                <w:lang w:eastAsia="en-GB"/>
              </w:rPr>
              <w:t>Note that the data that is required for the audits are patient case notes which are to be updated by staff whenever relevant.</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Organisation responsible for data collection</w:t>
            </w:r>
          </w:p>
        </w:tc>
        <w:tc>
          <w:tcPr>
            <w:tcW w:w="6378" w:type="dxa"/>
          </w:tcPr>
          <w:p w:rsidR="00DF18AB" w:rsidRPr="00DF18AB" w:rsidRDefault="00DF18AB" w:rsidP="00DF18AB">
            <w:pPr>
              <w:rPr>
                <w:rFonts w:eastAsia="HGSMinchoE"/>
                <w:bCs w:val="0"/>
                <w:szCs w:val="24"/>
                <w:lang w:eastAsia="en-GB"/>
              </w:rPr>
            </w:pPr>
            <w:r w:rsidRPr="00DF18AB">
              <w:rPr>
                <w:rFonts w:eastAsia="HGSMinchoE"/>
                <w:b/>
                <w:bCs w:val="0"/>
                <w:szCs w:val="24"/>
                <w:lang w:eastAsia="en-GB"/>
              </w:rPr>
              <w:t>Provider</w:t>
            </w:r>
            <w:r w:rsidRPr="00DF18AB">
              <w:rPr>
                <w:rFonts w:eastAsia="HGSMinchoE"/>
                <w:bCs w:val="0"/>
                <w:szCs w:val="24"/>
                <w:lang w:eastAsia="en-GB"/>
              </w:rPr>
              <w:t>.</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Frequency of reporting to commissioner</w:t>
            </w:r>
          </w:p>
        </w:tc>
        <w:tc>
          <w:tcPr>
            <w:tcW w:w="6378" w:type="dxa"/>
          </w:tcPr>
          <w:p w:rsidR="00DF18AB" w:rsidRPr="00DF18AB" w:rsidRDefault="00DF18AB" w:rsidP="00DF18AB">
            <w:pPr>
              <w:keepNext/>
              <w:tabs>
                <w:tab w:val="left" w:pos="2074"/>
              </w:tabs>
              <w:rPr>
                <w:rFonts w:eastAsia="HGSMinchoE"/>
                <w:bCs w:val="0"/>
                <w:szCs w:val="24"/>
                <w:lang w:eastAsia="en-GB"/>
              </w:rPr>
            </w:pPr>
            <w:r w:rsidRPr="00DF18AB">
              <w:rPr>
                <w:rFonts w:eastAsia="HGSMinchoE"/>
                <w:b/>
                <w:bCs w:val="0"/>
                <w:szCs w:val="24"/>
                <w:lang w:eastAsia="en-GB"/>
              </w:rPr>
              <w:t>Quarterly</w:t>
            </w:r>
            <w:r w:rsidRPr="00DF18AB">
              <w:rPr>
                <w:rFonts w:eastAsia="HGSMinchoE"/>
                <w:bCs w:val="0"/>
                <w:szCs w:val="24"/>
                <w:lang w:eastAsia="en-GB"/>
              </w:rPr>
              <w:t xml:space="preserve">.  </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tabs>
                <w:tab w:val="left" w:pos="2074"/>
              </w:tabs>
              <w:rPr>
                <w:rFonts w:eastAsia="HGSMinchoE"/>
                <w:bCs w:val="0"/>
                <w:szCs w:val="24"/>
                <w:lang w:eastAsia="en-GB"/>
              </w:rPr>
            </w:pPr>
            <w:r w:rsidRPr="00DF18AB">
              <w:rPr>
                <w:rFonts w:eastAsia="HGSMinchoE"/>
                <w:bCs w:val="0"/>
                <w:szCs w:val="24"/>
                <w:lang w:eastAsia="en-GB"/>
              </w:rPr>
              <w:t>Note that to enable national audits, providers are required to simultaneously submit audit data to NHS England via UNIFY on a quarterly basis as well.</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Baseline period/date</w:t>
            </w:r>
          </w:p>
        </w:tc>
        <w:tc>
          <w:tcPr>
            <w:tcW w:w="6378"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 xml:space="preserve">Baseline to be identified and set during Q1 of the CQUIN (i.e. Q1 of FY 17/18); see </w:t>
            </w:r>
            <w:r w:rsidRPr="00DF18AB">
              <w:rPr>
                <w:rFonts w:eastAsia="HGSMinchoE"/>
                <w:bCs w:val="0"/>
                <w:i/>
                <w:szCs w:val="24"/>
                <w:lang w:eastAsia="en-GB"/>
              </w:rPr>
              <w:t>Milestones</w:t>
            </w:r>
            <w:r w:rsidRPr="00DF18AB">
              <w:rPr>
                <w:rFonts w:eastAsia="HGSMinchoE"/>
                <w:bCs w:val="0"/>
                <w:szCs w:val="24"/>
                <w:lang w:eastAsia="en-GB"/>
              </w:rPr>
              <w:t xml:space="preserve"> below.</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Baseline value</w:t>
            </w:r>
          </w:p>
        </w:tc>
        <w:tc>
          <w:tcPr>
            <w:tcW w:w="6378" w:type="dxa"/>
          </w:tcPr>
          <w:p w:rsidR="00DF18AB" w:rsidRPr="00DF18AB" w:rsidRDefault="00DF18AB" w:rsidP="00DF18AB">
            <w:pPr>
              <w:keepNext/>
              <w:contextualSpacing/>
              <w:rPr>
                <w:rFonts w:cs="Arial"/>
                <w:color w:val="000000"/>
                <w:lang w:eastAsia="en-GB"/>
              </w:rPr>
            </w:pPr>
            <w:r w:rsidRPr="00DF18AB">
              <w:rPr>
                <w:rFonts w:cs="Arial"/>
                <w:color w:val="000000"/>
                <w:lang w:eastAsia="en-GB"/>
              </w:rPr>
              <w:t xml:space="preserve">To be determined locally, based on baseline setting exercise in Q1; </w:t>
            </w:r>
            <w:r w:rsidRPr="00DF18AB">
              <w:rPr>
                <w:rFonts w:eastAsia="HGSMinchoE"/>
                <w:bCs w:val="0"/>
                <w:szCs w:val="24"/>
                <w:lang w:eastAsia="en-GB"/>
              </w:rPr>
              <w:t xml:space="preserve">see </w:t>
            </w:r>
            <w:r w:rsidRPr="00DF18AB">
              <w:rPr>
                <w:rFonts w:eastAsia="HGSMinchoE"/>
                <w:bCs w:val="0"/>
                <w:i/>
                <w:szCs w:val="24"/>
                <w:lang w:eastAsia="en-GB"/>
              </w:rPr>
              <w:t>Milestones</w:t>
            </w:r>
            <w:r w:rsidRPr="00DF18AB">
              <w:rPr>
                <w:rFonts w:eastAsia="HGSMinchoE"/>
                <w:bCs w:val="0"/>
                <w:szCs w:val="24"/>
                <w:lang w:eastAsia="en-GB"/>
              </w:rPr>
              <w:t xml:space="preserve"> below.</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Final indicator period/date (on which payment is based)</w:t>
            </w:r>
          </w:p>
        </w:tc>
        <w:tc>
          <w:tcPr>
            <w:tcW w:w="6378"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 xml:space="preserve">Quarter 4 FY 18/19. </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Final indicator value (payment threshold)</w:t>
            </w:r>
          </w:p>
        </w:tc>
        <w:tc>
          <w:tcPr>
            <w:tcW w:w="6378" w:type="dxa"/>
          </w:tcPr>
          <w:p w:rsidR="00DF18AB" w:rsidRPr="00DF18AB" w:rsidRDefault="00DF18AB" w:rsidP="00DF18AB">
            <w:pPr>
              <w:rPr>
                <w:rFonts w:cs="Arial"/>
                <w:b/>
                <w:color w:val="000000"/>
                <w:lang w:eastAsia="en-GB"/>
              </w:rPr>
            </w:pPr>
            <w:r w:rsidRPr="00DF18AB">
              <w:rPr>
                <w:rFonts w:cs="Arial"/>
                <w:b/>
                <w:color w:val="000000"/>
                <w:lang w:eastAsia="en-GB"/>
              </w:rPr>
              <w:t>30%</w:t>
            </w:r>
            <w:r w:rsidRPr="00DF18AB">
              <w:rPr>
                <w:rFonts w:cs="Arial"/>
                <w:b/>
                <w:color w:val="000000"/>
                <w:lang w:eastAsia="en-GB"/>
              </w:rPr>
              <w:br/>
            </w:r>
            <w:r w:rsidRPr="00DF18AB">
              <w:rPr>
                <w:rFonts w:cs="Arial"/>
                <w:color w:val="000000"/>
                <w:lang w:eastAsia="en-GB"/>
              </w:rPr>
              <w:t>(NB: – this might be reviewed for 18/19 in light of learning from the first year of the scheme).</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Final indicator reporting date</w:t>
            </w:r>
          </w:p>
        </w:tc>
        <w:tc>
          <w:tcPr>
            <w:tcW w:w="6378" w:type="dxa"/>
          </w:tcPr>
          <w:p w:rsidR="00DF18AB" w:rsidRPr="00DF18AB" w:rsidRDefault="00DF18AB" w:rsidP="00DF18AB">
            <w:pPr>
              <w:keepNext/>
              <w:contextualSpacing/>
              <w:rPr>
                <w:rFonts w:eastAsia="HGSMinchoE"/>
                <w:bCs w:val="0"/>
                <w:szCs w:val="24"/>
                <w:lang w:eastAsia="en-GB"/>
              </w:rPr>
            </w:pPr>
            <w:r w:rsidRPr="00DF18AB">
              <w:rPr>
                <w:rFonts w:eastAsia="HGSMinchoE"/>
                <w:bCs w:val="0"/>
                <w:szCs w:val="24"/>
                <w:lang w:eastAsia="en-GB"/>
              </w:rPr>
              <w:t>As soon as possible after Q4 2018/19.</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Are there rules for any agreed in-year milestones that result in payment?</w:t>
            </w:r>
          </w:p>
        </w:tc>
        <w:tc>
          <w:tcPr>
            <w:tcW w:w="6378"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 xml:space="preserve">Yes. </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Cs w:val="0"/>
                <w:szCs w:val="24"/>
                <w:lang w:eastAsia="en-GB"/>
              </w:rPr>
            </w:pPr>
            <w:r w:rsidRPr="00DF18AB">
              <w:rPr>
                <w:rFonts w:eastAsia="HGSMinchoE"/>
                <w:b/>
                <w:bCs w:val="0"/>
                <w:szCs w:val="24"/>
                <w:lang w:eastAsia="en-GB"/>
              </w:rPr>
              <w:t>Quarter 1</w:t>
            </w:r>
            <w:r w:rsidRPr="00DF18AB">
              <w:rPr>
                <w:rFonts w:eastAsia="HGSMinchoE"/>
                <w:bCs w:val="0"/>
                <w:szCs w:val="24"/>
                <w:lang w:eastAsia="en-GB"/>
              </w:rPr>
              <w:t xml:space="preserve"> – payment is available for achieving three milestones at the end of Q1, namely a) completing an information systems audit; b) training staff to deliver brief advice and c) collect baseline data. Payment is split equally between a), b) and c), for more detail see </w:t>
            </w:r>
            <w:r w:rsidRPr="00DF18AB">
              <w:rPr>
                <w:rFonts w:eastAsia="HGSMinchoE"/>
                <w:bCs w:val="0"/>
                <w:i/>
                <w:szCs w:val="24"/>
                <w:lang w:eastAsia="en-GB"/>
              </w:rPr>
              <w:t>Milestones</w:t>
            </w:r>
            <w:r w:rsidRPr="00DF18AB">
              <w:rPr>
                <w:rFonts w:eastAsia="HGSMinchoE"/>
                <w:bCs w:val="0"/>
                <w:szCs w:val="24"/>
                <w:lang w:eastAsia="en-GB"/>
              </w:rPr>
              <w:t xml:space="preserve"> below.</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Cs w:val="0"/>
                <w:szCs w:val="24"/>
                <w:lang w:eastAsia="en-GB"/>
              </w:rPr>
            </w:pPr>
            <w:r w:rsidRPr="00DF18AB">
              <w:rPr>
                <w:rFonts w:eastAsia="HGSMinchoE"/>
                <w:b/>
                <w:bCs w:val="0"/>
                <w:szCs w:val="24"/>
                <w:lang w:eastAsia="en-GB"/>
              </w:rPr>
              <w:t>Quarter 2 and onwards</w:t>
            </w:r>
            <w:r w:rsidRPr="00DF18AB">
              <w:rPr>
                <w:rFonts w:eastAsia="HGSMinchoE"/>
                <w:bCs w:val="0"/>
                <w:szCs w:val="24"/>
                <w:lang w:eastAsia="en-GB"/>
              </w:rPr>
              <w:t xml:space="preserve"> – payment is available for high (</w:t>
            </w:r>
            <w:proofErr w:type="spellStart"/>
            <w:r w:rsidRPr="00DF18AB">
              <w:rPr>
                <w:rFonts w:eastAsia="HGSMinchoE"/>
                <w:bCs w:val="0"/>
                <w:szCs w:val="24"/>
                <w:lang w:eastAsia="en-GB"/>
              </w:rPr>
              <w:t>ie</w:t>
            </w:r>
            <w:proofErr w:type="spellEnd"/>
            <w:r w:rsidRPr="00DF18AB">
              <w:rPr>
                <w:rFonts w:eastAsia="HGSMinchoE"/>
                <w:bCs w:val="0"/>
                <w:szCs w:val="24"/>
                <w:lang w:eastAsia="en-GB"/>
              </w:rPr>
              <w:t xml:space="preserve"> to target performance) or improving performance across the indicators; performance data will be submitted on a quarterly basis by providers to commissioners who will reward payment.</w:t>
            </w:r>
          </w:p>
        </w:tc>
      </w:tr>
      <w:tr w:rsidR="00DF18AB" w:rsidRPr="00DF18AB" w:rsidTr="00593B8C">
        <w:tc>
          <w:tcPr>
            <w:tcW w:w="2802" w:type="dxa"/>
          </w:tcPr>
          <w:p w:rsidR="00DF18AB" w:rsidRPr="00DF18AB" w:rsidRDefault="00DF18AB" w:rsidP="00DF18AB">
            <w:pPr>
              <w:rPr>
                <w:rFonts w:cs="Arial"/>
                <w:b/>
                <w:color w:val="000000"/>
                <w:lang w:eastAsia="en-GB"/>
              </w:rPr>
            </w:pPr>
            <w:r w:rsidRPr="00DF18AB">
              <w:rPr>
                <w:rFonts w:cs="Arial"/>
                <w:b/>
                <w:color w:val="000000"/>
                <w:lang w:eastAsia="en-GB"/>
              </w:rPr>
              <w:t>Are there any rules for partial achievement of the indicator at the final indicator period/date?</w:t>
            </w:r>
          </w:p>
        </w:tc>
        <w:tc>
          <w:tcPr>
            <w:tcW w:w="6378" w:type="dxa"/>
          </w:tcPr>
          <w:p w:rsidR="00DF18AB" w:rsidRPr="00DF18AB" w:rsidRDefault="00DF18AB" w:rsidP="00DF18AB">
            <w:pPr>
              <w:rPr>
                <w:rFonts w:eastAsia="Calibri" w:cs="Arial"/>
                <w:szCs w:val="24"/>
                <w:lang w:eastAsia="en-GB"/>
              </w:rPr>
            </w:pPr>
            <w:r w:rsidRPr="00DF18AB">
              <w:rPr>
                <w:rFonts w:eastAsia="Calibri" w:cs="Arial"/>
                <w:szCs w:val="24"/>
                <w:lang w:eastAsia="en-GB"/>
              </w:rPr>
              <w:t xml:space="preserve">Yes – see </w:t>
            </w:r>
            <w:r w:rsidRPr="00DF18AB">
              <w:rPr>
                <w:rFonts w:eastAsia="Calibri" w:cs="Arial"/>
                <w:i/>
                <w:szCs w:val="24"/>
                <w:lang w:eastAsia="en-GB"/>
              </w:rPr>
              <w:t xml:space="preserve">Rules for partial achievement </w:t>
            </w:r>
            <w:r w:rsidRPr="00DF18AB">
              <w:rPr>
                <w:rFonts w:eastAsia="Calibri" w:cs="Arial"/>
                <w:szCs w:val="24"/>
                <w:lang w:eastAsia="en-GB"/>
              </w:rPr>
              <w:t>below.</w:t>
            </w:r>
          </w:p>
        </w:tc>
      </w:tr>
    </w:tbl>
    <w:p w:rsidR="00DF18AB" w:rsidRPr="00DF18AB" w:rsidRDefault="00DF18AB" w:rsidP="00DF18AB">
      <w:pPr>
        <w:rPr>
          <w:lang w:eastAsia="en-GB"/>
        </w:rPr>
      </w:pPr>
    </w:p>
    <w:p w:rsidR="00DF18AB" w:rsidRPr="00DF18AB" w:rsidRDefault="00DF18AB" w:rsidP="00DF18AB">
      <w:pPr>
        <w:rPr>
          <w:rFonts w:eastAsiaTheme="majorEastAsia" w:cstheme="majorBidi"/>
          <w:b/>
          <w:bCs w:val="0"/>
          <w:iCs/>
          <w:color w:val="A00054" w:themeColor="accent2"/>
          <w:lang w:eastAsia="en-GB"/>
        </w:rPr>
      </w:pPr>
      <w:r w:rsidRPr="00DF18AB">
        <w:rPr>
          <w:lang w:eastAsia="en-GB"/>
        </w:rPr>
        <w:br w:type="page"/>
      </w:r>
    </w:p>
    <w:p w:rsidR="00DF18AB" w:rsidRPr="00DF18AB" w:rsidRDefault="00DF18AB" w:rsidP="00DF18AB">
      <w:pPr>
        <w:keepNext/>
        <w:keepLines/>
        <w:outlineLvl w:val="3"/>
        <w:rPr>
          <w:rFonts w:eastAsiaTheme="majorEastAsia" w:cstheme="majorBidi"/>
          <w:b/>
          <w:bCs w:val="0"/>
          <w:iCs/>
          <w:color w:val="A00054" w:themeColor="accent2"/>
          <w:lang w:eastAsia="en-GB"/>
        </w:rPr>
      </w:pPr>
      <w:r w:rsidRPr="00DF18AB">
        <w:rPr>
          <w:rFonts w:eastAsiaTheme="majorEastAsia" w:cstheme="majorBidi"/>
          <w:b/>
          <w:bCs w:val="0"/>
          <w:iCs/>
          <w:color w:val="A00054" w:themeColor="accent2"/>
          <w:lang w:eastAsia="en-GB"/>
        </w:rPr>
        <w:lastRenderedPageBreak/>
        <w:t>Indicator 9d Alcohol screening</w:t>
      </w:r>
    </w:p>
    <w:p w:rsidR="00DF18AB" w:rsidRPr="00DF18AB" w:rsidRDefault="00DF18AB" w:rsidP="00DF18AB">
      <w:pPr>
        <w:rPr>
          <w:lang w:eastAsia="en-GB"/>
        </w:rPr>
      </w:pPr>
    </w:p>
    <w:tbl>
      <w:tblPr>
        <w:tblStyle w:val="TableGrid581"/>
        <w:tblW w:w="0" w:type="auto"/>
        <w:tblLook w:val="04A0" w:firstRow="1" w:lastRow="0" w:firstColumn="1" w:lastColumn="0" w:noHBand="0" w:noVBand="1"/>
        <w:tblCaption w:val="Indicator"/>
      </w:tblPr>
      <w:tblGrid>
        <w:gridCol w:w="2802"/>
        <w:gridCol w:w="6378"/>
      </w:tblGrid>
      <w:tr w:rsidR="00DF18AB" w:rsidRPr="00DF18AB" w:rsidTr="00593B8C">
        <w:trPr>
          <w:tblHeader/>
        </w:trPr>
        <w:tc>
          <w:tcPr>
            <w:tcW w:w="9180" w:type="dxa"/>
            <w:gridSpan w:val="2"/>
            <w:shd w:val="clear" w:color="auto" w:fill="0070C0"/>
          </w:tcPr>
          <w:p w:rsidR="00DF18AB" w:rsidRPr="00DF18AB" w:rsidRDefault="00DF18AB" w:rsidP="00DF18AB">
            <w:pPr>
              <w:jc w:val="center"/>
              <w:rPr>
                <w:rFonts w:eastAsia="HGSMinchoE"/>
                <w:bCs w:val="0"/>
                <w:szCs w:val="24"/>
                <w:lang w:eastAsia="en-GB"/>
              </w:rPr>
            </w:pPr>
            <w:r w:rsidRPr="00DF18AB">
              <w:rPr>
                <w:rFonts w:cs="Arial"/>
                <w:b/>
                <w:color w:val="FFFFFF"/>
                <w:lang w:eastAsia="en-GB"/>
              </w:rPr>
              <w:t>Indicator 9d</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Indicator name</w:t>
            </w:r>
          </w:p>
        </w:tc>
        <w:tc>
          <w:tcPr>
            <w:tcW w:w="6378"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 xml:space="preserve">Alcohol screening </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 xml:space="preserve">Indicator weighting </w:t>
            </w:r>
            <w:r w:rsidRPr="00DF18AB">
              <w:rPr>
                <w:rFonts w:cs="Arial"/>
                <w:b/>
                <w:color w:val="000000"/>
                <w:lang w:eastAsia="en-GB"/>
              </w:rPr>
              <w:br/>
              <w:t>(% of CQUIN scheme available)</w:t>
            </w:r>
          </w:p>
        </w:tc>
        <w:tc>
          <w:tcPr>
            <w:tcW w:w="6378" w:type="dxa"/>
          </w:tcPr>
          <w:p w:rsidR="00DF18AB" w:rsidRPr="00DF18AB" w:rsidRDefault="00DF18AB" w:rsidP="00DF18AB">
            <w:pPr>
              <w:rPr>
                <w:rFonts w:cs="Arial"/>
                <w:b/>
                <w:color w:val="000000"/>
                <w:lang w:eastAsia="en-GB"/>
              </w:rPr>
            </w:pPr>
            <w:r w:rsidRPr="00DF18AB">
              <w:rPr>
                <w:rFonts w:cs="Arial"/>
                <w:color w:val="000000"/>
                <w:lang w:eastAsia="en-GB"/>
              </w:rPr>
              <w:t xml:space="preserve">Achievement of target for this indicator attracts </w:t>
            </w:r>
            <w:r w:rsidR="00311336" w:rsidRPr="00DF18AB">
              <w:rPr>
                <w:rFonts w:cs="Arial"/>
                <w:szCs w:val="24"/>
              </w:rPr>
              <w:t>25%</w:t>
            </w:r>
            <w:r w:rsidR="00311336">
              <w:rPr>
                <w:rFonts w:cs="Arial"/>
                <w:szCs w:val="24"/>
              </w:rPr>
              <w:t xml:space="preserve"> of 0.25% (0.0625%)</w:t>
            </w:r>
            <w:r w:rsidRPr="00DF18AB">
              <w:rPr>
                <w:rFonts w:cs="Arial"/>
                <w:b/>
                <w:color w:val="000000"/>
                <w:lang w:eastAsia="en-GB"/>
              </w:rPr>
              <w:t xml:space="preserve">. </w:t>
            </w:r>
          </w:p>
          <w:p w:rsidR="00DF18AB" w:rsidRPr="00DF18AB" w:rsidRDefault="00DF18AB" w:rsidP="00DF18AB">
            <w:pPr>
              <w:rPr>
                <w:rFonts w:cs="Arial"/>
                <w:b/>
                <w:color w:val="000000"/>
                <w:lang w:eastAsia="en-GB"/>
              </w:rPr>
            </w:pPr>
          </w:p>
          <w:p w:rsidR="00DF18AB" w:rsidRPr="00DF18AB" w:rsidRDefault="00DF18AB" w:rsidP="00DF18AB">
            <w:pPr>
              <w:rPr>
                <w:rFonts w:cs="Arial"/>
                <w:i/>
                <w:color w:val="000000"/>
                <w:lang w:eastAsia="en-GB"/>
              </w:rPr>
            </w:pPr>
            <w:r w:rsidRPr="00DF18AB">
              <w:rPr>
                <w:rFonts w:cs="Arial"/>
                <w:i/>
                <w:color w:val="000000"/>
                <w:lang w:eastAsia="en-GB"/>
              </w:rPr>
              <w:t>(NB: this applies for Q2 onwards, different reward structure for Q1, see ‘rules for in-year payment’ section below)</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Description of indicator</w:t>
            </w:r>
          </w:p>
        </w:tc>
        <w:tc>
          <w:tcPr>
            <w:tcW w:w="6378" w:type="dxa"/>
          </w:tcPr>
          <w:p w:rsidR="00DF18AB" w:rsidRPr="00DF18AB" w:rsidRDefault="00DF18AB" w:rsidP="00DF18AB">
            <w:pPr>
              <w:keepNext/>
              <w:contextualSpacing/>
              <w:rPr>
                <w:rFonts w:eastAsia="HGSMinchoE" w:cs="Arial"/>
                <w:bCs w:val="0"/>
                <w:szCs w:val="24"/>
                <w:lang w:eastAsia="en-GB"/>
              </w:rPr>
            </w:pPr>
            <w:r w:rsidRPr="00DF18AB">
              <w:rPr>
                <w:rFonts w:eastAsia="HGSMinchoE" w:cs="Arial"/>
                <w:bCs w:val="0"/>
                <w:szCs w:val="24"/>
                <w:lang w:eastAsia="en-GB"/>
              </w:rPr>
              <w:t>Percentage of unique adult patients who are screened for drinking risk levels AND whose results are recorded in local data systems</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Numerator</w:t>
            </w:r>
          </w:p>
        </w:tc>
        <w:tc>
          <w:tcPr>
            <w:tcW w:w="6378" w:type="dxa"/>
          </w:tcPr>
          <w:p w:rsidR="00DF18AB" w:rsidRPr="00DF18AB" w:rsidRDefault="00DF18AB" w:rsidP="00DF18AB">
            <w:pPr>
              <w:keepNext/>
              <w:contextualSpacing/>
              <w:rPr>
                <w:rFonts w:eastAsia="HGSMinchoE" w:cs="Arial"/>
                <w:bCs w:val="0"/>
                <w:szCs w:val="24"/>
                <w:lang w:eastAsia="en-GB"/>
              </w:rPr>
            </w:pPr>
          </w:p>
          <w:p w:rsidR="00DF18AB" w:rsidRPr="00DF18AB" w:rsidRDefault="00DF18AB" w:rsidP="00DF18AB">
            <w:pPr>
              <w:keepNext/>
              <w:contextualSpacing/>
              <w:rPr>
                <w:rFonts w:eastAsia="HGSMinchoE" w:cs="Arial"/>
                <w:bCs w:val="0"/>
                <w:szCs w:val="24"/>
                <w:lang w:eastAsia="en-GB"/>
              </w:rPr>
            </w:pPr>
            <w:r w:rsidRPr="00DF18AB">
              <w:rPr>
                <w:rFonts w:eastAsia="HGSMinchoE" w:cs="Arial"/>
                <w:bCs w:val="0"/>
                <w:szCs w:val="24"/>
                <w:lang w:eastAsia="en-GB"/>
              </w:rPr>
              <w:t xml:space="preserve">Number of </w:t>
            </w:r>
            <w:r w:rsidRPr="00DF18AB">
              <w:rPr>
                <w:rFonts w:eastAsia="HGSMinchoE" w:cs="Arial"/>
                <w:b/>
                <w:bCs w:val="0"/>
                <w:szCs w:val="24"/>
                <w:lang w:eastAsia="en-GB"/>
              </w:rPr>
              <w:t>unique,</w:t>
            </w:r>
            <w:r w:rsidRPr="00DF18AB">
              <w:rPr>
                <w:rFonts w:eastAsia="HGSMinchoE" w:cs="Arial"/>
                <w:bCs w:val="0"/>
                <w:szCs w:val="24"/>
                <w:lang w:eastAsia="en-GB"/>
              </w:rPr>
              <w:t xml:space="preserve"> </w:t>
            </w:r>
            <w:r w:rsidRPr="00DF18AB">
              <w:rPr>
                <w:rFonts w:eastAsia="HGSMinchoE" w:cs="Arial"/>
                <w:b/>
                <w:bCs w:val="0"/>
                <w:szCs w:val="24"/>
                <w:lang w:eastAsia="en-GB"/>
              </w:rPr>
              <w:t>adult</w:t>
            </w:r>
            <w:r w:rsidRPr="00DF18AB">
              <w:rPr>
                <w:rFonts w:eastAsia="HGSMinchoE" w:cs="Arial"/>
                <w:bCs w:val="0"/>
                <w:szCs w:val="24"/>
                <w:lang w:eastAsia="en-GB"/>
              </w:rPr>
              <w:t xml:space="preserve"> </w:t>
            </w:r>
            <w:r w:rsidRPr="00DF18AB">
              <w:rPr>
                <w:rFonts w:eastAsia="HGSMinchoE" w:cs="Arial"/>
                <w:b/>
                <w:bCs w:val="0"/>
                <w:szCs w:val="24"/>
                <w:lang w:eastAsia="en-GB"/>
              </w:rPr>
              <w:t>patients</w:t>
            </w:r>
            <w:r w:rsidRPr="00DF18AB">
              <w:rPr>
                <w:rFonts w:eastAsia="HGSMinchoE" w:cs="Arial"/>
                <w:bCs w:val="0"/>
                <w:szCs w:val="24"/>
                <w:lang w:eastAsia="en-GB"/>
              </w:rPr>
              <w:t xml:space="preserve"> who are </w:t>
            </w:r>
            <w:r w:rsidRPr="00DF18AB">
              <w:rPr>
                <w:rFonts w:eastAsia="HGSMinchoE" w:cs="Arial"/>
                <w:b/>
                <w:bCs w:val="0"/>
                <w:szCs w:val="24"/>
                <w:lang w:eastAsia="en-GB"/>
              </w:rPr>
              <w:t>admitted</w:t>
            </w:r>
            <w:r w:rsidRPr="00DF18AB">
              <w:rPr>
                <w:rFonts w:eastAsia="HGSMinchoE" w:cs="Arial"/>
                <w:bCs w:val="0"/>
                <w:szCs w:val="24"/>
                <w:lang w:eastAsia="en-GB"/>
              </w:rPr>
              <w:t xml:space="preserve"> and </w:t>
            </w:r>
            <w:r w:rsidRPr="00DF18AB">
              <w:rPr>
                <w:rFonts w:eastAsia="HGSMinchoE" w:cs="Arial"/>
                <w:b/>
                <w:bCs w:val="0"/>
                <w:szCs w:val="24"/>
                <w:lang w:eastAsia="en-GB"/>
              </w:rPr>
              <w:t>screened for alcohol consumption</w:t>
            </w:r>
            <w:r w:rsidRPr="00DF18AB">
              <w:rPr>
                <w:rFonts w:eastAsia="HGSMinchoE" w:cs="Arial"/>
                <w:bCs w:val="0"/>
                <w:szCs w:val="24"/>
                <w:lang w:eastAsia="en-GB"/>
              </w:rPr>
              <w:t xml:space="preserve"> and results are </w:t>
            </w:r>
            <w:r w:rsidRPr="00DF18AB">
              <w:rPr>
                <w:rFonts w:eastAsia="HGSMinchoE" w:cs="Arial"/>
                <w:b/>
                <w:bCs w:val="0"/>
                <w:szCs w:val="24"/>
                <w:lang w:eastAsia="en-GB"/>
              </w:rPr>
              <w:t>recorded in patient’s record</w:t>
            </w:r>
            <w:r w:rsidRPr="00DF18AB">
              <w:rPr>
                <w:rFonts w:eastAsia="HGSMinchoE" w:cs="Arial"/>
                <w:bCs w:val="0"/>
                <w:szCs w:val="24"/>
                <w:lang w:eastAsia="en-GB"/>
              </w:rPr>
              <w:t xml:space="preserve"> during this quarter:</w:t>
            </w:r>
          </w:p>
          <w:p w:rsidR="00DF18AB" w:rsidRPr="00DF18AB" w:rsidRDefault="00DF18AB" w:rsidP="00DF18AB">
            <w:pPr>
              <w:keepNext/>
              <w:numPr>
                <w:ilvl w:val="0"/>
                <w:numId w:val="126"/>
              </w:numPr>
              <w:contextualSpacing/>
              <w:rPr>
                <w:rFonts w:eastAsia="HGSMinchoE" w:cs="Arial"/>
                <w:szCs w:val="24"/>
                <w:lang w:eastAsia="en-GB"/>
              </w:rPr>
            </w:pPr>
            <w:r w:rsidRPr="00DF18AB">
              <w:rPr>
                <w:rFonts w:eastAsia="HGSMinchoE" w:cs="Arial"/>
                <w:b/>
                <w:szCs w:val="24"/>
                <w:lang w:eastAsia="en-GB"/>
              </w:rPr>
              <w:t xml:space="preserve">unique </w:t>
            </w:r>
            <w:r w:rsidRPr="00DF18AB">
              <w:rPr>
                <w:rFonts w:eastAsia="HGSMinchoE" w:cs="Arial"/>
                <w:szCs w:val="24"/>
                <w:lang w:eastAsia="en-GB"/>
              </w:rPr>
              <w:t>is</w:t>
            </w:r>
            <w:r w:rsidRPr="00DF18AB">
              <w:rPr>
                <w:rFonts w:eastAsia="HGSMinchoE" w:cs="Arial"/>
                <w:b/>
                <w:szCs w:val="24"/>
                <w:lang w:eastAsia="en-GB"/>
              </w:rPr>
              <w:t xml:space="preserve"> </w:t>
            </w:r>
            <w:r w:rsidRPr="00DF18AB">
              <w:rPr>
                <w:rFonts w:eastAsia="HGSMinchoE" w:cs="Arial"/>
                <w:szCs w:val="24"/>
                <w:lang w:eastAsia="en-GB"/>
              </w:rPr>
              <w:t>defined as non-repeat admission of a patient during the duration of the CQUIN (</w:t>
            </w:r>
            <w:proofErr w:type="spellStart"/>
            <w:r w:rsidRPr="00DF18AB">
              <w:rPr>
                <w:rFonts w:eastAsia="HGSMinchoE" w:cs="Arial"/>
                <w:szCs w:val="24"/>
                <w:lang w:eastAsia="en-GB"/>
              </w:rPr>
              <w:t>ie</w:t>
            </w:r>
            <w:proofErr w:type="spellEnd"/>
            <w:r w:rsidRPr="00DF18AB">
              <w:rPr>
                <w:rFonts w:eastAsia="HGSMinchoE" w:cs="Arial"/>
                <w:szCs w:val="24"/>
                <w:lang w:eastAsia="en-GB"/>
              </w:rPr>
              <w:t xml:space="preserve"> FY 17/18 and 18/19) who has not already received the intervention within the period of the CQUIN;</w:t>
            </w:r>
          </w:p>
          <w:p w:rsidR="00DF18AB" w:rsidRPr="00DF18AB" w:rsidRDefault="00DF18AB" w:rsidP="00DF18AB">
            <w:pPr>
              <w:keepNext/>
              <w:numPr>
                <w:ilvl w:val="0"/>
                <w:numId w:val="51"/>
              </w:numPr>
              <w:spacing w:before="120" w:after="120"/>
              <w:ind w:left="714" w:hanging="357"/>
              <w:contextualSpacing/>
              <w:rPr>
                <w:rFonts w:eastAsia="HGSMinchoE" w:cs="Arial"/>
                <w:szCs w:val="24"/>
                <w:lang w:eastAsia="en-GB"/>
              </w:rPr>
            </w:pPr>
            <w:r w:rsidRPr="00DF18AB">
              <w:rPr>
                <w:rFonts w:eastAsia="HGSMinchoE" w:cs="Arial"/>
                <w:b/>
                <w:szCs w:val="24"/>
                <w:lang w:eastAsia="en-GB"/>
              </w:rPr>
              <w:t>adult patient</w:t>
            </w:r>
            <w:r w:rsidRPr="00DF18AB">
              <w:rPr>
                <w:rFonts w:eastAsia="HGSMinchoE" w:cs="Arial"/>
                <w:szCs w:val="24"/>
                <w:lang w:eastAsia="en-GB"/>
              </w:rPr>
              <w:t xml:space="preserve"> is defined as patients of at least 18 years of age for the purpose of this CQUIN;</w:t>
            </w:r>
          </w:p>
          <w:p w:rsidR="00DF18AB" w:rsidRPr="00DF18AB" w:rsidRDefault="00DF18AB" w:rsidP="00DF18AB">
            <w:pPr>
              <w:keepNext/>
              <w:numPr>
                <w:ilvl w:val="0"/>
                <w:numId w:val="51"/>
              </w:numPr>
              <w:spacing w:before="120" w:after="120"/>
              <w:ind w:left="714" w:hanging="357"/>
              <w:contextualSpacing/>
              <w:rPr>
                <w:rFonts w:eastAsia="HGSMinchoE" w:cs="Arial"/>
                <w:szCs w:val="24"/>
                <w:lang w:eastAsia="en-GB"/>
              </w:rPr>
            </w:pPr>
            <w:r w:rsidRPr="00DF18AB">
              <w:rPr>
                <w:rFonts w:eastAsia="HGSMinchoE" w:cs="Arial"/>
                <w:b/>
                <w:szCs w:val="24"/>
                <w:lang w:eastAsia="en-GB"/>
              </w:rPr>
              <w:t>admitted</w:t>
            </w:r>
            <w:r w:rsidRPr="00DF18AB">
              <w:rPr>
                <w:rFonts w:eastAsia="HGSMinchoE" w:cs="Arial"/>
                <w:szCs w:val="24"/>
                <w:lang w:eastAsia="en-GB"/>
              </w:rPr>
              <w:t xml:space="preserve"> is defined as admitted to an inpatient ward for at least one night (i.e. Length of stay equal to or greater than one) </w:t>
            </w:r>
            <w:r w:rsidRPr="00DF18AB">
              <w:rPr>
                <w:rFonts w:eastAsia="HGSMinchoE" w:cs="Arial"/>
                <w:b/>
                <w:szCs w:val="24"/>
                <w:u w:val="single"/>
                <w:lang w:eastAsia="en-GB"/>
              </w:rPr>
              <w:t>excluding</w:t>
            </w:r>
            <w:r w:rsidRPr="00DF18AB">
              <w:rPr>
                <w:rFonts w:eastAsia="HGSMinchoE" w:cs="Arial"/>
                <w:szCs w:val="24"/>
                <w:lang w:eastAsia="en-GB"/>
              </w:rPr>
              <w:t xml:space="preserve"> any admissions to maternity wards (i.e. admissions to maternity wards not in scope of this CQUIN). </w:t>
            </w:r>
            <w:r w:rsidRPr="00DF18AB">
              <w:rPr>
                <w:rFonts w:eastAsia="HGSMinchoE" w:cs="Arial"/>
                <w:szCs w:val="24"/>
              </w:rPr>
              <w:t>NB: screening should take place at a time that is clinically appropriate for the patient. For example, &gt;7 days for patients with severe mental health illness as set out in the PSMI CQUIN;</w:t>
            </w:r>
          </w:p>
          <w:p w:rsidR="00DF18AB" w:rsidRPr="00DF18AB" w:rsidRDefault="00DF18AB" w:rsidP="00DF18AB">
            <w:pPr>
              <w:keepNext/>
              <w:numPr>
                <w:ilvl w:val="0"/>
                <w:numId w:val="51"/>
              </w:numPr>
              <w:spacing w:before="120" w:after="120"/>
              <w:ind w:left="714" w:hanging="357"/>
              <w:contextualSpacing/>
              <w:rPr>
                <w:rFonts w:eastAsia="HGSMinchoE" w:cs="Arial"/>
                <w:szCs w:val="24"/>
                <w:lang w:eastAsia="en-GB"/>
              </w:rPr>
            </w:pPr>
            <w:r w:rsidRPr="00DF18AB">
              <w:rPr>
                <w:rFonts w:eastAsia="HGSMinchoE" w:cs="Arial"/>
                <w:szCs w:val="24"/>
                <w:lang w:eastAsia="en-GB"/>
              </w:rPr>
              <w:t>the “</w:t>
            </w:r>
            <w:r w:rsidRPr="00DF18AB">
              <w:rPr>
                <w:rFonts w:eastAsia="HGSMinchoE" w:cs="Arial"/>
                <w:b/>
                <w:szCs w:val="24"/>
                <w:lang w:eastAsia="en-GB"/>
              </w:rPr>
              <w:t>screened for alcohol consumption</w:t>
            </w:r>
            <w:r w:rsidRPr="00DF18AB">
              <w:rPr>
                <w:rFonts w:eastAsia="HGSMinchoE" w:cs="Arial"/>
                <w:szCs w:val="24"/>
                <w:lang w:eastAsia="en-GB"/>
              </w:rPr>
              <w:t xml:space="preserve">” element of this indicator requires the standard protocol for alcohol screening in secondary care as per NICE guidance to be implemented. Detail on the required actions from staff can be found on the </w:t>
            </w:r>
            <w:hyperlink r:id="rId48" w:anchor="content=view-node%3Anodes-screening&amp;path=view%3A/pathways/alcohol-use-disorders/screening-and-brief-interventions-for-harmful-drinking-and-alcohol-dependence.xml" w:history="1">
              <w:r w:rsidRPr="00DF18AB">
                <w:rPr>
                  <w:rFonts w:eastAsia="HGSMinchoE" w:cs="Arial"/>
                  <w:color w:val="0000FF"/>
                  <w:szCs w:val="24"/>
                  <w:u w:val="single"/>
                  <w:lang w:eastAsia="en-GB"/>
                </w:rPr>
                <w:t>NICE website</w:t>
              </w:r>
            </w:hyperlink>
            <w:r w:rsidRPr="00DF18AB">
              <w:rPr>
                <w:rFonts w:eastAsia="HGSMinchoE" w:cs="Arial"/>
                <w:szCs w:val="24"/>
                <w:lang w:eastAsia="en-GB"/>
              </w:rPr>
              <w:t xml:space="preserve">. </w:t>
            </w:r>
            <w:r w:rsidRPr="00DF18AB">
              <w:rPr>
                <w:rFonts w:cs="Arial"/>
              </w:rPr>
              <w:t xml:space="preserve">Secondary mental health providers in particular may want to build on the </w:t>
            </w:r>
            <w:hyperlink r:id="rId49" w:history="1">
              <w:r w:rsidRPr="00DF18AB">
                <w:rPr>
                  <w:rFonts w:cs="Arial"/>
                  <w:color w:val="0000FF"/>
                  <w:u w:val="single"/>
                </w:rPr>
                <w:t>Lester tool</w:t>
              </w:r>
            </w:hyperlink>
            <w:r w:rsidRPr="00DF18AB">
              <w:rPr>
                <w:rFonts w:cs="Arial"/>
              </w:rPr>
              <w:t xml:space="preserve"> to include an appropriate alcohol component (which is also encouraged by the PSMI CQUIN). </w:t>
            </w:r>
            <w:r w:rsidRPr="00DF18AB">
              <w:rPr>
                <w:rFonts w:eastAsia="HGSMinchoE" w:cs="Arial"/>
                <w:szCs w:val="24"/>
                <w:lang w:eastAsia="en-GB"/>
              </w:rPr>
              <w:t>See Annex A for further details; and</w:t>
            </w:r>
          </w:p>
          <w:p w:rsidR="00DF18AB" w:rsidRPr="00DF18AB" w:rsidRDefault="00DF18AB" w:rsidP="00DF18AB">
            <w:pPr>
              <w:keepNext/>
              <w:numPr>
                <w:ilvl w:val="0"/>
                <w:numId w:val="51"/>
              </w:numPr>
              <w:spacing w:before="120" w:after="120"/>
              <w:ind w:left="714" w:hanging="357"/>
              <w:contextualSpacing/>
              <w:rPr>
                <w:rFonts w:eastAsia="HGSMinchoE" w:cs="Arial"/>
                <w:szCs w:val="24"/>
                <w:lang w:eastAsia="en-GB"/>
              </w:rPr>
            </w:pPr>
            <w:r w:rsidRPr="00DF18AB">
              <w:rPr>
                <w:rFonts w:eastAsia="HGSMinchoE" w:cs="Arial"/>
                <w:szCs w:val="24"/>
                <w:lang w:eastAsia="en-GB"/>
              </w:rPr>
              <w:t>the “</w:t>
            </w:r>
            <w:r w:rsidRPr="00DF18AB">
              <w:rPr>
                <w:rFonts w:eastAsia="HGSMinchoE" w:cs="Arial"/>
                <w:b/>
                <w:szCs w:val="24"/>
                <w:lang w:eastAsia="en-GB"/>
              </w:rPr>
              <w:t>recorded in patient’s record</w:t>
            </w:r>
            <w:r w:rsidRPr="00DF18AB">
              <w:rPr>
                <w:rFonts w:eastAsia="HGSMinchoE" w:cs="Arial"/>
                <w:szCs w:val="24"/>
                <w:lang w:eastAsia="en-GB"/>
              </w:rPr>
              <w:t xml:space="preserve">” element of this indicator requires the delivery of the standard protocol as described above and the outcome to be recorded in the patient’s record in a clear and consistent way. </w:t>
            </w:r>
            <w:r w:rsidRPr="00DF18AB">
              <w:rPr>
                <w:rFonts w:eastAsia="HGSMinchoE"/>
                <w:szCs w:val="24"/>
                <w:lang w:eastAsia="en-GB"/>
              </w:rPr>
              <w:t>It is the responsibility of providers to identify the most effective way of recording this information.</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Denominator</w:t>
            </w:r>
          </w:p>
        </w:tc>
        <w:tc>
          <w:tcPr>
            <w:tcW w:w="6378" w:type="dxa"/>
          </w:tcPr>
          <w:p w:rsidR="00DF18AB" w:rsidRPr="00DF18AB" w:rsidRDefault="00DF18AB" w:rsidP="00DF18AB">
            <w:pPr>
              <w:keepNext/>
              <w:contextualSpacing/>
              <w:rPr>
                <w:rFonts w:eastAsia="HGSMinchoE" w:cs="Arial"/>
                <w:bCs w:val="0"/>
                <w:szCs w:val="24"/>
                <w:lang w:eastAsia="en-GB"/>
              </w:rPr>
            </w:pPr>
            <w:r w:rsidRPr="00DF18AB">
              <w:rPr>
                <w:rFonts w:eastAsia="HGSMinchoE" w:cs="Arial"/>
                <w:bCs w:val="0"/>
                <w:szCs w:val="24"/>
                <w:lang w:eastAsia="en-GB"/>
              </w:rPr>
              <w:t xml:space="preserve">All </w:t>
            </w:r>
            <w:r w:rsidRPr="00DF18AB">
              <w:rPr>
                <w:rFonts w:eastAsia="HGSMinchoE" w:cs="Arial"/>
                <w:b/>
                <w:bCs w:val="0"/>
                <w:szCs w:val="24"/>
                <w:lang w:eastAsia="en-GB"/>
              </w:rPr>
              <w:t>unique,</w:t>
            </w:r>
            <w:r w:rsidRPr="00DF18AB">
              <w:rPr>
                <w:rFonts w:eastAsia="HGSMinchoE" w:cs="Arial"/>
                <w:bCs w:val="0"/>
                <w:szCs w:val="24"/>
                <w:lang w:eastAsia="en-GB"/>
              </w:rPr>
              <w:t xml:space="preserve"> </w:t>
            </w:r>
            <w:r w:rsidRPr="00DF18AB">
              <w:rPr>
                <w:rFonts w:eastAsia="HGSMinchoE" w:cs="Arial"/>
                <w:b/>
                <w:bCs w:val="0"/>
                <w:szCs w:val="24"/>
                <w:lang w:eastAsia="en-GB"/>
              </w:rPr>
              <w:t>adult patients</w:t>
            </w:r>
            <w:r w:rsidRPr="00DF18AB">
              <w:rPr>
                <w:rFonts w:eastAsia="HGSMinchoE" w:cs="Arial"/>
                <w:bCs w:val="0"/>
                <w:szCs w:val="24"/>
                <w:lang w:eastAsia="en-GB"/>
              </w:rPr>
              <w:t xml:space="preserve"> who are </w:t>
            </w:r>
            <w:r w:rsidRPr="00DF18AB">
              <w:rPr>
                <w:rFonts w:eastAsia="HGSMinchoE" w:cs="Arial"/>
                <w:b/>
                <w:bCs w:val="0"/>
                <w:szCs w:val="24"/>
                <w:lang w:eastAsia="en-GB"/>
              </w:rPr>
              <w:t>admitted</w:t>
            </w:r>
            <w:r w:rsidRPr="00DF18AB">
              <w:rPr>
                <w:rFonts w:eastAsia="HGSMinchoE" w:cs="Arial"/>
                <w:bCs w:val="0"/>
                <w:szCs w:val="24"/>
                <w:lang w:eastAsia="en-GB"/>
              </w:rPr>
              <w:t xml:space="preserve"> during this </w:t>
            </w:r>
            <w:r w:rsidRPr="00DF18AB">
              <w:rPr>
                <w:rFonts w:eastAsia="HGSMinchoE" w:cs="Arial"/>
                <w:bCs w:val="0"/>
                <w:szCs w:val="24"/>
                <w:lang w:eastAsia="en-GB"/>
              </w:rPr>
              <w:lastRenderedPageBreak/>
              <w:t xml:space="preserve">quarter: </w:t>
            </w:r>
          </w:p>
          <w:p w:rsidR="00DF18AB" w:rsidRPr="00DF18AB" w:rsidRDefault="00DF18AB" w:rsidP="00DF18AB">
            <w:pPr>
              <w:keepNext/>
              <w:numPr>
                <w:ilvl w:val="0"/>
                <w:numId w:val="51"/>
              </w:numPr>
              <w:spacing w:before="120" w:after="120"/>
              <w:ind w:left="714" w:hanging="357"/>
              <w:contextualSpacing/>
              <w:rPr>
                <w:rFonts w:eastAsia="HGSMinchoE" w:cs="Arial"/>
                <w:szCs w:val="24"/>
                <w:lang w:eastAsia="en-GB"/>
              </w:rPr>
            </w:pPr>
            <w:r w:rsidRPr="00DF18AB">
              <w:rPr>
                <w:rFonts w:eastAsia="HGSMinchoE" w:cs="Arial"/>
                <w:b/>
                <w:szCs w:val="24"/>
                <w:lang w:eastAsia="en-GB"/>
              </w:rPr>
              <w:t xml:space="preserve">unique </w:t>
            </w:r>
            <w:r w:rsidRPr="00DF18AB">
              <w:rPr>
                <w:rFonts w:eastAsia="HGSMinchoE" w:cs="Arial"/>
                <w:szCs w:val="24"/>
                <w:lang w:eastAsia="en-GB"/>
              </w:rPr>
              <w:t>is</w:t>
            </w:r>
            <w:r w:rsidRPr="00DF18AB">
              <w:rPr>
                <w:rFonts w:eastAsia="HGSMinchoE" w:cs="Arial"/>
                <w:b/>
                <w:szCs w:val="24"/>
                <w:lang w:eastAsia="en-GB"/>
              </w:rPr>
              <w:t xml:space="preserve"> </w:t>
            </w:r>
            <w:r w:rsidRPr="00DF18AB">
              <w:rPr>
                <w:rFonts w:eastAsia="HGSMinchoE" w:cs="Arial"/>
                <w:szCs w:val="24"/>
                <w:lang w:eastAsia="en-GB"/>
              </w:rPr>
              <w:t>defined as non-repeat admission of a patient during the duration of the CQUIN (i.e. FY 17/18 and 18/19) who has not already received the intervention within the period of the CQUIN</w:t>
            </w:r>
          </w:p>
          <w:p w:rsidR="00DF18AB" w:rsidRPr="00DF18AB" w:rsidRDefault="00DF18AB" w:rsidP="00DF18AB">
            <w:pPr>
              <w:keepNext/>
              <w:numPr>
                <w:ilvl w:val="0"/>
                <w:numId w:val="51"/>
              </w:numPr>
              <w:spacing w:before="120" w:after="120"/>
              <w:ind w:left="714" w:hanging="357"/>
              <w:contextualSpacing/>
              <w:rPr>
                <w:rFonts w:eastAsia="HGSMinchoE" w:cs="Arial"/>
                <w:szCs w:val="24"/>
                <w:lang w:eastAsia="en-GB"/>
              </w:rPr>
            </w:pPr>
            <w:r w:rsidRPr="00DF18AB">
              <w:rPr>
                <w:rFonts w:eastAsia="HGSMinchoE" w:cs="Arial"/>
                <w:b/>
                <w:szCs w:val="24"/>
                <w:lang w:eastAsia="en-GB"/>
              </w:rPr>
              <w:t>adult patient</w:t>
            </w:r>
            <w:r w:rsidRPr="00DF18AB">
              <w:rPr>
                <w:rFonts w:eastAsia="HGSMinchoE" w:cs="Arial"/>
                <w:szCs w:val="24"/>
                <w:lang w:eastAsia="en-GB"/>
              </w:rPr>
              <w:t xml:space="preserve"> is defined as patients of at least 18 years of age; and</w:t>
            </w:r>
          </w:p>
          <w:p w:rsidR="00DF18AB" w:rsidRPr="00DF18AB" w:rsidRDefault="00DF18AB" w:rsidP="00DF18AB">
            <w:pPr>
              <w:keepNext/>
              <w:numPr>
                <w:ilvl w:val="0"/>
                <w:numId w:val="51"/>
              </w:numPr>
              <w:spacing w:before="120" w:after="120"/>
              <w:ind w:left="714" w:hanging="357"/>
              <w:contextualSpacing/>
              <w:rPr>
                <w:rFonts w:eastAsia="HGSMinchoE" w:cs="Arial"/>
                <w:szCs w:val="24"/>
                <w:lang w:eastAsia="en-GB"/>
              </w:rPr>
            </w:pPr>
            <w:r w:rsidRPr="00DF18AB">
              <w:rPr>
                <w:rFonts w:eastAsia="HGSMinchoE" w:cs="Arial"/>
                <w:b/>
                <w:szCs w:val="24"/>
                <w:lang w:eastAsia="en-GB"/>
              </w:rPr>
              <w:t>admitted</w:t>
            </w:r>
            <w:r w:rsidRPr="00DF18AB">
              <w:rPr>
                <w:rFonts w:eastAsia="HGSMinchoE" w:cs="Arial"/>
                <w:szCs w:val="24"/>
                <w:lang w:eastAsia="en-GB"/>
              </w:rPr>
              <w:t xml:space="preserve"> is defined as admitted to an inpatient ward for at least one night (i.e. Length of stay equal to or greater than one) </w:t>
            </w:r>
            <w:r w:rsidRPr="00DF18AB">
              <w:rPr>
                <w:rFonts w:eastAsia="HGSMinchoE" w:cs="Arial"/>
                <w:b/>
                <w:szCs w:val="24"/>
                <w:u w:val="single"/>
                <w:lang w:eastAsia="en-GB"/>
              </w:rPr>
              <w:t>excluding</w:t>
            </w:r>
            <w:r w:rsidRPr="00DF18AB">
              <w:rPr>
                <w:rFonts w:eastAsia="HGSMinchoE" w:cs="Arial"/>
                <w:szCs w:val="24"/>
                <w:lang w:eastAsia="en-GB"/>
              </w:rPr>
              <w:t xml:space="preserve"> any admissions to maternity wards (i.e. admissions to maternity wards not in scope of this CQUIN).</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lastRenderedPageBreak/>
              <w:t>Rationale for inclusion</w:t>
            </w:r>
          </w:p>
        </w:tc>
        <w:tc>
          <w:tcPr>
            <w:tcW w:w="6378" w:type="dxa"/>
          </w:tcPr>
          <w:p w:rsidR="00DF18AB" w:rsidRPr="00DF18AB" w:rsidRDefault="00DF18AB" w:rsidP="00DF18AB">
            <w:pPr>
              <w:rPr>
                <w:rFonts w:eastAsia="HGSMinchoE"/>
                <w:b/>
                <w:bCs w:val="0"/>
                <w:szCs w:val="24"/>
                <w:lang w:eastAsia="en-GB"/>
              </w:rPr>
            </w:pPr>
            <w:r w:rsidRPr="00DF18AB">
              <w:rPr>
                <w:rFonts w:eastAsia="HGSMinchoE"/>
                <w:b/>
                <w:bCs w:val="0"/>
                <w:szCs w:val="24"/>
                <w:lang w:eastAsia="en-GB"/>
              </w:rPr>
              <w:t>Context</w:t>
            </w:r>
          </w:p>
          <w:p w:rsidR="00DF18AB" w:rsidRPr="00DF18AB" w:rsidRDefault="00DF18AB" w:rsidP="00DF18AB">
            <w:pPr>
              <w:rPr>
                <w:rFonts w:eastAsia="HGSMinchoE"/>
                <w:bCs w:val="0"/>
                <w:szCs w:val="24"/>
                <w:lang w:eastAsia="en-GB"/>
              </w:rPr>
            </w:pPr>
            <w:r w:rsidRPr="00DF18AB">
              <w:rPr>
                <w:rFonts w:eastAsia="HGSMinchoE"/>
                <w:bCs w:val="0"/>
                <w:szCs w:val="24"/>
                <w:lang w:eastAsia="en-GB"/>
              </w:rPr>
              <w:t>This CQUIN seeks to help deliver on the objectives set out in the Five Year Forward View (</w:t>
            </w:r>
            <w:hyperlink r:id="rId50" w:history="1">
              <w:r w:rsidRPr="00DF18AB">
                <w:rPr>
                  <w:rFonts w:eastAsia="HGSMinchoE"/>
                  <w:bCs w:val="0"/>
                  <w:color w:val="0000FF"/>
                  <w:szCs w:val="24"/>
                  <w:u w:val="single"/>
                  <w:lang w:eastAsia="en-GB"/>
                </w:rPr>
                <w:t>5YFV</w:t>
              </w:r>
            </w:hyperlink>
            <w:r w:rsidRPr="00DF18AB">
              <w:rPr>
                <w:rFonts w:eastAsia="HGSMinchoE"/>
                <w:bCs w:val="0"/>
                <w:szCs w:val="24"/>
                <w:lang w:eastAsia="en-GB"/>
              </w:rPr>
              <w:t xml:space="preserve">), particularly around the need for a ’…radical upgrade in prevention…’ and to ‘…incentivising and supporting healthier behaviour’. The proposal also supports delivery against the FYFV efficiency target by generating a projected national net cost-saving to the NHS over the course of the CQUIN.  </w:t>
            </w:r>
          </w:p>
          <w:p w:rsidR="00DF18AB" w:rsidRPr="00DF18AB" w:rsidRDefault="00DF18AB" w:rsidP="00DF18AB">
            <w:pPr>
              <w:rPr>
                <w:rFonts w:eastAsia="HGSMinchoE"/>
                <w:b/>
                <w:bCs w:val="0"/>
                <w:szCs w:val="24"/>
                <w:lang w:eastAsia="en-GB"/>
              </w:rPr>
            </w:pPr>
          </w:p>
          <w:p w:rsidR="00DF18AB" w:rsidRPr="00DF18AB" w:rsidRDefault="00DF18AB" w:rsidP="00DF18AB">
            <w:pPr>
              <w:rPr>
                <w:rFonts w:eastAsia="HGSMinchoE"/>
                <w:b/>
                <w:bCs w:val="0"/>
                <w:szCs w:val="24"/>
                <w:lang w:eastAsia="en-GB"/>
              </w:rPr>
            </w:pPr>
            <w:r w:rsidRPr="00DF18AB">
              <w:rPr>
                <w:rFonts w:eastAsia="HGSMinchoE"/>
                <w:b/>
                <w:bCs w:val="0"/>
                <w:szCs w:val="24"/>
                <w:lang w:eastAsia="en-GB"/>
              </w:rPr>
              <w:t xml:space="preserve">The burden of excessive alcohol consumption </w:t>
            </w:r>
          </w:p>
          <w:p w:rsidR="00DF18AB" w:rsidRPr="00DF18AB" w:rsidRDefault="00DF18AB" w:rsidP="00DF18AB">
            <w:pPr>
              <w:spacing w:after="120"/>
              <w:rPr>
                <w:rFonts w:eastAsia="HGSMinchoE" w:cs="Arial"/>
                <w:bCs w:val="0"/>
                <w:color w:val="000000"/>
                <w:szCs w:val="20"/>
                <w:lang w:eastAsia="en-GB"/>
              </w:rPr>
            </w:pPr>
            <w:r w:rsidRPr="00DF18AB">
              <w:rPr>
                <w:rFonts w:eastAsia="HGSMinchoE" w:cs="Calibri"/>
                <w:bCs w:val="0"/>
                <w:szCs w:val="20"/>
                <w:lang w:eastAsia="en-GB"/>
              </w:rPr>
              <w:t xml:space="preserve">In England, 25% of the adult population (33% of men and 16% of women) consume alcohol at levels above the UK CMOs’ lower-risk guideline and increase their risk of alcohol-related ill health. </w:t>
            </w:r>
            <w:r w:rsidRPr="00DF18AB">
              <w:rPr>
                <w:rFonts w:eastAsia="HGSMinchoE" w:cs="Calibri"/>
                <w:bCs w:val="0"/>
                <w:szCs w:val="20"/>
                <w:vertAlign w:val="superscript"/>
                <w:lang w:eastAsia="en-GB"/>
              </w:rPr>
              <w:footnoteReference w:id="31"/>
            </w:r>
            <w:r w:rsidRPr="00DF18AB">
              <w:rPr>
                <w:rFonts w:eastAsia="HGSMinchoE" w:cs="Calibri"/>
                <w:bCs w:val="0"/>
                <w:szCs w:val="20"/>
                <w:lang w:eastAsia="en-GB"/>
              </w:rPr>
              <w:t xml:space="preserve"> </w:t>
            </w:r>
            <w:r w:rsidRPr="00DF18AB">
              <w:rPr>
                <w:rFonts w:eastAsia="HGSMinchoE" w:cs="Arial"/>
                <w:bCs w:val="0"/>
                <w:szCs w:val="20"/>
                <w:lang w:eastAsia="en-GB"/>
              </w:rPr>
              <w:t>Alcohol misuse contributes (wholly or partially) to 60 health conditions leading to hospital admission, due either to acute alcohol intoxication or to the toxic effect of alcohol misuse over time.</w:t>
            </w:r>
            <w:r w:rsidRPr="00DF18AB">
              <w:rPr>
                <w:rFonts w:cs="Arial"/>
                <w:bCs w:val="0"/>
                <w:color w:val="000000"/>
                <w:kern w:val="24"/>
                <w:szCs w:val="20"/>
                <w:lang w:eastAsia="en-GB"/>
              </w:rPr>
              <w:t xml:space="preserve"> </w:t>
            </w:r>
            <w:r w:rsidRPr="00DF18AB">
              <w:rPr>
                <w:rFonts w:eastAsia="HGSMinchoE" w:cs="Arial"/>
                <w:bCs w:val="0"/>
                <w:szCs w:val="20"/>
                <w:lang w:eastAsia="en-GB"/>
              </w:rPr>
              <w:t>Conditions include cardiovascular conditions, liver disease, cancers, depression and accidental injuries.</w:t>
            </w:r>
            <w:r w:rsidRPr="00DF18AB">
              <w:rPr>
                <w:rFonts w:eastAsia="HGSMinchoE" w:cs="Arial"/>
                <w:bCs w:val="0"/>
                <w:szCs w:val="20"/>
                <w:vertAlign w:val="superscript"/>
                <w:lang w:eastAsia="en-GB"/>
              </w:rPr>
              <w:footnoteReference w:id="32"/>
            </w:r>
            <w:r w:rsidRPr="00DF18AB">
              <w:rPr>
                <w:rFonts w:eastAsia="HGSMinchoE" w:cs="Arial"/>
                <w:bCs w:val="0"/>
                <w:szCs w:val="20"/>
                <w:lang w:eastAsia="en-GB"/>
              </w:rPr>
              <w:t xml:space="preserve">  There are nearly 22,500 alcohol-attributable deaths per year.</w:t>
            </w:r>
            <w:r w:rsidRPr="00DF18AB">
              <w:rPr>
                <w:rFonts w:eastAsia="HGSMinchoE" w:cs="Arial"/>
                <w:bCs w:val="0"/>
                <w:szCs w:val="20"/>
                <w:vertAlign w:val="superscript"/>
                <w:lang w:eastAsia="en-GB"/>
              </w:rPr>
              <w:footnoteReference w:id="33"/>
            </w:r>
            <w:r w:rsidRPr="00DF18AB">
              <w:rPr>
                <w:rFonts w:eastAsia="HGSMinchoE" w:cs="Arial"/>
                <w:bCs w:val="0"/>
                <w:szCs w:val="20"/>
                <w:lang w:eastAsia="en-GB"/>
              </w:rPr>
              <w:t xml:space="preserve"> </w:t>
            </w:r>
            <w:r w:rsidRPr="00DF18AB">
              <w:rPr>
                <w:rFonts w:eastAsia="HGSMinchoE" w:cs="Arial"/>
                <w:bCs w:val="0"/>
                <w:color w:val="000000"/>
                <w:szCs w:val="20"/>
                <w:lang w:eastAsia="en-GB"/>
              </w:rPr>
              <w:t>Out of c3.7m admissions</w:t>
            </w:r>
            <w:r w:rsidRPr="00DF18AB">
              <w:rPr>
                <w:rFonts w:eastAsia="HGSMinchoE" w:cs="Arial"/>
                <w:bCs w:val="0"/>
                <w:color w:val="000000"/>
                <w:szCs w:val="20"/>
                <w:vertAlign w:val="superscript"/>
                <w:lang w:eastAsia="en-GB"/>
              </w:rPr>
              <w:footnoteReference w:id="34"/>
            </w:r>
            <w:r w:rsidRPr="00DF18AB">
              <w:rPr>
                <w:rFonts w:eastAsia="HGSMinchoE" w:cs="Arial"/>
                <w:bCs w:val="0"/>
                <w:color w:val="000000"/>
                <w:szCs w:val="20"/>
                <w:lang w:eastAsia="en-GB"/>
              </w:rPr>
              <w:t>, c333,000 were admissions where an alcohol-related disease, injury or condition was the primary diagnosis or there was an alcohol-related external cause. These alcohol-related admissions are 32% higher than in 2004/05.</w:t>
            </w:r>
            <w:r w:rsidRPr="00DF18AB">
              <w:rPr>
                <w:rFonts w:eastAsia="HGSMinchoE" w:cs="Arial"/>
                <w:bCs w:val="0"/>
                <w:color w:val="000000"/>
                <w:szCs w:val="20"/>
                <w:vertAlign w:val="superscript"/>
                <w:lang w:eastAsia="en-GB"/>
              </w:rPr>
              <w:footnoteReference w:id="35"/>
            </w:r>
            <w:r w:rsidRPr="00DF18AB">
              <w:rPr>
                <w:rFonts w:eastAsia="HGSMinchoE" w:cs="Arial"/>
                <w:bCs w:val="0"/>
                <w:color w:val="000000"/>
                <w:szCs w:val="20"/>
                <w:lang w:eastAsia="en-GB"/>
              </w:rPr>
              <w:t> </w:t>
            </w:r>
          </w:p>
          <w:p w:rsidR="00DF18AB" w:rsidRPr="00DF18AB" w:rsidRDefault="00DF18AB" w:rsidP="00DF18AB">
            <w:pPr>
              <w:spacing w:after="40"/>
              <w:rPr>
                <w:rFonts w:eastAsia="HGSMinchoE" w:cs="Calibri"/>
                <w:bCs w:val="0"/>
                <w:szCs w:val="20"/>
                <w:lang w:eastAsia="en-GB"/>
              </w:rPr>
            </w:pPr>
            <w:r w:rsidRPr="00DF18AB">
              <w:rPr>
                <w:rFonts w:eastAsia="HGSMinchoE" w:cs="Calibri"/>
                <w:bCs w:val="0"/>
                <w:szCs w:val="20"/>
                <w:lang w:eastAsia="en-GB"/>
              </w:rPr>
              <w:t xml:space="preserve">Alcohol is estimated to cost the public purse £21bn per annum, of which £3.5bn are costs to the NHS.  Around three quarters of the £3.5bn cost to the NHS is incurred by people who are not alcohol dependent, but whose </w:t>
            </w:r>
            <w:r w:rsidRPr="00DF18AB">
              <w:rPr>
                <w:rFonts w:eastAsia="HGSMinchoE" w:cs="Calibri"/>
                <w:bCs w:val="0"/>
                <w:szCs w:val="20"/>
                <w:lang w:eastAsia="en-GB"/>
              </w:rPr>
              <w:lastRenderedPageBreak/>
              <w:t xml:space="preserve">alcohol misuse causes ill health – this is the group for which IBA is the most effective. Identification and Brief Advice (IBA) results in recipients reducing their weekly drinking by c12%. Because alcohol health risk is dose dependent, reducing regular consumption by any amount reduces the risk of ill health. </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
                <w:bCs w:val="0"/>
                <w:szCs w:val="24"/>
                <w:lang w:eastAsia="en-GB"/>
              </w:rPr>
            </w:pPr>
            <w:r w:rsidRPr="00DF18AB">
              <w:rPr>
                <w:rFonts w:eastAsia="HGSMinchoE"/>
                <w:b/>
                <w:bCs w:val="0"/>
                <w:szCs w:val="24"/>
                <w:lang w:eastAsia="en-GB"/>
              </w:rPr>
              <w:t>The status quo nationally</w:t>
            </w:r>
          </w:p>
          <w:p w:rsidR="00DF18AB" w:rsidRPr="00DF18AB" w:rsidRDefault="00DF18AB" w:rsidP="00DF18AB">
            <w:pPr>
              <w:rPr>
                <w:rFonts w:eastAsia="HGSMinchoE"/>
                <w:bCs w:val="0"/>
                <w:szCs w:val="24"/>
                <w:lang w:eastAsia="en-GB"/>
              </w:rPr>
            </w:pPr>
            <w:r w:rsidRPr="00DF18AB">
              <w:rPr>
                <w:rFonts w:eastAsia="HGSMinchoE" w:cs="Calibri"/>
                <w:bCs w:val="0"/>
                <w:szCs w:val="20"/>
                <w:lang w:eastAsia="en-GB"/>
              </w:rPr>
              <w:t xml:space="preserve">Currently, IBA delivery in secondary care is patchy and nowhere near the optimal large scale delivery required to significantly impact on population health. It is strongest where there are strong Making Every Contact Counts (MECC) initiatives that include alcohol IBA and where there are well-resourced alcohol care teams that train other staff. </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
                <w:bCs w:val="0"/>
                <w:szCs w:val="24"/>
                <w:lang w:eastAsia="en-GB"/>
              </w:rPr>
            </w:pPr>
            <w:r w:rsidRPr="00DF18AB">
              <w:rPr>
                <w:rFonts w:eastAsia="HGSMinchoE"/>
                <w:b/>
                <w:bCs w:val="0"/>
                <w:szCs w:val="24"/>
                <w:lang w:eastAsia="en-GB"/>
              </w:rPr>
              <w:t xml:space="preserve">The financial case </w:t>
            </w:r>
          </w:p>
          <w:p w:rsidR="00DF18AB" w:rsidRPr="00DF18AB" w:rsidRDefault="00DF18AB" w:rsidP="00DF18AB">
            <w:pPr>
              <w:rPr>
                <w:rFonts w:eastAsia="HGSMinchoE" w:cs="Arial"/>
                <w:bCs w:val="0"/>
                <w:i/>
                <w:szCs w:val="20"/>
                <w:lang w:eastAsia="en-GB"/>
              </w:rPr>
            </w:pPr>
            <w:r w:rsidRPr="00DF18AB">
              <w:rPr>
                <w:rFonts w:cstheme="minorHAnsi"/>
                <w:szCs w:val="20"/>
              </w:rPr>
              <w:t>Alcohol identification and brief advice is effective in reducing health risk from drinking in non-dependent drinkers. The successful delivery of the CQUIN is estimated to bring about a reduction of weekly alcohol consumption of 12%, which could result in net savings of c£27 per patient receiving alcohol brief advice each year over 4 years, from reduced alcohol-related hospital admissions following improvements in morbidity. (NB: t</w:t>
            </w:r>
            <w:r w:rsidRPr="00DF18AB">
              <w:rPr>
                <w:rFonts w:cs="Arial"/>
                <w:szCs w:val="20"/>
              </w:rPr>
              <w:t>hese figures are taken from unpublished modelling conducted by Sheffield University using data derived from the latest Cochrane review of brief advice in primary care.</w:t>
            </w:r>
            <w:r w:rsidRPr="00DF18AB">
              <w:rPr>
                <w:rFonts w:cs="Arial"/>
                <w:szCs w:val="20"/>
                <w:vertAlign w:val="superscript"/>
              </w:rPr>
              <w:footnoteReference w:id="36"/>
            </w:r>
            <w:r w:rsidRPr="00DF18AB">
              <w:rPr>
                <w:rFonts w:cs="Arial"/>
                <w:szCs w:val="20"/>
              </w:rPr>
              <w:t xml:space="preserve">) </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lastRenderedPageBreak/>
              <w:t>Data source</w:t>
            </w:r>
          </w:p>
        </w:tc>
        <w:tc>
          <w:tcPr>
            <w:tcW w:w="6378" w:type="dxa"/>
          </w:tcPr>
          <w:p w:rsidR="00DF18AB" w:rsidRPr="00DF18AB" w:rsidRDefault="00DF18AB" w:rsidP="00DF18AB">
            <w:pPr>
              <w:keepNext/>
              <w:tabs>
                <w:tab w:val="left" w:pos="2074"/>
              </w:tabs>
              <w:rPr>
                <w:rFonts w:eastAsia="HGSMinchoE"/>
                <w:b/>
                <w:bCs w:val="0"/>
                <w:szCs w:val="24"/>
                <w:lang w:eastAsia="en-GB"/>
              </w:rPr>
            </w:pPr>
            <w:r w:rsidRPr="00DF18AB">
              <w:rPr>
                <w:rFonts w:eastAsia="HGSMinchoE"/>
                <w:b/>
                <w:bCs w:val="0"/>
                <w:szCs w:val="24"/>
                <w:lang w:eastAsia="en-GB"/>
              </w:rPr>
              <w:t>Provider audit of patient records, submitted to CCGs on a quarterly basis:</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tabs>
                <w:tab w:val="left" w:pos="2074"/>
              </w:tabs>
              <w:rPr>
                <w:rFonts w:eastAsia="HGSMinchoE"/>
                <w:bCs w:val="0"/>
                <w:szCs w:val="24"/>
                <w:lang w:eastAsia="en-GB"/>
              </w:rPr>
            </w:pPr>
            <w:r w:rsidRPr="00DF18AB">
              <w:rPr>
                <w:rFonts w:eastAsia="HGSMinchoE"/>
                <w:bCs w:val="0"/>
                <w:szCs w:val="24"/>
                <w:lang w:eastAsia="en-GB"/>
              </w:rPr>
              <w:t>We propose that:</w:t>
            </w:r>
          </w:p>
          <w:p w:rsidR="00DF18AB" w:rsidRPr="00DF18AB" w:rsidRDefault="00DF18AB" w:rsidP="00DF18AB">
            <w:pPr>
              <w:keepNext/>
              <w:numPr>
                <w:ilvl w:val="0"/>
                <w:numId w:val="49"/>
              </w:numPr>
              <w:tabs>
                <w:tab w:val="left" w:pos="2074"/>
              </w:tabs>
              <w:contextualSpacing/>
              <w:rPr>
                <w:rFonts w:eastAsia="HGSMinchoE"/>
                <w:szCs w:val="24"/>
                <w:lang w:eastAsia="en-GB"/>
              </w:rPr>
            </w:pPr>
            <w:r w:rsidRPr="00DF18AB">
              <w:rPr>
                <w:rFonts w:eastAsia="HGSMinchoE"/>
                <w:szCs w:val="24"/>
                <w:lang w:eastAsia="en-GB"/>
              </w:rPr>
              <w:t xml:space="preserve">Providers with searchable electronic patient records audit </w:t>
            </w:r>
            <w:r w:rsidRPr="00DF18AB">
              <w:rPr>
                <w:rFonts w:eastAsia="HGSMinchoE"/>
                <w:b/>
                <w:szCs w:val="24"/>
                <w:lang w:eastAsia="en-GB"/>
              </w:rPr>
              <w:t>all patient records</w:t>
            </w:r>
            <w:r w:rsidRPr="00DF18AB">
              <w:rPr>
                <w:rFonts w:eastAsia="HGSMinchoE"/>
                <w:szCs w:val="24"/>
                <w:lang w:eastAsia="en-GB"/>
              </w:rPr>
              <w:t xml:space="preserve">. </w:t>
            </w:r>
          </w:p>
          <w:p w:rsidR="00DF18AB" w:rsidRPr="00DF18AB" w:rsidRDefault="00DF18AB" w:rsidP="00DF18AB">
            <w:pPr>
              <w:keepNext/>
              <w:numPr>
                <w:ilvl w:val="0"/>
                <w:numId w:val="49"/>
              </w:numPr>
              <w:tabs>
                <w:tab w:val="left" w:pos="2074"/>
              </w:tabs>
              <w:contextualSpacing/>
              <w:rPr>
                <w:rFonts w:eastAsia="HGSMinchoE"/>
                <w:szCs w:val="24"/>
                <w:lang w:eastAsia="en-GB"/>
              </w:rPr>
            </w:pPr>
            <w:r w:rsidRPr="00DF18AB">
              <w:rPr>
                <w:rFonts w:eastAsia="HGSMinchoE"/>
                <w:szCs w:val="24"/>
                <w:lang w:eastAsia="en-GB"/>
              </w:rPr>
              <w:t xml:space="preserve">Providers that do not have searchable electronic patient records conduct audits of a </w:t>
            </w:r>
            <w:r w:rsidRPr="00DF18AB">
              <w:rPr>
                <w:rFonts w:eastAsia="HGSMinchoE"/>
                <w:b/>
                <w:szCs w:val="24"/>
                <w:lang w:eastAsia="en-GB"/>
              </w:rPr>
              <w:t>random sample of patient records</w:t>
            </w:r>
            <w:r w:rsidRPr="00DF18AB">
              <w:rPr>
                <w:rFonts w:eastAsia="HGSMinchoE"/>
                <w:szCs w:val="24"/>
                <w:lang w:eastAsia="en-GB"/>
              </w:rPr>
              <w:t xml:space="preserve">. </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tabs>
                <w:tab w:val="left" w:pos="2074"/>
              </w:tabs>
              <w:rPr>
                <w:rFonts w:eastAsia="HGSMinchoE"/>
                <w:bCs w:val="0"/>
                <w:szCs w:val="24"/>
                <w:lang w:eastAsia="en-GB"/>
              </w:rPr>
            </w:pPr>
            <w:r w:rsidRPr="00DF18AB">
              <w:rPr>
                <w:rFonts w:eastAsia="HGSMinchoE"/>
                <w:b/>
                <w:bCs w:val="0"/>
                <w:szCs w:val="24"/>
                <w:lang w:eastAsia="en-GB"/>
              </w:rPr>
              <w:t>The case notes in scope</w:t>
            </w:r>
            <w:r w:rsidRPr="00DF18AB">
              <w:rPr>
                <w:rFonts w:eastAsia="HGSMinchoE"/>
                <w:bCs w:val="0"/>
                <w:szCs w:val="24"/>
                <w:lang w:eastAsia="en-GB"/>
              </w:rPr>
              <w:t xml:space="preserve"> of the audit are of all completed emergency and elective admissions   (</w:t>
            </w:r>
            <w:proofErr w:type="spellStart"/>
            <w:r w:rsidRPr="00DF18AB">
              <w:rPr>
                <w:rFonts w:eastAsia="HGSMinchoE"/>
                <w:bCs w:val="0"/>
                <w:szCs w:val="24"/>
                <w:lang w:eastAsia="en-GB"/>
              </w:rPr>
              <w:t>ie</w:t>
            </w:r>
            <w:proofErr w:type="spellEnd"/>
            <w:r w:rsidRPr="00DF18AB">
              <w:rPr>
                <w:rFonts w:eastAsia="HGSMinchoE"/>
                <w:bCs w:val="0"/>
                <w:szCs w:val="24"/>
                <w:lang w:eastAsia="en-GB"/>
              </w:rPr>
              <w:t xml:space="preserve"> all inpatient admissions) with Length of Stay equal to or bigger than 1 day over the last three months. </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tabs>
                <w:tab w:val="left" w:pos="2074"/>
              </w:tabs>
              <w:rPr>
                <w:rFonts w:eastAsia="HGSMinchoE"/>
                <w:bCs w:val="0"/>
                <w:szCs w:val="24"/>
                <w:lang w:eastAsia="en-GB"/>
              </w:rPr>
            </w:pPr>
            <w:r w:rsidRPr="00DF18AB">
              <w:rPr>
                <w:rFonts w:eastAsia="HGSMinchoE"/>
                <w:b/>
                <w:bCs w:val="0"/>
                <w:szCs w:val="24"/>
                <w:lang w:eastAsia="en-GB"/>
              </w:rPr>
              <w:t>The following exclusion criteria</w:t>
            </w:r>
            <w:r w:rsidRPr="00DF18AB">
              <w:rPr>
                <w:rFonts w:eastAsia="HGSMinchoE"/>
                <w:bCs w:val="0"/>
                <w:szCs w:val="24"/>
                <w:lang w:eastAsia="en-GB"/>
              </w:rPr>
              <w:t xml:space="preserve"> should be applied: </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numPr>
                <w:ilvl w:val="0"/>
                <w:numId w:val="130"/>
              </w:numPr>
              <w:tabs>
                <w:tab w:val="left" w:pos="2074"/>
              </w:tabs>
              <w:contextualSpacing/>
              <w:rPr>
                <w:rFonts w:eastAsia="HGSMinchoE"/>
                <w:szCs w:val="24"/>
                <w:lang w:eastAsia="en-GB"/>
              </w:rPr>
            </w:pPr>
            <w:r w:rsidRPr="00DF18AB">
              <w:rPr>
                <w:rFonts w:eastAsia="HGSMinchoE"/>
                <w:szCs w:val="24"/>
                <w:lang w:eastAsia="en-GB"/>
              </w:rPr>
              <w:lastRenderedPageBreak/>
              <w:t>All patients below 18 years of age</w:t>
            </w:r>
          </w:p>
          <w:p w:rsidR="00DF18AB" w:rsidRPr="00DF18AB" w:rsidRDefault="00DF18AB" w:rsidP="00DF18AB">
            <w:pPr>
              <w:keepNext/>
              <w:numPr>
                <w:ilvl w:val="0"/>
                <w:numId w:val="130"/>
              </w:numPr>
              <w:tabs>
                <w:tab w:val="left" w:pos="2074"/>
              </w:tabs>
              <w:contextualSpacing/>
              <w:rPr>
                <w:rFonts w:eastAsia="HGSMinchoE"/>
                <w:szCs w:val="24"/>
                <w:lang w:eastAsia="en-GB"/>
              </w:rPr>
            </w:pPr>
            <w:r w:rsidRPr="00DF18AB">
              <w:rPr>
                <w:rFonts w:eastAsia="HGSMinchoE"/>
                <w:szCs w:val="24"/>
                <w:lang w:eastAsia="en-GB"/>
              </w:rPr>
              <w:t>All in-patients in maternity wards</w:t>
            </w:r>
          </w:p>
          <w:p w:rsidR="00DF18AB" w:rsidRPr="00DF18AB" w:rsidRDefault="00DF18AB" w:rsidP="00DF18AB">
            <w:pPr>
              <w:keepNext/>
              <w:numPr>
                <w:ilvl w:val="0"/>
                <w:numId w:val="130"/>
              </w:numPr>
              <w:tabs>
                <w:tab w:val="left" w:pos="2074"/>
              </w:tabs>
              <w:contextualSpacing/>
              <w:rPr>
                <w:rFonts w:eastAsia="HGSMinchoE"/>
                <w:szCs w:val="24"/>
                <w:lang w:eastAsia="en-GB"/>
              </w:rPr>
            </w:pPr>
            <w:r w:rsidRPr="00DF18AB">
              <w:rPr>
                <w:rFonts w:eastAsia="HGSMinchoE"/>
                <w:szCs w:val="24"/>
                <w:lang w:eastAsia="en-GB"/>
              </w:rPr>
              <w:t>All A&amp;E attendances that do not lead to in-patient admissions</w:t>
            </w:r>
          </w:p>
          <w:p w:rsidR="00DF18AB" w:rsidRPr="00DF18AB" w:rsidRDefault="00DF18AB" w:rsidP="00DF18AB">
            <w:pPr>
              <w:keepNext/>
              <w:numPr>
                <w:ilvl w:val="0"/>
                <w:numId w:val="130"/>
              </w:numPr>
              <w:tabs>
                <w:tab w:val="left" w:pos="2074"/>
              </w:tabs>
              <w:contextualSpacing/>
              <w:rPr>
                <w:rFonts w:eastAsia="HGSMinchoE"/>
                <w:szCs w:val="24"/>
                <w:lang w:eastAsia="en-GB"/>
              </w:rPr>
            </w:pPr>
            <w:r w:rsidRPr="00DF18AB">
              <w:rPr>
                <w:rFonts w:eastAsia="HGSMinchoE"/>
                <w:szCs w:val="24"/>
                <w:lang w:eastAsia="en-GB"/>
              </w:rPr>
              <w:t>All repeat admissions during the duration of the CQUIN (i.e. FY 17/18 and 18/19) of patients who have already received the intervention.</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tabs>
                <w:tab w:val="left" w:pos="2074"/>
              </w:tabs>
              <w:rPr>
                <w:rFonts w:eastAsia="HGSMinchoE"/>
                <w:bCs w:val="0"/>
                <w:szCs w:val="24"/>
                <w:lang w:eastAsia="en-GB"/>
              </w:rPr>
            </w:pPr>
            <w:r w:rsidRPr="00DF18AB">
              <w:rPr>
                <w:rFonts w:eastAsia="HGSMinchoE"/>
                <w:b/>
                <w:bCs w:val="0"/>
                <w:szCs w:val="24"/>
                <w:lang w:eastAsia="en-GB"/>
              </w:rPr>
              <w:t xml:space="preserve">For audits based on samples </w:t>
            </w:r>
            <w:r w:rsidRPr="00DF18AB">
              <w:rPr>
                <w:rFonts w:eastAsia="HGSMinchoE"/>
                <w:bCs w:val="0"/>
                <w:szCs w:val="24"/>
                <w:lang w:eastAsia="en-GB"/>
              </w:rPr>
              <w:t xml:space="preserve">of the eligible patient records, it is suggested that they identify a random sample, an appropriate sample size and an appropriate method for conducting the review. Additional guidance on sampling is provided in Annex B. </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contextualSpacing/>
              <w:rPr>
                <w:rFonts w:cs="Arial"/>
                <w:color w:val="000000"/>
                <w:lang w:eastAsia="en-GB"/>
              </w:rPr>
            </w:pPr>
            <w:r w:rsidRPr="00DF18AB">
              <w:rPr>
                <w:rFonts w:cs="Arial"/>
                <w:b/>
                <w:color w:val="000000"/>
                <w:lang w:eastAsia="en-GB"/>
              </w:rPr>
              <w:t>The sampling method</w:t>
            </w:r>
            <w:r w:rsidRPr="00DF18AB">
              <w:rPr>
                <w:rFonts w:cs="Arial"/>
                <w:color w:val="000000"/>
                <w:lang w:eastAsia="en-GB"/>
              </w:rPr>
              <w:t xml:space="preserve"> used should seek to ensure that a cross-section of appropriate wards are represented in the sample. Audits to be undertaken by provider performance and insight teams.</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tabs>
                <w:tab w:val="left" w:pos="2074"/>
              </w:tabs>
              <w:rPr>
                <w:rFonts w:eastAsia="HGSMinchoE"/>
                <w:bCs w:val="0"/>
                <w:szCs w:val="24"/>
                <w:lang w:eastAsia="en-GB"/>
              </w:rPr>
            </w:pPr>
            <w:r w:rsidRPr="00DF18AB">
              <w:rPr>
                <w:rFonts w:eastAsia="HGSMinchoE"/>
                <w:b/>
                <w:bCs w:val="0"/>
                <w:szCs w:val="24"/>
                <w:lang w:eastAsia="en-GB"/>
              </w:rPr>
              <w:t>Patient records should be clear and consistent</w:t>
            </w:r>
            <w:r w:rsidRPr="00DF18AB">
              <w:rPr>
                <w:rFonts w:eastAsia="HGSMinchoE"/>
                <w:bCs w:val="0"/>
                <w:szCs w:val="24"/>
                <w:lang w:eastAsia="en-GB"/>
              </w:rPr>
              <w:t xml:space="preserve"> in the way that the individual components of the CQUIN actions are recorded to enable uniform collection across the provider. It is the responsibility of providers to identify the most effective way of recording the required information and communicating this to relevant staff.</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lastRenderedPageBreak/>
              <w:t>Frequency of data collection</w:t>
            </w:r>
          </w:p>
        </w:tc>
        <w:tc>
          <w:tcPr>
            <w:tcW w:w="6378" w:type="dxa"/>
          </w:tcPr>
          <w:p w:rsidR="00DF18AB" w:rsidRPr="00DF18AB" w:rsidRDefault="00DF18AB" w:rsidP="00DF18AB">
            <w:pPr>
              <w:rPr>
                <w:rFonts w:eastAsia="HGSMinchoE"/>
                <w:bCs w:val="0"/>
                <w:szCs w:val="24"/>
                <w:lang w:eastAsia="en-GB"/>
              </w:rPr>
            </w:pPr>
            <w:r w:rsidRPr="00DF18AB">
              <w:rPr>
                <w:rFonts w:eastAsia="HGSMinchoE"/>
                <w:b/>
                <w:bCs w:val="0"/>
                <w:szCs w:val="24"/>
                <w:lang w:eastAsia="en-GB"/>
              </w:rPr>
              <w:t>Quarterly</w:t>
            </w:r>
            <w:r w:rsidRPr="00DF18AB">
              <w:rPr>
                <w:rFonts w:eastAsia="HGSMinchoE"/>
                <w:bCs w:val="0"/>
                <w:szCs w:val="24"/>
                <w:lang w:eastAsia="en-GB"/>
              </w:rPr>
              <w:t xml:space="preserve">. Data to be collected ahead of quarterly audit. </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Cs w:val="0"/>
                <w:szCs w:val="24"/>
                <w:lang w:eastAsia="en-GB"/>
              </w:rPr>
            </w:pPr>
            <w:r w:rsidRPr="00DF18AB">
              <w:rPr>
                <w:rFonts w:eastAsia="HGSMinchoE"/>
                <w:bCs w:val="0"/>
                <w:szCs w:val="24"/>
                <w:lang w:eastAsia="en-GB"/>
              </w:rPr>
              <w:t>Note that to enable national audits, providers are required to simultaneously submit audit data to NHS England via UNIFY on a quarterly basis as well.</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Organisation responsible for data collection</w:t>
            </w:r>
          </w:p>
        </w:tc>
        <w:tc>
          <w:tcPr>
            <w:tcW w:w="6378" w:type="dxa"/>
          </w:tcPr>
          <w:p w:rsidR="00DF18AB" w:rsidRPr="00DF18AB" w:rsidRDefault="00DF18AB" w:rsidP="00DF18AB">
            <w:pPr>
              <w:rPr>
                <w:rFonts w:eastAsia="HGSMinchoE"/>
                <w:bCs w:val="0"/>
                <w:szCs w:val="24"/>
                <w:lang w:eastAsia="en-GB"/>
              </w:rPr>
            </w:pPr>
            <w:r w:rsidRPr="00DF18AB">
              <w:rPr>
                <w:rFonts w:eastAsia="HGSMinchoE"/>
                <w:b/>
                <w:bCs w:val="0"/>
                <w:szCs w:val="24"/>
                <w:lang w:eastAsia="en-GB"/>
              </w:rPr>
              <w:t>Provider</w:t>
            </w:r>
            <w:r w:rsidRPr="00DF18AB">
              <w:rPr>
                <w:rFonts w:eastAsia="HGSMinchoE"/>
                <w:bCs w:val="0"/>
                <w:szCs w:val="24"/>
                <w:lang w:eastAsia="en-GB"/>
              </w:rPr>
              <w:t>.</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Frequency of reporting to commissioner</w:t>
            </w:r>
          </w:p>
        </w:tc>
        <w:tc>
          <w:tcPr>
            <w:tcW w:w="6378" w:type="dxa"/>
          </w:tcPr>
          <w:p w:rsidR="00DF18AB" w:rsidRPr="00DF18AB" w:rsidRDefault="00DF18AB" w:rsidP="00DF18AB">
            <w:pPr>
              <w:keepNext/>
              <w:tabs>
                <w:tab w:val="left" w:pos="2074"/>
              </w:tabs>
              <w:rPr>
                <w:rFonts w:eastAsia="HGSMinchoE"/>
                <w:bCs w:val="0"/>
                <w:szCs w:val="24"/>
                <w:lang w:eastAsia="en-GB"/>
              </w:rPr>
            </w:pPr>
            <w:r w:rsidRPr="00DF18AB">
              <w:rPr>
                <w:rFonts w:eastAsia="HGSMinchoE"/>
                <w:b/>
                <w:bCs w:val="0"/>
                <w:szCs w:val="24"/>
                <w:lang w:eastAsia="en-GB"/>
              </w:rPr>
              <w:t>Quarterly</w:t>
            </w:r>
            <w:r w:rsidRPr="00DF18AB">
              <w:rPr>
                <w:rFonts w:eastAsia="HGSMinchoE"/>
                <w:bCs w:val="0"/>
                <w:szCs w:val="24"/>
                <w:lang w:eastAsia="en-GB"/>
              </w:rPr>
              <w:t xml:space="preserve">.  </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tabs>
                <w:tab w:val="left" w:pos="2074"/>
              </w:tabs>
              <w:rPr>
                <w:rFonts w:eastAsia="HGSMinchoE"/>
                <w:bCs w:val="0"/>
                <w:szCs w:val="24"/>
                <w:lang w:eastAsia="en-GB"/>
              </w:rPr>
            </w:pPr>
            <w:r w:rsidRPr="00DF18AB">
              <w:rPr>
                <w:rFonts w:eastAsia="HGSMinchoE"/>
                <w:bCs w:val="0"/>
                <w:szCs w:val="24"/>
                <w:lang w:eastAsia="en-GB"/>
              </w:rPr>
              <w:t xml:space="preserve">Note that to enable national audits, providers will simultaneously submit this data to NHS England via UNIFY on a quarterly basis as well. </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Baseline period/date</w:t>
            </w:r>
          </w:p>
        </w:tc>
        <w:tc>
          <w:tcPr>
            <w:tcW w:w="6378"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 xml:space="preserve">Baseline to be identified and set during Q1 of the CQUIN (i.e. Q1 of FY 17/18); see </w:t>
            </w:r>
            <w:r w:rsidRPr="00DF18AB">
              <w:rPr>
                <w:rFonts w:eastAsia="HGSMinchoE"/>
                <w:bCs w:val="0"/>
                <w:i/>
                <w:szCs w:val="24"/>
                <w:lang w:eastAsia="en-GB"/>
              </w:rPr>
              <w:t>Milestones</w:t>
            </w:r>
            <w:r w:rsidRPr="00DF18AB">
              <w:rPr>
                <w:rFonts w:eastAsia="HGSMinchoE"/>
                <w:bCs w:val="0"/>
                <w:szCs w:val="24"/>
                <w:lang w:eastAsia="en-GB"/>
              </w:rPr>
              <w:t xml:space="preserve"> below.</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Baseline value</w:t>
            </w:r>
          </w:p>
        </w:tc>
        <w:tc>
          <w:tcPr>
            <w:tcW w:w="6378" w:type="dxa"/>
          </w:tcPr>
          <w:p w:rsidR="00DF18AB" w:rsidRPr="00DF18AB" w:rsidRDefault="00DF18AB" w:rsidP="00DF18AB">
            <w:pPr>
              <w:keepNext/>
              <w:contextualSpacing/>
              <w:rPr>
                <w:rFonts w:cs="Arial"/>
                <w:color w:val="000000"/>
                <w:lang w:eastAsia="en-GB"/>
              </w:rPr>
            </w:pPr>
            <w:r w:rsidRPr="00DF18AB">
              <w:rPr>
                <w:rFonts w:cs="Arial"/>
                <w:color w:val="000000"/>
                <w:lang w:eastAsia="en-GB"/>
              </w:rPr>
              <w:t xml:space="preserve">To be determined locally, based on baseline setting exercise in Q1; </w:t>
            </w:r>
            <w:r w:rsidRPr="00DF18AB">
              <w:rPr>
                <w:rFonts w:eastAsia="HGSMinchoE"/>
                <w:bCs w:val="0"/>
                <w:szCs w:val="24"/>
                <w:lang w:eastAsia="en-GB"/>
              </w:rPr>
              <w:t xml:space="preserve">see </w:t>
            </w:r>
            <w:r w:rsidRPr="00DF18AB">
              <w:rPr>
                <w:rFonts w:eastAsia="HGSMinchoE"/>
                <w:bCs w:val="0"/>
                <w:i/>
                <w:szCs w:val="24"/>
                <w:lang w:eastAsia="en-GB"/>
              </w:rPr>
              <w:t>Milestones</w:t>
            </w:r>
            <w:r w:rsidRPr="00DF18AB">
              <w:rPr>
                <w:rFonts w:eastAsia="HGSMinchoE"/>
                <w:bCs w:val="0"/>
                <w:szCs w:val="24"/>
                <w:lang w:eastAsia="en-GB"/>
              </w:rPr>
              <w:t xml:space="preserve"> below.</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Final indicator period/date (on which payment is based)</w:t>
            </w:r>
          </w:p>
        </w:tc>
        <w:tc>
          <w:tcPr>
            <w:tcW w:w="6378"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 xml:space="preserve">Quarter 4 FY 18/19. </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Final indicator value (payment threshold)</w:t>
            </w:r>
          </w:p>
        </w:tc>
        <w:tc>
          <w:tcPr>
            <w:tcW w:w="6378" w:type="dxa"/>
          </w:tcPr>
          <w:p w:rsidR="00DF18AB" w:rsidRPr="00DF18AB" w:rsidRDefault="00DF18AB" w:rsidP="00DF18AB">
            <w:pPr>
              <w:rPr>
                <w:rFonts w:cs="Arial"/>
                <w:b/>
                <w:color w:val="000000"/>
                <w:lang w:eastAsia="en-GB"/>
              </w:rPr>
            </w:pPr>
            <w:r w:rsidRPr="00DF18AB">
              <w:rPr>
                <w:rFonts w:cs="Arial"/>
                <w:b/>
                <w:color w:val="000000"/>
                <w:lang w:eastAsia="en-GB"/>
              </w:rPr>
              <w:t>50%</w:t>
            </w:r>
            <w:r w:rsidRPr="00DF18AB">
              <w:rPr>
                <w:rFonts w:cs="Arial"/>
                <w:b/>
                <w:color w:val="000000"/>
                <w:lang w:eastAsia="en-GB"/>
              </w:rPr>
              <w:br/>
            </w:r>
            <w:r w:rsidRPr="00DF18AB">
              <w:rPr>
                <w:rFonts w:cs="Arial"/>
                <w:color w:val="000000"/>
                <w:lang w:eastAsia="en-GB"/>
              </w:rPr>
              <w:t>(NB: – this might be reviewed for 18/19 in light of learning from the first year of the scheme).</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 xml:space="preserve">Final indicator </w:t>
            </w:r>
            <w:r w:rsidRPr="00DF18AB">
              <w:rPr>
                <w:rFonts w:cs="Arial"/>
                <w:b/>
                <w:color w:val="000000"/>
                <w:lang w:eastAsia="en-GB"/>
              </w:rPr>
              <w:lastRenderedPageBreak/>
              <w:t>reporting date</w:t>
            </w:r>
          </w:p>
        </w:tc>
        <w:tc>
          <w:tcPr>
            <w:tcW w:w="6378" w:type="dxa"/>
          </w:tcPr>
          <w:p w:rsidR="00DF18AB" w:rsidRPr="00DF18AB" w:rsidRDefault="00DF18AB" w:rsidP="00DF18AB">
            <w:pPr>
              <w:keepNext/>
              <w:contextualSpacing/>
              <w:rPr>
                <w:rFonts w:eastAsia="HGSMinchoE"/>
                <w:bCs w:val="0"/>
                <w:szCs w:val="24"/>
                <w:lang w:eastAsia="en-GB"/>
              </w:rPr>
            </w:pPr>
            <w:r w:rsidRPr="00DF18AB">
              <w:rPr>
                <w:rFonts w:eastAsia="HGSMinchoE"/>
                <w:bCs w:val="0"/>
                <w:szCs w:val="24"/>
                <w:lang w:eastAsia="en-GB"/>
              </w:rPr>
              <w:lastRenderedPageBreak/>
              <w:t>As soon as possible after Q4 2018/19.</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lastRenderedPageBreak/>
              <w:t>Are there rules for any agreed in-year milestones that result in payment?</w:t>
            </w:r>
          </w:p>
        </w:tc>
        <w:tc>
          <w:tcPr>
            <w:tcW w:w="6378"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 xml:space="preserve">Yes. </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Cs w:val="0"/>
                <w:szCs w:val="24"/>
                <w:lang w:eastAsia="en-GB"/>
              </w:rPr>
            </w:pPr>
            <w:r w:rsidRPr="00DF18AB">
              <w:rPr>
                <w:rFonts w:eastAsia="HGSMinchoE"/>
                <w:b/>
                <w:bCs w:val="0"/>
                <w:szCs w:val="24"/>
                <w:lang w:eastAsia="en-GB"/>
              </w:rPr>
              <w:t>Quarter 1</w:t>
            </w:r>
            <w:r w:rsidRPr="00DF18AB">
              <w:rPr>
                <w:rFonts w:eastAsia="HGSMinchoE"/>
                <w:bCs w:val="0"/>
                <w:szCs w:val="24"/>
                <w:lang w:eastAsia="en-GB"/>
              </w:rPr>
              <w:t xml:space="preserve"> – payment is available for achieving three milestones at the end of Q1, namely a) completing an information systems audit; b) training staff to deliver brief advice and c) collect baseline data. Payment is split equally between a), b) and c), for more detail see </w:t>
            </w:r>
            <w:r w:rsidRPr="00DF18AB">
              <w:rPr>
                <w:rFonts w:eastAsia="HGSMinchoE"/>
                <w:bCs w:val="0"/>
                <w:i/>
                <w:szCs w:val="24"/>
                <w:lang w:eastAsia="en-GB"/>
              </w:rPr>
              <w:t>Milestones</w:t>
            </w:r>
            <w:r w:rsidRPr="00DF18AB">
              <w:rPr>
                <w:rFonts w:eastAsia="HGSMinchoE"/>
                <w:bCs w:val="0"/>
                <w:szCs w:val="24"/>
                <w:lang w:eastAsia="en-GB"/>
              </w:rPr>
              <w:t xml:space="preserve"> below.</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Cs w:val="0"/>
                <w:i/>
                <w:szCs w:val="24"/>
                <w:lang w:eastAsia="en-GB"/>
              </w:rPr>
            </w:pPr>
            <w:r w:rsidRPr="00DF18AB">
              <w:rPr>
                <w:rFonts w:eastAsia="HGSMinchoE"/>
                <w:b/>
                <w:bCs w:val="0"/>
                <w:szCs w:val="24"/>
                <w:lang w:eastAsia="en-GB"/>
              </w:rPr>
              <w:t>Quarter 2 and onwards</w:t>
            </w:r>
            <w:r w:rsidRPr="00DF18AB">
              <w:rPr>
                <w:rFonts w:eastAsia="HGSMinchoE"/>
                <w:bCs w:val="0"/>
                <w:szCs w:val="24"/>
                <w:lang w:eastAsia="en-GB"/>
              </w:rPr>
              <w:t xml:space="preserve"> – payment is available for high (</w:t>
            </w:r>
            <w:proofErr w:type="spellStart"/>
            <w:r w:rsidRPr="00DF18AB">
              <w:rPr>
                <w:rFonts w:eastAsia="HGSMinchoE"/>
                <w:bCs w:val="0"/>
                <w:szCs w:val="24"/>
                <w:lang w:eastAsia="en-GB"/>
              </w:rPr>
              <w:t>ie</w:t>
            </w:r>
            <w:proofErr w:type="spellEnd"/>
            <w:r w:rsidRPr="00DF18AB">
              <w:rPr>
                <w:rFonts w:eastAsia="HGSMinchoE"/>
                <w:bCs w:val="0"/>
                <w:szCs w:val="24"/>
                <w:lang w:eastAsia="en-GB"/>
              </w:rPr>
              <w:t xml:space="preserve"> to target performance) or improving performance across the indicators; performance data will be submitted on a quarterly basis by providers to commissioners who will reward payment.</w:t>
            </w:r>
          </w:p>
        </w:tc>
      </w:tr>
      <w:tr w:rsidR="00DF18AB" w:rsidRPr="00DF18AB" w:rsidTr="00593B8C">
        <w:tc>
          <w:tcPr>
            <w:tcW w:w="2802" w:type="dxa"/>
          </w:tcPr>
          <w:p w:rsidR="00DF18AB" w:rsidRPr="00DF18AB" w:rsidRDefault="00DF18AB" w:rsidP="00DF18AB">
            <w:pPr>
              <w:rPr>
                <w:rFonts w:cs="Arial"/>
                <w:b/>
                <w:color w:val="000000"/>
                <w:lang w:eastAsia="en-GB"/>
              </w:rPr>
            </w:pPr>
            <w:r w:rsidRPr="00DF18AB">
              <w:rPr>
                <w:rFonts w:cs="Arial"/>
                <w:b/>
                <w:color w:val="000000"/>
                <w:lang w:eastAsia="en-GB"/>
              </w:rPr>
              <w:t>Are there any rules for partial achievement of the indicator at the final indicator period/date?</w:t>
            </w:r>
          </w:p>
        </w:tc>
        <w:tc>
          <w:tcPr>
            <w:tcW w:w="6378" w:type="dxa"/>
          </w:tcPr>
          <w:p w:rsidR="00DF18AB" w:rsidRPr="00DF18AB" w:rsidRDefault="00DF18AB" w:rsidP="00DF18AB">
            <w:pPr>
              <w:rPr>
                <w:rFonts w:eastAsia="Calibri" w:cs="Arial"/>
                <w:szCs w:val="24"/>
                <w:lang w:eastAsia="en-GB"/>
              </w:rPr>
            </w:pPr>
            <w:r w:rsidRPr="00DF18AB">
              <w:rPr>
                <w:rFonts w:eastAsia="Calibri" w:cs="Arial"/>
                <w:szCs w:val="24"/>
                <w:lang w:eastAsia="en-GB"/>
              </w:rPr>
              <w:t xml:space="preserve">Yes – see </w:t>
            </w:r>
            <w:r w:rsidRPr="00DF18AB">
              <w:rPr>
                <w:rFonts w:eastAsia="Calibri" w:cs="Arial"/>
                <w:i/>
                <w:szCs w:val="24"/>
                <w:lang w:eastAsia="en-GB"/>
              </w:rPr>
              <w:t xml:space="preserve">Rules for partial achievement </w:t>
            </w:r>
            <w:r w:rsidRPr="00DF18AB">
              <w:rPr>
                <w:rFonts w:eastAsia="Calibri" w:cs="Arial"/>
                <w:szCs w:val="24"/>
                <w:lang w:eastAsia="en-GB"/>
              </w:rPr>
              <w:t>below.</w:t>
            </w:r>
          </w:p>
        </w:tc>
      </w:tr>
    </w:tbl>
    <w:p w:rsidR="00DF18AB" w:rsidRPr="00DF18AB" w:rsidRDefault="00DF18AB" w:rsidP="00DF18AB">
      <w:pPr>
        <w:rPr>
          <w:rFonts w:eastAsiaTheme="majorEastAsia" w:cstheme="majorBidi"/>
          <w:b/>
          <w:bCs w:val="0"/>
          <w:iCs/>
          <w:color w:val="A00054" w:themeColor="accent2"/>
          <w:lang w:eastAsia="en-GB"/>
        </w:rPr>
      </w:pPr>
    </w:p>
    <w:p w:rsidR="00DF18AB" w:rsidRPr="00DF18AB" w:rsidRDefault="00DF18AB" w:rsidP="00DF18AB">
      <w:pPr>
        <w:rPr>
          <w:rFonts w:eastAsiaTheme="majorEastAsia" w:cstheme="majorBidi"/>
          <w:b/>
          <w:bCs w:val="0"/>
          <w:iCs/>
          <w:color w:val="A00054" w:themeColor="accent2"/>
          <w:lang w:eastAsia="en-GB"/>
        </w:rPr>
      </w:pPr>
    </w:p>
    <w:p w:rsidR="00DF18AB" w:rsidRPr="00DF18AB" w:rsidRDefault="00DF18AB" w:rsidP="00DF18AB">
      <w:pPr>
        <w:rPr>
          <w:rFonts w:eastAsiaTheme="majorEastAsia" w:cstheme="majorBidi"/>
          <w:b/>
          <w:bCs w:val="0"/>
          <w:iCs/>
          <w:color w:val="A00054" w:themeColor="accent2"/>
          <w:lang w:eastAsia="en-GB"/>
        </w:rPr>
      </w:pPr>
      <w:r w:rsidRPr="00DF18AB">
        <w:rPr>
          <w:lang w:eastAsia="en-GB"/>
        </w:rPr>
        <w:br w:type="page"/>
      </w:r>
    </w:p>
    <w:p w:rsidR="00DF18AB" w:rsidRPr="00DF18AB" w:rsidRDefault="00DF18AB" w:rsidP="00DF18AB">
      <w:pPr>
        <w:keepNext/>
        <w:keepLines/>
        <w:outlineLvl w:val="3"/>
        <w:rPr>
          <w:rFonts w:eastAsiaTheme="majorEastAsia" w:cstheme="majorBidi"/>
          <w:b/>
          <w:bCs w:val="0"/>
          <w:iCs/>
          <w:color w:val="A00054" w:themeColor="accent2"/>
          <w:lang w:eastAsia="en-GB"/>
        </w:rPr>
      </w:pPr>
      <w:r w:rsidRPr="00DF18AB">
        <w:rPr>
          <w:rFonts w:eastAsiaTheme="majorEastAsia" w:cstheme="majorBidi"/>
          <w:b/>
          <w:bCs w:val="0"/>
          <w:iCs/>
          <w:color w:val="A00054" w:themeColor="accent2"/>
          <w:lang w:eastAsia="en-GB"/>
        </w:rPr>
        <w:lastRenderedPageBreak/>
        <w:t>Indicator 9e Alcohol brief advice or referral</w:t>
      </w:r>
    </w:p>
    <w:p w:rsidR="00DF18AB" w:rsidRPr="00DF18AB" w:rsidRDefault="00DF18AB" w:rsidP="00DF18AB">
      <w:pPr>
        <w:rPr>
          <w:lang w:eastAsia="en-GB"/>
        </w:rPr>
      </w:pPr>
    </w:p>
    <w:tbl>
      <w:tblPr>
        <w:tblStyle w:val="TableGrid591"/>
        <w:tblW w:w="0" w:type="auto"/>
        <w:tblLook w:val="04A0" w:firstRow="1" w:lastRow="0" w:firstColumn="1" w:lastColumn="0" w:noHBand="0" w:noVBand="1"/>
        <w:tblCaption w:val="Indicator"/>
      </w:tblPr>
      <w:tblGrid>
        <w:gridCol w:w="2802"/>
        <w:gridCol w:w="6378"/>
      </w:tblGrid>
      <w:tr w:rsidR="00DF18AB" w:rsidRPr="00DF18AB" w:rsidTr="00593B8C">
        <w:trPr>
          <w:tblHeader/>
        </w:trPr>
        <w:tc>
          <w:tcPr>
            <w:tcW w:w="9180" w:type="dxa"/>
            <w:gridSpan w:val="2"/>
            <w:shd w:val="clear" w:color="auto" w:fill="0070C0"/>
          </w:tcPr>
          <w:p w:rsidR="00DF18AB" w:rsidRPr="00DF18AB" w:rsidRDefault="00DF18AB" w:rsidP="00DF18AB">
            <w:pPr>
              <w:jc w:val="center"/>
              <w:rPr>
                <w:rFonts w:eastAsia="HGSMinchoE"/>
                <w:bCs w:val="0"/>
                <w:szCs w:val="24"/>
                <w:lang w:eastAsia="en-GB"/>
              </w:rPr>
            </w:pPr>
            <w:r w:rsidRPr="00DF18AB">
              <w:rPr>
                <w:rFonts w:cs="Arial"/>
                <w:b/>
                <w:color w:val="FFFFFF"/>
                <w:lang w:eastAsia="en-GB"/>
              </w:rPr>
              <w:t>Indicator 9e</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Indicator name</w:t>
            </w:r>
          </w:p>
        </w:tc>
        <w:tc>
          <w:tcPr>
            <w:tcW w:w="6378" w:type="dxa"/>
          </w:tcPr>
          <w:p w:rsidR="00DF18AB" w:rsidRPr="00DF18AB" w:rsidRDefault="00DF18AB" w:rsidP="00DF18AB">
            <w:pPr>
              <w:rPr>
                <w:rFonts w:eastAsia="HGSMinchoE"/>
                <w:bCs w:val="0"/>
                <w:szCs w:val="24"/>
                <w:lang w:eastAsia="en-GB"/>
              </w:rPr>
            </w:pPr>
            <w:r w:rsidRPr="00DF18AB">
              <w:rPr>
                <w:rFonts w:cs="Arial"/>
                <w:color w:val="000000"/>
                <w:lang w:eastAsia="en-GB"/>
              </w:rPr>
              <w:t>Alcohol brief advice or referral</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 xml:space="preserve">Indicator weighting </w:t>
            </w:r>
            <w:r w:rsidRPr="00DF18AB">
              <w:rPr>
                <w:rFonts w:cs="Arial"/>
                <w:b/>
                <w:color w:val="000000"/>
                <w:lang w:eastAsia="en-GB"/>
              </w:rPr>
              <w:br/>
              <w:t>(% of CQUIN scheme available)</w:t>
            </w:r>
          </w:p>
        </w:tc>
        <w:tc>
          <w:tcPr>
            <w:tcW w:w="6378" w:type="dxa"/>
          </w:tcPr>
          <w:p w:rsidR="00DF18AB" w:rsidRPr="00DF18AB" w:rsidRDefault="00DF18AB" w:rsidP="00DF18AB">
            <w:pPr>
              <w:rPr>
                <w:rFonts w:cs="Arial"/>
                <w:b/>
                <w:color w:val="000000"/>
                <w:lang w:eastAsia="en-GB"/>
              </w:rPr>
            </w:pPr>
            <w:r w:rsidRPr="00DF18AB">
              <w:rPr>
                <w:rFonts w:cs="Arial"/>
                <w:color w:val="000000"/>
                <w:lang w:eastAsia="en-GB"/>
              </w:rPr>
              <w:t xml:space="preserve">Achievement of target for this indicator attracts </w:t>
            </w:r>
            <w:r w:rsidR="00311336" w:rsidRPr="00DF18AB">
              <w:rPr>
                <w:rFonts w:cs="Arial"/>
                <w:szCs w:val="24"/>
              </w:rPr>
              <w:t>25%</w:t>
            </w:r>
            <w:r w:rsidR="00311336">
              <w:rPr>
                <w:rFonts w:cs="Arial"/>
                <w:szCs w:val="24"/>
              </w:rPr>
              <w:t xml:space="preserve"> of 0.25% (0.0625%)</w:t>
            </w:r>
            <w:r w:rsidRPr="00311336">
              <w:rPr>
                <w:rFonts w:cs="Arial"/>
                <w:szCs w:val="24"/>
              </w:rPr>
              <w:t>.</w:t>
            </w:r>
            <w:r w:rsidRPr="00DF18AB">
              <w:rPr>
                <w:rFonts w:cs="Arial"/>
                <w:b/>
                <w:color w:val="000000"/>
                <w:lang w:eastAsia="en-GB"/>
              </w:rPr>
              <w:t xml:space="preserve"> </w:t>
            </w:r>
          </w:p>
          <w:p w:rsidR="00DF18AB" w:rsidRPr="00DF18AB" w:rsidRDefault="00DF18AB" w:rsidP="00DF18AB">
            <w:pPr>
              <w:rPr>
                <w:rFonts w:cs="Arial"/>
                <w:i/>
                <w:color w:val="000000"/>
                <w:lang w:eastAsia="en-GB"/>
              </w:rPr>
            </w:pPr>
            <w:r w:rsidRPr="00DF18AB">
              <w:rPr>
                <w:rFonts w:cs="Arial"/>
                <w:i/>
                <w:color w:val="000000"/>
                <w:lang w:eastAsia="en-GB"/>
              </w:rPr>
              <w:t>(NB: this applies for Q2 onwards, different reward structure for Q1, see ‘rules for in-year payment’ section below)</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Description of indicator</w:t>
            </w:r>
          </w:p>
        </w:tc>
        <w:tc>
          <w:tcPr>
            <w:tcW w:w="6378" w:type="dxa"/>
          </w:tcPr>
          <w:p w:rsidR="00DF18AB" w:rsidRPr="00DF18AB" w:rsidRDefault="00DF18AB" w:rsidP="00DF18AB">
            <w:pPr>
              <w:keepNext/>
              <w:contextualSpacing/>
              <w:rPr>
                <w:rFonts w:eastAsia="HGSMinchoE" w:cs="Arial"/>
                <w:bCs w:val="0"/>
                <w:szCs w:val="24"/>
                <w:lang w:eastAsia="en-GB"/>
              </w:rPr>
            </w:pPr>
            <w:r w:rsidRPr="00DF18AB">
              <w:rPr>
                <w:rFonts w:eastAsia="HGSMinchoE" w:cs="Arial"/>
                <w:bCs w:val="0"/>
                <w:szCs w:val="24"/>
                <w:lang w:eastAsia="en-GB"/>
              </w:rPr>
              <w:t>Percentage of unique patients who drink alcohol above lower-risk levels AND are given brief advice OR offered a specialist referral.</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Numerator</w:t>
            </w:r>
          </w:p>
        </w:tc>
        <w:tc>
          <w:tcPr>
            <w:tcW w:w="6378" w:type="dxa"/>
          </w:tcPr>
          <w:p w:rsidR="00DF18AB" w:rsidRPr="00DF18AB" w:rsidRDefault="00DF18AB" w:rsidP="00DF18AB">
            <w:pPr>
              <w:keepNext/>
              <w:contextualSpacing/>
              <w:rPr>
                <w:rFonts w:eastAsia="HGSMinchoE" w:cs="Arial"/>
                <w:bCs w:val="0"/>
                <w:szCs w:val="24"/>
                <w:lang w:eastAsia="en-GB"/>
              </w:rPr>
            </w:pPr>
            <w:r w:rsidRPr="00DF18AB">
              <w:rPr>
                <w:rFonts w:eastAsia="HGSMinchoE" w:cs="Arial"/>
                <w:bCs w:val="0"/>
                <w:szCs w:val="24"/>
                <w:lang w:eastAsia="en-GB"/>
              </w:rPr>
              <w:t xml:space="preserve">Number of </w:t>
            </w:r>
            <w:r w:rsidRPr="00DF18AB">
              <w:rPr>
                <w:rFonts w:eastAsia="HGSMinchoE" w:cs="Arial"/>
                <w:b/>
                <w:bCs w:val="0"/>
                <w:szCs w:val="24"/>
                <w:lang w:eastAsia="en-GB"/>
              </w:rPr>
              <w:t>eligible patients</w:t>
            </w:r>
            <w:r w:rsidRPr="00DF18AB">
              <w:rPr>
                <w:rFonts w:eastAsia="HGSMinchoE" w:cs="Arial"/>
                <w:bCs w:val="0"/>
                <w:szCs w:val="24"/>
                <w:lang w:eastAsia="en-GB"/>
              </w:rPr>
              <w:t xml:space="preserve"> who are </w:t>
            </w:r>
            <w:r w:rsidRPr="00DF18AB">
              <w:rPr>
                <w:rFonts w:eastAsia="HGSMinchoE" w:cs="Arial"/>
                <w:b/>
                <w:bCs w:val="0"/>
                <w:szCs w:val="24"/>
                <w:lang w:eastAsia="en-GB"/>
              </w:rPr>
              <w:t>given brief advice</w:t>
            </w:r>
            <w:r w:rsidRPr="00DF18AB">
              <w:rPr>
                <w:rFonts w:eastAsia="HGSMinchoE" w:cs="Arial"/>
                <w:bCs w:val="0"/>
                <w:szCs w:val="24"/>
                <w:lang w:eastAsia="en-GB"/>
              </w:rPr>
              <w:t xml:space="preserve"> or referred to specialist alcohol services during this quarter:</w:t>
            </w:r>
          </w:p>
          <w:p w:rsidR="00DF18AB" w:rsidRPr="00DF18AB" w:rsidRDefault="00DF18AB" w:rsidP="00DF18AB">
            <w:pPr>
              <w:keepNext/>
              <w:numPr>
                <w:ilvl w:val="0"/>
                <w:numId w:val="51"/>
              </w:numPr>
              <w:spacing w:before="120" w:after="120"/>
              <w:ind w:left="714" w:hanging="357"/>
              <w:contextualSpacing/>
              <w:rPr>
                <w:rFonts w:eastAsia="HGSMinchoE" w:cs="Arial"/>
                <w:szCs w:val="24"/>
                <w:lang w:eastAsia="en-GB"/>
              </w:rPr>
            </w:pPr>
            <w:r w:rsidRPr="00DF18AB">
              <w:rPr>
                <w:rFonts w:eastAsia="HGSMinchoE" w:cs="Arial"/>
                <w:b/>
                <w:szCs w:val="24"/>
                <w:lang w:eastAsia="en-GB"/>
              </w:rPr>
              <w:t xml:space="preserve">Eligible </w:t>
            </w:r>
            <w:proofErr w:type="spellStart"/>
            <w:r w:rsidRPr="00DF18AB">
              <w:rPr>
                <w:rFonts w:eastAsia="HGSMinchoE" w:cs="Arial"/>
                <w:b/>
                <w:szCs w:val="24"/>
                <w:lang w:eastAsia="en-GB"/>
              </w:rPr>
              <w:t>patients</w:t>
            </w:r>
            <w:r w:rsidRPr="00DF18AB">
              <w:rPr>
                <w:rFonts w:eastAsia="HGSMinchoE" w:cs="Arial"/>
                <w:szCs w:val="24"/>
                <w:lang w:eastAsia="en-GB"/>
              </w:rPr>
              <w:t>are</w:t>
            </w:r>
            <w:proofErr w:type="spellEnd"/>
            <w:r w:rsidRPr="00DF18AB">
              <w:rPr>
                <w:rFonts w:eastAsia="HGSMinchoE" w:cs="Arial"/>
                <w:szCs w:val="24"/>
                <w:lang w:eastAsia="en-GB"/>
              </w:rPr>
              <w:t xml:space="preserve"> defined as patients who have been recorded as drinking above the lower risk levels during screening (in 2a);</w:t>
            </w:r>
          </w:p>
          <w:p w:rsidR="00DF18AB" w:rsidRPr="00DF18AB" w:rsidRDefault="00DF18AB" w:rsidP="00DF18AB">
            <w:pPr>
              <w:keepNext/>
              <w:numPr>
                <w:ilvl w:val="0"/>
                <w:numId w:val="51"/>
              </w:numPr>
              <w:spacing w:before="120" w:after="120"/>
              <w:ind w:left="714" w:hanging="357"/>
              <w:contextualSpacing/>
              <w:rPr>
                <w:rFonts w:eastAsia="HGSMinchoE" w:cs="Arial"/>
                <w:szCs w:val="24"/>
                <w:lang w:eastAsia="en-GB"/>
              </w:rPr>
            </w:pPr>
            <w:r w:rsidRPr="00DF18AB">
              <w:rPr>
                <w:rFonts w:eastAsia="HGSMinchoE" w:cs="Arial"/>
                <w:szCs w:val="24"/>
                <w:lang w:eastAsia="en-GB"/>
              </w:rPr>
              <w:t>the “</w:t>
            </w:r>
            <w:r w:rsidRPr="00DF18AB">
              <w:rPr>
                <w:rFonts w:eastAsia="HGSMinchoE" w:cs="Arial"/>
                <w:b/>
                <w:szCs w:val="24"/>
                <w:lang w:eastAsia="en-GB"/>
              </w:rPr>
              <w:t>given brief advice</w:t>
            </w:r>
            <w:r w:rsidRPr="00DF18AB">
              <w:rPr>
                <w:rFonts w:eastAsia="HGSMinchoE" w:cs="Arial"/>
                <w:szCs w:val="24"/>
                <w:lang w:eastAsia="en-GB"/>
              </w:rPr>
              <w:t xml:space="preserve">” element of this indicator requires the healthcare professional to provide a brief advice message and this to be recorded in the patient’s record in a clear and consistent way. </w:t>
            </w:r>
            <w:r w:rsidRPr="00DF18AB">
              <w:rPr>
                <w:rFonts w:eastAsia="HGSMinchoE"/>
                <w:szCs w:val="24"/>
                <w:lang w:eastAsia="en-GB"/>
              </w:rPr>
              <w:t>It is the responsibility of providers to identify the most effective way of recording this information.</w:t>
            </w:r>
            <w:r w:rsidRPr="00DF18AB">
              <w:rPr>
                <w:rFonts w:eastAsia="HGSMinchoE" w:cs="Arial"/>
                <w:szCs w:val="24"/>
                <w:lang w:eastAsia="en-GB"/>
              </w:rPr>
              <w:t xml:space="preserve"> Detail on the required actions from staff can be found on the </w:t>
            </w:r>
            <w:hyperlink r:id="rId51" w:anchor="content=view-node%3Anodes-screening&amp;path=view%3A/pathways/alcohol-use-disorders/screening-and-brief-interventions-for-harmful-drinking-and-alcohol-dependence.xml" w:history="1">
              <w:r w:rsidRPr="00DF18AB">
                <w:rPr>
                  <w:rFonts w:eastAsia="HGSMinchoE" w:cs="Arial"/>
                  <w:color w:val="0000FF"/>
                  <w:szCs w:val="24"/>
                  <w:u w:val="single"/>
                  <w:lang w:eastAsia="en-GB"/>
                </w:rPr>
                <w:t>NICE website</w:t>
              </w:r>
            </w:hyperlink>
            <w:r w:rsidRPr="00DF18AB">
              <w:rPr>
                <w:rFonts w:eastAsia="HGSMinchoE" w:cs="Arial"/>
                <w:szCs w:val="24"/>
                <w:lang w:eastAsia="en-GB"/>
              </w:rPr>
              <w:t>. See Annex A for further details;</w:t>
            </w:r>
          </w:p>
          <w:p w:rsidR="00DF18AB" w:rsidRPr="00DF18AB" w:rsidRDefault="00DF18AB" w:rsidP="00DF18AB">
            <w:pPr>
              <w:keepNext/>
              <w:numPr>
                <w:ilvl w:val="0"/>
                <w:numId w:val="51"/>
              </w:numPr>
              <w:spacing w:before="120" w:after="120"/>
              <w:ind w:left="714" w:hanging="357"/>
              <w:contextualSpacing/>
              <w:rPr>
                <w:rFonts w:eastAsia="HGSMinchoE" w:cs="Arial"/>
                <w:szCs w:val="24"/>
                <w:lang w:eastAsia="en-GB"/>
              </w:rPr>
            </w:pPr>
            <w:r w:rsidRPr="00DF18AB">
              <w:rPr>
                <w:rFonts w:eastAsia="HGSMinchoE" w:cs="Arial"/>
                <w:szCs w:val="24"/>
                <w:lang w:eastAsia="en-GB"/>
              </w:rPr>
              <w:t>the “</w:t>
            </w:r>
            <w:r w:rsidRPr="00DF18AB">
              <w:rPr>
                <w:rFonts w:eastAsia="HGSMinchoE" w:cs="Arial"/>
                <w:b/>
                <w:szCs w:val="24"/>
                <w:lang w:eastAsia="en-GB"/>
              </w:rPr>
              <w:t>offered a specialist referral where relevant</w:t>
            </w:r>
            <w:r w:rsidRPr="00DF18AB">
              <w:rPr>
                <w:rFonts w:eastAsia="HGSMinchoE" w:cs="Arial"/>
                <w:szCs w:val="24"/>
                <w:lang w:eastAsia="en-GB"/>
              </w:rPr>
              <w:t xml:space="preserve">” element of this indicator is only required in instances where screening indicates potential alcohol dependence and is instead of brief advice provision. It requires the health professional to offer a referral (not just signposting) for specialist alcohol assessment by the hospital alcohol care team or a local community alcohol treatment service and this to be recorded in the patient’s record in a clear and consistent way. Detail on the required actions from staff can be found on the </w:t>
            </w:r>
            <w:hyperlink r:id="rId52" w:anchor="content=view-node%3Anodes-screening&amp;path=view%3A/pathways/alcohol-use-disorders/screening-and-brief-interventions-for-harmful-drinking-and-alcohol-dependence.xml" w:history="1">
              <w:r w:rsidRPr="00DF18AB">
                <w:rPr>
                  <w:rFonts w:eastAsia="HGSMinchoE" w:cs="Arial"/>
                  <w:color w:val="0000FF"/>
                  <w:szCs w:val="24"/>
                  <w:u w:val="single"/>
                  <w:lang w:eastAsia="en-GB"/>
                </w:rPr>
                <w:t>NICE website</w:t>
              </w:r>
            </w:hyperlink>
            <w:r w:rsidRPr="00DF18AB">
              <w:rPr>
                <w:rFonts w:eastAsia="HGSMinchoE" w:cs="Arial"/>
                <w:szCs w:val="24"/>
                <w:lang w:eastAsia="en-GB"/>
              </w:rPr>
              <w:t>. See Annex A for further details.</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Denominator</w:t>
            </w:r>
          </w:p>
        </w:tc>
        <w:tc>
          <w:tcPr>
            <w:tcW w:w="6378" w:type="dxa"/>
          </w:tcPr>
          <w:p w:rsidR="00DF18AB" w:rsidRPr="00DF18AB" w:rsidRDefault="00DF18AB" w:rsidP="00DF18AB">
            <w:pPr>
              <w:keepNext/>
              <w:contextualSpacing/>
              <w:rPr>
                <w:rFonts w:eastAsia="HGSMinchoE" w:cs="Arial"/>
                <w:bCs w:val="0"/>
                <w:szCs w:val="24"/>
                <w:lang w:eastAsia="en-GB"/>
              </w:rPr>
            </w:pPr>
            <w:r w:rsidRPr="00DF18AB">
              <w:rPr>
                <w:rFonts w:eastAsia="HGSMinchoE" w:cs="Arial"/>
                <w:bCs w:val="0"/>
                <w:szCs w:val="24"/>
                <w:lang w:eastAsia="en-GB"/>
              </w:rPr>
              <w:t xml:space="preserve">All </w:t>
            </w:r>
            <w:r w:rsidRPr="00DF18AB">
              <w:rPr>
                <w:rFonts w:eastAsia="HGSMinchoE" w:cs="Arial"/>
                <w:b/>
                <w:bCs w:val="0"/>
                <w:szCs w:val="24"/>
                <w:lang w:eastAsia="en-GB"/>
              </w:rPr>
              <w:t>eligible patients</w:t>
            </w:r>
            <w:r w:rsidRPr="00DF18AB">
              <w:rPr>
                <w:rFonts w:eastAsia="HGSMinchoE" w:cs="Arial"/>
                <w:bCs w:val="0"/>
                <w:szCs w:val="24"/>
                <w:lang w:eastAsia="en-GB"/>
              </w:rPr>
              <w:t xml:space="preserve"> during this quarter: </w:t>
            </w:r>
          </w:p>
          <w:p w:rsidR="00DF18AB" w:rsidRPr="00DF18AB" w:rsidRDefault="00DF18AB" w:rsidP="00570226">
            <w:pPr>
              <w:keepNext/>
              <w:numPr>
                <w:ilvl w:val="0"/>
                <w:numId w:val="131"/>
              </w:numPr>
              <w:contextualSpacing/>
              <w:rPr>
                <w:rFonts w:eastAsia="HGSMinchoE" w:cs="Arial"/>
                <w:szCs w:val="24"/>
                <w:lang w:eastAsia="en-GB"/>
              </w:rPr>
            </w:pPr>
            <w:r w:rsidRPr="00DF18AB">
              <w:rPr>
                <w:rFonts w:eastAsia="HGSMinchoE" w:cs="Arial"/>
                <w:b/>
                <w:szCs w:val="24"/>
                <w:lang w:eastAsia="en-GB"/>
              </w:rPr>
              <w:t>Eligible patients</w:t>
            </w:r>
            <w:r w:rsidRPr="00DF18AB">
              <w:rPr>
                <w:rFonts w:eastAsia="HGSMinchoE" w:cs="Arial"/>
                <w:szCs w:val="24"/>
                <w:lang w:eastAsia="en-GB"/>
              </w:rPr>
              <w:t xml:space="preserve"> are defined as patients who have been recorded as drinking above the lower risk limits during screening (in </w:t>
            </w:r>
            <w:r w:rsidR="00570226">
              <w:rPr>
                <w:rFonts w:eastAsia="HGSMinchoE" w:cs="Arial"/>
                <w:szCs w:val="24"/>
                <w:lang w:eastAsia="en-GB"/>
              </w:rPr>
              <w:t>9d</w:t>
            </w:r>
            <w:r w:rsidRPr="00DF18AB">
              <w:rPr>
                <w:rFonts w:eastAsia="HGSMinchoE" w:cs="Arial"/>
                <w:szCs w:val="24"/>
                <w:lang w:eastAsia="en-GB"/>
              </w:rPr>
              <w:t>).</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Rationale for inclusion</w:t>
            </w:r>
          </w:p>
        </w:tc>
        <w:tc>
          <w:tcPr>
            <w:tcW w:w="6378" w:type="dxa"/>
          </w:tcPr>
          <w:p w:rsidR="00DF18AB" w:rsidRPr="00DF18AB" w:rsidRDefault="00DF18AB" w:rsidP="00570226">
            <w:pPr>
              <w:rPr>
                <w:rFonts w:eastAsia="HGSMinchoE"/>
                <w:bCs w:val="0"/>
                <w:szCs w:val="24"/>
                <w:lang w:eastAsia="en-GB"/>
              </w:rPr>
            </w:pPr>
            <w:r w:rsidRPr="00DF18AB">
              <w:rPr>
                <w:rFonts w:eastAsia="HGSMinchoE"/>
                <w:bCs w:val="0"/>
                <w:szCs w:val="24"/>
                <w:lang w:eastAsia="en-GB"/>
              </w:rPr>
              <w:t>Please refer to this section in</w:t>
            </w:r>
            <w:r w:rsidR="00570226">
              <w:rPr>
                <w:rFonts w:eastAsia="HGSMinchoE"/>
                <w:bCs w:val="0"/>
                <w:szCs w:val="24"/>
                <w:lang w:eastAsia="en-GB"/>
              </w:rPr>
              <w:t xml:space="preserve"> 9d</w:t>
            </w:r>
            <w:r w:rsidRPr="00DF18AB">
              <w:rPr>
                <w:rFonts w:eastAsia="HGSMinchoE"/>
                <w:bCs w:val="0"/>
                <w:szCs w:val="24"/>
                <w:lang w:eastAsia="en-GB"/>
              </w:rPr>
              <w:t>.</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Data source</w:t>
            </w:r>
          </w:p>
        </w:tc>
        <w:tc>
          <w:tcPr>
            <w:tcW w:w="6378" w:type="dxa"/>
          </w:tcPr>
          <w:p w:rsidR="00DF18AB" w:rsidRPr="00DF18AB" w:rsidRDefault="00DF18AB" w:rsidP="00570226">
            <w:pPr>
              <w:keepNext/>
              <w:tabs>
                <w:tab w:val="left" w:pos="2074"/>
              </w:tabs>
              <w:rPr>
                <w:rFonts w:eastAsia="HGSMinchoE"/>
                <w:bCs w:val="0"/>
                <w:szCs w:val="24"/>
                <w:lang w:eastAsia="en-GB"/>
              </w:rPr>
            </w:pPr>
            <w:r w:rsidRPr="00DF18AB">
              <w:rPr>
                <w:rFonts w:eastAsia="HGSMinchoE"/>
                <w:bCs w:val="0"/>
                <w:szCs w:val="24"/>
                <w:lang w:eastAsia="en-GB"/>
              </w:rPr>
              <w:t xml:space="preserve">Please refer to this section in </w:t>
            </w:r>
            <w:r w:rsidR="00570226">
              <w:rPr>
                <w:rFonts w:eastAsia="HGSMinchoE"/>
                <w:bCs w:val="0"/>
                <w:szCs w:val="24"/>
                <w:lang w:eastAsia="en-GB"/>
              </w:rPr>
              <w:t>9d</w:t>
            </w:r>
            <w:r w:rsidRPr="00DF18AB">
              <w:rPr>
                <w:rFonts w:eastAsia="HGSMinchoE"/>
                <w:bCs w:val="0"/>
                <w:szCs w:val="24"/>
                <w:lang w:eastAsia="en-GB"/>
              </w:rPr>
              <w:t>.</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Frequency of data collection</w:t>
            </w:r>
          </w:p>
        </w:tc>
        <w:tc>
          <w:tcPr>
            <w:tcW w:w="6378" w:type="dxa"/>
          </w:tcPr>
          <w:p w:rsidR="00DF18AB" w:rsidRPr="00DF18AB" w:rsidRDefault="00DF18AB" w:rsidP="00DF18AB">
            <w:pPr>
              <w:rPr>
                <w:rFonts w:eastAsia="HGSMinchoE"/>
                <w:bCs w:val="0"/>
                <w:szCs w:val="24"/>
                <w:lang w:eastAsia="en-GB"/>
              </w:rPr>
            </w:pPr>
            <w:r w:rsidRPr="00DF18AB">
              <w:rPr>
                <w:rFonts w:eastAsia="HGSMinchoE"/>
                <w:b/>
                <w:bCs w:val="0"/>
                <w:szCs w:val="24"/>
                <w:lang w:eastAsia="en-GB"/>
              </w:rPr>
              <w:t>Quarterly</w:t>
            </w:r>
            <w:r w:rsidRPr="00DF18AB">
              <w:rPr>
                <w:rFonts w:eastAsia="HGSMinchoE"/>
                <w:bCs w:val="0"/>
                <w:szCs w:val="24"/>
                <w:lang w:eastAsia="en-GB"/>
              </w:rPr>
              <w:t xml:space="preserve">. Data to be collected ahead of quarterly audit. </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Cs w:val="0"/>
                <w:szCs w:val="24"/>
                <w:lang w:eastAsia="en-GB"/>
              </w:rPr>
            </w:pPr>
            <w:r w:rsidRPr="00DF18AB">
              <w:rPr>
                <w:rFonts w:eastAsia="HGSMinchoE"/>
                <w:bCs w:val="0"/>
                <w:szCs w:val="24"/>
                <w:lang w:eastAsia="en-GB"/>
              </w:rPr>
              <w:t>Note that the data that is required for the audits are patient case notes which are to be updated by health practitioners whenever relevant.</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lastRenderedPageBreak/>
              <w:t>Organisation responsible for data collection</w:t>
            </w:r>
          </w:p>
        </w:tc>
        <w:tc>
          <w:tcPr>
            <w:tcW w:w="6378" w:type="dxa"/>
          </w:tcPr>
          <w:p w:rsidR="00DF18AB" w:rsidRPr="00DF18AB" w:rsidRDefault="00DF18AB" w:rsidP="00DF18AB">
            <w:pPr>
              <w:rPr>
                <w:rFonts w:eastAsia="HGSMinchoE"/>
                <w:bCs w:val="0"/>
                <w:szCs w:val="24"/>
                <w:lang w:eastAsia="en-GB"/>
              </w:rPr>
            </w:pPr>
            <w:r w:rsidRPr="00DF18AB">
              <w:rPr>
                <w:rFonts w:eastAsia="HGSMinchoE"/>
                <w:b/>
                <w:bCs w:val="0"/>
                <w:szCs w:val="24"/>
                <w:lang w:eastAsia="en-GB"/>
              </w:rPr>
              <w:t>Provider</w:t>
            </w:r>
            <w:r w:rsidRPr="00DF18AB">
              <w:rPr>
                <w:rFonts w:eastAsia="HGSMinchoE"/>
                <w:bCs w:val="0"/>
                <w:szCs w:val="24"/>
                <w:lang w:eastAsia="en-GB"/>
              </w:rPr>
              <w:t>.</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Frequency of reporting to commissioner</w:t>
            </w:r>
          </w:p>
        </w:tc>
        <w:tc>
          <w:tcPr>
            <w:tcW w:w="6378" w:type="dxa"/>
          </w:tcPr>
          <w:p w:rsidR="00DF18AB" w:rsidRPr="00DF18AB" w:rsidRDefault="00DF18AB" w:rsidP="00DF18AB">
            <w:pPr>
              <w:keepNext/>
              <w:tabs>
                <w:tab w:val="left" w:pos="2074"/>
              </w:tabs>
              <w:rPr>
                <w:rFonts w:eastAsia="HGSMinchoE"/>
                <w:bCs w:val="0"/>
                <w:szCs w:val="24"/>
                <w:lang w:eastAsia="en-GB"/>
              </w:rPr>
            </w:pPr>
            <w:r w:rsidRPr="00DF18AB">
              <w:rPr>
                <w:rFonts w:eastAsia="HGSMinchoE"/>
                <w:b/>
                <w:bCs w:val="0"/>
                <w:szCs w:val="24"/>
                <w:lang w:eastAsia="en-GB"/>
              </w:rPr>
              <w:t>Quarterly</w:t>
            </w:r>
            <w:r w:rsidRPr="00DF18AB">
              <w:rPr>
                <w:rFonts w:eastAsia="HGSMinchoE"/>
                <w:bCs w:val="0"/>
                <w:szCs w:val="24"/>
                <w:lang w:eastAsia="en-GB"/>
              </w:rPr>
              <w:t xml:space="preserve">.  </w:t>
            </w:r>
          </w:p>
          <w:p w:rsidR="00DF18AB" w:rsidRPr="00DF18AB" w:rsidRDefault="00DF18AB" w:rsidP="00DF18AB">
            <w:pPr>
              <w:keepNext/>
              <w:tabs>
                <w:tab w:val="left" w:pos="2074"/>
              </w:tabs>
              <w:rPr>
                <w:rFonts w:eastAsia="HGSMinchoE"/>
                <w:bCs w:val="0"/>
                <w:szCs w:val="24"/>
                <w:lang w:eastAsia="en-GB"/>
              </w:rPr>
            </w:pPr>
          </w:p>
          <w:p w:rsidR="00DF18AB" w:rsidRPr="00DF18AB" w:rsidRDefault="00DF18AB" w:rsidP="00DF18AB">
            <w:pPr>
              <w:keepNext/>
              <w:tabs>
                <w:tab w:val="left" w:pos="2074"/>
              </w:tabs>
              <w:rPr>
                <w:rFonts w:eastAsia="HGSMinchoE"/>
                <w:bCs w:val="0"/>
                <w:szCs w:val="24"/>
                <w:lang w:eastAsia="en-GB"/>
              </w:rPr>
            </w:pPr>
            <w:r w:rsidRPr="00DF18AB">
              <w:rPr>
                <w:rFonts w:eastAsia="HGSMinchoE"/>
                <w:bCs w:val="0"/>
                <w:szCs w:val="24"/>
                <w:lang w:eastAsia="en-GB"/>
              </w:rPr>
              <w:t>Note that to enable national audits, providers are required to simultaneously submit audit data to NHS England via UNIFY on a quarterly basis as well.</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Baseline period/date</w:t>
            </w:r>
          </w:p>
        </w:tc>
        <w:tc>
          <w:tcPr>
            <w:tcW w:w="6378"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 xml:space="preserve">Baseline to be identified and set during Q1 of the CQUIN (i.e. Q1 of FY 17/18); see </w:t>
            </w:r>
            <w:r w:rsidRPr="00DF18AB">
              <w:rPr>
                <w:rFonts w:eastAsia="HGSMinchoE"/>
                <w:bCs w:val="0"/>
                <w:i/>
                <w:szCs w:val="24"/>
                <w:lang w:eastAsia="en-GB"/>
              </w:rPr>
              <w:t>Milestones</w:t>
            </w:r>
            <w:r w:rsidRPr="00DF18AB">
              <w:rPr>
                <w:rFonts w:eastAsia="HGSMinchoE"/>
                <w:bCs w:val="0"/>
                <w:szCs w:val="24"/>
                <w:lang w:eastAsia="en-GB"/>
              </w:rPr>
              <w:t xml:space="preserve"> below.</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Baseline value</w:t>
            </w:r>
          </w:p>
        </w:tc>
        <w:tc>
          <w:tcPr>
            <w:tcW w:w="6378" w:type="dxa"/>
          </w:tcPr>
          <w:p w:rsidR="00DF18AB" w:rsidRPr="00DF18AB" w:rsidRDefault="00DF18AB" w:rsidP="00DF18AB">
            <w:pPr>
              <w:keepNext/>
              <w:contextualSpacing/>
              <w:rPr>
                <w:rFonts w:cs="Arial"/>
                <w:color w:val="000000"/>
                <w:lang w:eastAsia="en-GB"/>
              </w:rPr>
            </w:pPr>
            <w:r w:rsidRPr="00DF18AB">
              <w:rPr>
                <w:rFonts w:cs="Arial"/>
                <w:color w:val="000000"/>
                <w:lang w:eastAsia="en-GB"/>
              </w:rPr>
              <w:t xml:space="preserve">To be determined locally, based on baseline setting exercise in Q1; </w:t>
            </w:r>
            <w:r w:rsidRPr="00DF18AB">
              <w:rPr>
                <w:rFonts w:eastAsia="HGSMinchoE"/>
                <w:bCs w:val="0"/>
                <w:szCs w:val="24"/>
                <w:lang w:eastAsia="en-GB"/>
              </w:rPr>
              <w:t xml:space="preserve">see </w:t>
            </w:r>
            <w:r w:rsidRPr="00DF18AB">
              <w:rPr>
                <w:rFonts w:eastAsia="HGSMinchoE"/>
                <w:bCs w:val="0"/>
                <w:i/>
                <w:szCs w:val="24"/>
                <w:lang w:eastAsia="en-GB"/>
              </w:rPr>
              <w:t>Milestones</w:t>
            </w:r>
            <w:r w:rsidRPr="00DF18AB">
              <w:rPr>
                <w:rFonts w:eastAsia="HGSMinchoE"/>
                <w:bCs w:val="0"/>
                <w:szCs w:val="24"/>
                <w:lang w:eastAsia="en-GB"/>
              </w:rPr>
              <w:t xml:space="preserve"> below.</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Final indicator period/date (on which payment is based)</w:t>
            </w:r>
          </w:p>
        </w:tc>
        <w:tc>
          <w:tcPr>
            <w:tcW w:w="6378"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 xml:space="preserve">Quarter 4 FY 18/19. </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Final indicator value (payment threshold)</w:t>
            </w:r>
          </w:p>
        </w:tc>
        <w:tc>
          <w:tcPr>
            <w:tcW w:w="6378" w:type="dxa"/>
          </w:tcPr>
          <w:p w:rsidR="00DF18AB" w:rsidRPr="00DF18AB" w:rsidRDefault="00DF18AB" w:rsidP="00DF18AB">
            <w:pPr>
              <w:rPr>
                <w:rFonts w:cs="Arial"/>
                <w:b/>
                <w:color w:val="000000"/>
                <w:lang w:eastAsia="en-GB"/>
              </w:rPr>
            </w:pPr>
            <w:r w:rsidRPr="00DF18AB">
              <w:rPr>
                <w:rFonts w:cs="Arial"/>
                <w:b/>
                <w:color w:val="000000"/>
                <w:lang w:eastAsia="en-GB"/>
              </w:rPr>
              <w:t>80%</w:t>
            </w:r>
            <w:r w:rsidRPr="00DF18AB">
              <w:rPr>
                <w:rFonts w:cs="Arial"/>
                <w:b/>
                <w:color w:val="000000"/>
                <w:lang w:eastAsia="en-GB"/>
              </w:rPr>
              <w:br/>
            </w:r>
            <w:r w:rsidRPr="00DF18AB">
              <w:rPr>
                <w:rFonts w:cs="Arial"/>
                <w:color w:val="000000"/>
                <w:lang w:eastAsia="en-GB"/>
              </w:rPr>
              <w:t>(NB: – this might be reviewed for 18/19 in light of learning from the first year of the scheme)</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Final indicator reporting date</w:t>
            </w:r>
          </w:p>
        </w:tc>
        <w:tc>
          <w:tcPr>
            <w:tcW w:w="6378" w:type="dxa"/>
          </w:tcPr>
          <w:p w:rsidR="00DF18AB" w:rsidRPr="00DF18AB" w:rsidRDefault="00DF18AB" w:rsidP="00DF18AB">
            <w:pPr>
              <w:keepNext/>
              <w:contextualSpacing/>
              <w:rPr>
                <w:rFonts w:eastAsia="HGSMinchoE"/>
                <w:bCs w:val="0"/>
                <w:szCs w:val="24"/>
                <w:lang w:eastAsia="en-GB"/>
              </w:rPr>
            </w:pPr>
            <w:r w:rsidRPr="00DF18AB">
              <w:rPr>
                <w:rFonts w:eastAsia="HGSMinchoE"/>
                <w:bCs w:val="0"/>
                <w:szCs w:val="24"/>
                <w:lang w:eastAsia="en-GB"/>
              </w:rPr>
              <w:t>As soon as possible after Q4 2018/19.</w:t>
            </w:r>
          </w:p>
        </w:tc>
      </w:tr>
      <w:tr w:rsidR="00DF18AB" w:rsidRPr="00DF18AB" w:rsidTr="00593B8C">
        <w:tc>
          <w:tcPr>
            <w:tcW w:w="2802" w:type="dxa"/>
          </w:tcPr>
          <w:p w:rsidR="00DF18AB" w:rsidRPr="00DF18AB" w:rsidRDefault="00DF18AB" w:rsidP="00DF18AB">
            <w:pPr>
              <w:rPr>
                <w:rFonts w:eastAsia="HGSMinchoE"/>
                <w:b/>
                <w:bCs w:val="0"/>
                <w:szCs w:val="24"/>
                <w:lang w:eastAsia="en-GB"/>
              </w:rPr>
            </w:pPr>
            <w:r w:rsidRPr="00DF18AB">
              <w:rPr>
                <w:rFonts w:cs="Arial"/>
                <w:b/>
                <w:color w:val="000000"/>
                <w:lang w:eastAsia="en-GB"/>
              </w:rPr>
              <w:t>Are there rules for any agreed in-year milestones that result in payment?</w:t>
            </w:r>
          </w:p>
        </w:tc>
        <w:tc>
          <w:tcPr>
            <w:tcW w:w="6378" w:type="dxa"/>
          </w:tcPr>
          <w:p w:rsidR="00DF18AB" w:rsidRPr="00DF18AB" w:rsidRDefault="00DF18AB" w:rsidP="00DF18AB">
            <w:pPr>
              <w:rPr>
                <w:rFonts w:eastAsia="HGSMinchoE"/>
                <w:bCs w:val="0"/>
                <w:szCs w:val="24"/>
                <w:lang w:eastAsia="en-GB"/>
              </w:rPr>
            </w:pPr>
            <w:r w:rsidRPr="00DF18AB">
              <w:rPr>
                <w:rFonts w:eastAsia="HGSMinchoE"/>
                <w:bCs w:val="0"/>
                <w:szCs w:val="24"/>
                <w:lang w:eastAsia="en-GB"/>
              </w:rPr>
              <w:t xml:space="preserve">Yes. </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Cs w:val="0"/>
                <w:szCs w:val="24"/>
                <w:lang w:eastAsia="en-GB"/>
              </w:rPr>
            </w:pPr>
            <w:r w:rsidRPr="00DF18AB">
              <w:rPr>
                <w:rFonts w:eastAsia="HGSMinchoE"/>
                <w:b/>
                <w:bCs w:val="0"/>
                <w:szCs w:val="24"/>
                <w:lang w:eastAsia="en-GB"/>
              </w:rPr>
              <w:t>Quarter 1</w:t>
            </w:r>
            <w:r w:rsidRPr="00DF18AB">
              <w:rPr>
                <w:rFonts w:eastAsia="HGSMinchoE"/>
                <w:bCs w:val="0"/>
                <w:szCs w:val="24"/>
                <w:lang w:eastAsia="en-GB"/>
              </w:rPr>
              <w:t xml:space="preserve"> – payment is available for achieving three milestones at the end of Q1, namely a) completing an information systems audit; b) training staff to deliver brief advice and c) collect baseline data. Payment is split equally between a), b) and c), for more detail see </w:t>
            </w:r>
            <w:r w:rsidRPr="00DF18AB">
              <w:rPr>
                <w:rFonts w:eastAsia="HGSMinchoE"/>
                <w:bCs w:val="0"/>
                <w:i/>
                <w:szCs w:val="24"/>
                <w:lang w:eastAsia="en-GB"/>
              </w:rPr>
              <w:t>Milestones</w:t>
            </w:r>
            <w:r w:rsidRPr="00DF18AB">
              <w:rPr>
                <w:rFonts w:eastAsia="HGSMinchoE"/>
                <w:bCs w:val="0"/>
                <w:szCs w:val="24"/>
                <w:lang w:eastAsia="en-GB"/>
              </w:rPr>
              <w:t xml:space="preserve"> below.</w:t>
            </w:r>
          </w:p>
          <w:p w:rsidR="00DF18AB" w:rsidRPr="00DF18AB" w:rsidRDefault="00DF18AB" w:rsidP="00DF18AB">
            <w:pPr>
              <w:rPr>
                <w:rFonts w:eastAsia="HGSMinchoE"/>
                <w:bCs w:val="0"/>
                <w:szCs w:val="24"/>
                <w:lang w:eastAsia="en-GB"/>
              </w:rPr>
            </w:pPr>
          </w:p>
          <w:p w:rsidR="00DF18AB" w:rsidRPr="00DF18AB" w:rsidRDefault="00DF18AB" w:rsidP="00DF18AB">
            <w:pPr>
              <w:rPr>
                <w:rFonts w:eastAsia="HGSMinchoE"/>
                <w:bCs w:val="0"/>
                <w:szCs w:val="24"/>
                <w:lang w:eastAsia="en-GB"/>
              </w:rPr>
            </w:pPr>
            <w:r w:rsidRPr="00DF18AB">
              <w:rPr>
                <w:rFonts w:eastAsia="HGSMinchoE"/>
                <w:b/>
                <w:bCs w:val="0"/>
                <w:szCs w:val="24"/>
                <w:lang w:eastAsia="en-GB"/>
              </w:rPr>
              <w:t>Quarter 2 and onwards</w:t>
            </w:r>
            <w:r w:rsidRPr="00DF18AB">
              <w:rPr>
                <w:rFonts w:eastAsia="HGSMinchoE"/>
                <w:bCs w:val="0"/>
                <w:szCs w:val="24"/>
                <w:lang w:eastAsia="en-GB"/>
              </w:rPr>
              <w:t xml:space="preserve"> – payment is available for high (i.e. to target performance) or improving performance across the indicators; performance data will be submitted on a quarterly basis by providers to commissioners who will reward payment.</w:t>
            </w:r>
          </w:p>
        </w:tc>
      </w:tr>
      <w:tr w:rsidR="00DF18AB" w:rsidRPr="00DF18AB" w:rsidTr="00593B8C">
        <w:tc>
          <w:tcPr>
            <w:tcW w:w="2802" w:type="dxa"/>
          </w:tcPr>
          <w:p w:rsidR="00DF18AB" w:rsidRPr="00DF18AB" w:rsidRDefault="00DF18AB" w:rsidP="00DF18AB">
            <w:pPr>
              <w:rPr>
                <w:rFonts w:cs="Arial"/>
                <w:b/>
                <w:color w:val="000000"/>
                <w:lang w:eastAsia="en-GB"/>
              </w:rPr>
            </w:pPr>
            <w:r w:rsidRPr="00DF18AB">
              <w:rPr>
                <w:rFonts w:cs="Arial"/>
                <w:b/>
                <w:color w:val="000000"/>
                <w:lang w:eastAsia="en-GB"/>
              </w:rPr>
              <w:t>Are there any rules for partial achievement of the indicator at the final indicator period/date?</w:t>
            </w:r>
          </w:p>
        </w:tc>
        <w:tc>
          <w:tcPr>
            <w:tcW w:w="6378" w:type="dxa"/>
          </w:tcPr>
          <w:p w:rsidR="00DF18AB" w:rsidRPr="00DF18AB" w:rsidRDefault="00DF18AB" w:rsidP="00DF18AB">
            <w:pPr>
              <w:rPr>
                <w:rFonts w:eastAsia="Calibri" w:cs="Arial"/>
                <w:szCs w:val="24"/>
                <w:lang w:eastAsia="en-GB"/>
              </w:rPr>
            </w:pPr>
            <w:r w:rsidRPr="00DF18AB">
              <w:rPr>
                <w:rFonts w:eastAsia="Calibri" w:cs="Arial"/>
                <w:szCs w:val="24"/>
                <w:lang w:eastAsia="en-GB"/>
              </w:rPr>
              <w:t xml:space="preserve">Yes – see </w:t>
            </w:r>
            <w:r w:rsidRPr="00DF18AB">
              <w:rPr>
                <w:rFonts w:eastAsia="Calibri" w:cs="Arial"/>
                <w:i/>
                <w:szCs w:val="24"/>
                <w:lang w:eastAsia="en-GB"/>
              </w:rPr>
              <w:t xml:space="preserve">Rules for partial achievement </w:t>
            </w:r>
            <w:r w:rsidRPr="00DF18AB">
              <w:rPr>
                <w:rFonts w:eastAsia="Calibri" w:cs="Arial"/>
                <w:szCs w:val="24"/>
                <w:lang w:eastAsia="en-GB"/>
              </w:rPr>
              <w:t>below.</w:t>
            </w:r>
          </w:p>
        </w:tc>
      </w:tr>
    </w:tbl>
    <w:p w:rsidR="00DF18AB" w:rsidRPr="00DF18AB" w:rsidRDefault="00DF18AB" w:rsidP="00DF18AB">
      <w:pPr>
        <w:rPr>
          <w:rFonts w:eastAsiaTheme="majorEastAsia" w:cstheme="majorBidi"/>
          <w:b/>
          <w:bCs w:val="0"/>
          <w:iCs/>
          <w:color w:val="A00054" w:themeColor="accent2"/>
          <w:lang w:eastAsia="en-GB"/>
        </w:rPr>
      </w:pPr>
    </w:p>
    <w:p w:rsidR="00DF18AB" w:rsidRPr="00DF18AB" w:rsidRDefault="00DF18AB" w:rsidP="00DF18AB">
      <w:pPr>
        <w:rPr>
          <w:rFonts w:eastAsiaTheme="majorEastAsia" w:cstheme="majorBidi"/>
          <w:b/>
          <w:bCs w:val="0"/>
          <w:iCs/>
          <w:color w:val="A00054" w:themeColor="accent2"/>
          <w:lang w:eastAsia="en-GB"/>
        </w:rPr>
      </w:pPr>
      <w:r w:rsidRPr="00DF18AB">
        <w:rPr>
          <w:lang w:eastAsia="en-GB"/>
        </w:rPr>
        <w:br w:type="page"/>
      </w:r>
    </w:p>
    <w:p w:rsidR="00DF18AB" w:rsidRPr="00DF18AB" w:rsidRDefault="00DF18AB" w:rsidP="00DF18AB">
      <w:pPr>
        <w:keepNext/>
        <w:keepLines/>
        <w:outlineLvl w:val="3"/>
        <w:rPr>
          <w:rFonts w:eastAsiaTheme="majorEastAsia" w:cstheme="majorBidi"/>
          <w:b/>
          <w:bCs w:val="0"/>
          <w:iCs/>
          <w:color w:val="A00054" w:themeColor="accent2"/>
          <w:lang w:eastAsia="en-GB"/>
        </w:rPr>
      </w:pPr>
      <w:r w:rsidRPr="00DF18AB">
        <w:rPr>
          <w:rFonts w:eastAsiaTheme="majorEastAsia" w:cstheme="majorBidi"/>
          <w:b/>
          <w:bCs w:val="0"/>
          <w:iCs/>
          <w:color w:val="A00054" w:themeColor="accent2"/>
          <w:lang w:eastAsia="en-GB"/>
        </w:rPr>
        <w:lastRenderedPageBreak/>
        <w:t>Milestones for indicators 9a-9e (Note: these only apply to Q1 of the CQUIN)</w:t>
      </w:r>
    </w:p>
    <w:p w:rsidR="00DF18AB" w:rsidRPr="00DF18AB" w:rsidRDefault="00DF18AB" w:rsidP="00DF18AB">
      <w:pPr>
        <w:rPr>
          <w:lang w:eastAsia="en-GB"/>
        </w:rPr>
      </w:pPr>
    </w:p>
    <w:p w:rsidR="00DF18AB" w:rsidRPr="00DF18AB" w:rsidRDefault="00DF18AB" w:rsidP="00DF18AB">
      <w:pPr>
        <w:rPr>
          <w:lang w:eastAsia="en-GB"/>
        </w:rPr>
      </w:pPr>
      <w:r w:rsidRPr="00DF18AB">
        <w:rPr>
          <w:b/>
          <w:lang w:eastAsia="en-GB"/>
        </w:rPr>
        <w:t>For Community and Mental Health Providers this means</w:t>
      </w:r>
      <w:r w:rsidRPr="00DF18AB">
        <w:rPr>
          <w:lang w:eastAsia="en-GB"/>
        </w:rPr>
        <w:t xml:space="preserve"> that they will be rewarded in: </w:t>
      </w:r>
    </w:p>
    <w:p w:rsidR="00DF18AB" w:rsidRPr="00DF18AB" w:rsidRDefault="00DF18AB" w:rsidP="00DF18AB">
      <w:pPr>
        <w:numPr>
          <w:ilvl w:val="0"/>
          <w:numId w:val="52"/>
        </w:numPr>
        <w:rPr>
          <w:lang w:eastAsia="en-GB"/>
        </w:rPr>
      </w:pPr>
      <w:r w:rsidRPr="00DF18AB">
        <w:rPr>
          <w:lang w:eastAsia="en-GB"/>
        </w:rPr>
        <w:t xml:space="preserve">quarter 1 of FY17/18 for achievement of the three milestones set out below; and </w:t>
      </w:r>
    </w:p>
    <w:p w:rsidR="00DF18AB" w:rsidRPr="00DF18AB" w:rsidRDefault="00DF18AB" w:rsidP="00DF18AB">
      <w:pPr>
        <w:numPr>
          <w:ilvl w:val="0"/>
          <w:numId w:val="52"/>
        </w:numPr>
        <w:rPr>
          <w:lang w:eastAsia="en-GB"/>
        </w:rPr>
      </w:pPr>
      <w:r w:rsidRPr="00DF18AB">
        <w:rPr>
          <w:lang w:eastAsia="en-GB"/>
        </w:rPr>
        <w:t xml:space="preserve">quarter 2 (and any subsequent quarters in FY 17/18 and FY 18/19) according to performance across the indicators (partial payment rules set out below apply for Q2 FY 17/18 and onwards). </w:t>
      </w:r>
    </w:p>
    <w:p w:rsidR="00DF18AB" w:rsidRPr="00DF18AB" w:rsidRDefault="00DF18AB" w:rsidP="00DF18AB">
      <w:pPr>
        <w:rPr>
          <w:lang w:eastAsia="en-GB"/>
        </w:rPr>
      </w:pPr>
    </w:p>
    <w:p w:rsidR="00DF18AB" w:rsidRPr="00DF18AB" w:rsidRDefault="00DF18AB" w:rsidP="00DF18AB">
      <w:pPr>
        <w:rPr>
          <w:lang w:eastAsia="en-GB"/>
        </w:rPr>
      </w:pPr>
      <w:r w:rsidRPr="00DF18AB">
        <w:rPr>
          <w:b/>
          <w:lang w:eastAsia="en-GB"/>
        </w:rPr>
        <w:t>For Acute Providers this means</w:t>
      </w:r>
      <w:r w:rsidRPr="00DF18AB">
        <w:rPr>
          <w:lang w:eastAsia="en-GB"/>
        </w:rPr>
        <w:t xml:space="preserve"> that they will be rewarded in </w:t>
      </w:r>
    </w:p>
    <w:p w:rsidR="00DF18AB" w:rsidRPr="00DF18AB" w:rsidRDefault="00DF18AB" w:rsidP="00DF18AB">
      <w:pPr>
        <w:numPr>
          <w:ilvl w:val="0"/>
          <w:numId w:val="53"/>
        </w:numPr>
        <w:rPr>
          <w:lang w:eastAsia="en-GB"/>
        </w:rPr>
      </w:pPr>
      <w:r w:rsidRPr="00DF18AB">
        <w:rPr>
          <w:lang w:eastAsia="en-GB"/>
        </w:rPr>
        <w:t xml:space="preserve">quarter 1 of FY18/19 for achievement of the three milestones set out below (this is because the CQUIN only applies to Acute providers from FY 18/19 onwards); and </w:t>
      </w:r>
    </w:p>
    <w:p w:rsidR="00DF18AB" w:rsidRPr="00DF18AB" w:rsidRDefault="00DF18AB" w:rsidP="00DF18AB">
      <w:pPr>
        <w:numPr>
          <w:ilvl w:val="0"/>
          <w:numId w:val="53"/>
        </w:numPr>
        <w:rPr>
          <w:lang w:eastAsia="en-GB"/>
        </w:rPr>
      </w:pPr>
      <w:r w:rsidRPr="00DF18AB">
        <w:rPr>
          <w:lang w:eastAsia="en-GB"/>
        </w:rPr>
        <w:t xml:space="preserve">quarter 2 of FY 18/19 (and any subsequent quarters in FY 18/19) according to performance across the indicators (partial payment rules set out below apply for Q2 FY 18/19 and onwards). </w:t>
      </w:r>
    </w:p>
    <w:p w:rsidR="00DF18AB" w:rsidRPr="00DF18AB" w:rsidRDefault="00DF18AB" w:rsidP="00DF18AB">
      <w:pPr>
        <w:rPr>
          <w:lang w:eastAsia="en-GB"/>
        </w:rPr>
      </w:pPr>
    </w:p>
    <w:tbl>
      <w:tblPr>
        <w:tblStyle w:val="TableGrid10"/>
        <w:tblW w:w="0" w:type="auto"/>
        <w:tblLayout w:type="fixed"/>
        <w:tblLook w:val="04A0" w:firstRow="1" w:lastRow="0" w:firstColumn="1" w:lastColumn="0" w:noHBand="0" w:noVBand="1"/>
        <w:tblCaption w:val="Indicator 9 milestones"/>
        <w:tblDescription w:val="Indicator 9 milestones detail"/>
      </w:tblPr>
      <w:tblGrid>
        <w:gridCol w:w="1809"/>
        <w:gridCol w:w="4253"/>
        <w:gridCol w:w="1701"/>
        <w:gridCol w:w="1417"/>
      </w:tblGrid>
      <w:tr w:rsidR="00DF18AB" w:rsidRPr="00DF18AB" w:rsidTr="00A15ABD">
        <w:trPr>
          <w:tblHeader/>
        </w:trPr>
        <w:tc>
          <w:tcPr>
            <w:tcW w:w="1809" w:type="dxa"/>
            <w:shd w:val="clear" w:color="auto" w:fill="0072C6" w:themeFill="accent1"/>
          </w:tcPr>
          <w:p w:rsidR="00DF18AB" w:rsidRPr="00DF18AB" w:rsidRDefault="00DF18AB" w:rsidP="00DF18AB">
            <w:pPr>
              <w:rPr>
                <w:rFonts w:cs="Arial"/>
                <w:b/>
                <w:color w:val="FFFFFF" w:themeColor="background1"/>
              </w:rPr>
            </w:pPr>
            <w:r w:rsidRPr="00DF18AB">
              <w:rPr>
                <w:rFonts w:cs="Arial"/>
                <w:b/>
                <w:color w:val="FFFFFF" w:themeColor="background1"/>
              </w:rPr>
              <w:t>Date/period milestone relates to</w:t>
            </w:r>
          </w:p>
        </w:tc>
        <w:tc>
          <w:tcPr>
            <w:tcW w:w="4253" w:type="dxa"/>
            <w:shd w:val="clear" w:color="auto" w:fill="0072C6" w:themeFill="accent1"/>
          </w:tcPr>
          <w:p w:rsidR="00DF18AB" w:rsidRPr="00DF18AB" w:rsidRDefault="00DF18AB" w:rsidP="00DF18AB">
            <w:pPr>
              <w:rPr>
                <w:rFonts w:cs="Arial"/>
                <w:b/>
                <w:color w:val="FFFFFF" w:themeColor="background1"/>
              </w:rPr>
            </w:pPr>
            <w:r w:rsidRPr="00DF18AB">
              <w:rPr>
                <w:rFonts w:cs="Arial"/>
                <w:b/>
                <w:color w:val="FFFFFF" w:themeColor="background1"/>
              </w:rPr>
              <w:t>Rules for achievement of milestones (including evidence to be supplied to commissioner)</w:t>
            </w:r>
          </w:p>
        </w:tc>
        <w:tc>
          <w:tcPr>
            <w:tcW w:w="1701" w:type="dxa"/>
            <w:shd w:val="clear" w:color="auto" w:fill="0072C6" w:themeFill="accent1"/>
          </w:tcPr>
          <w:p w:rsidR="00DF18AB" w:rsidRPr="00DF18AB" w:rsidRDefault="00DF18AB" w:rsidP="00DF18AB">
            <w:pPr>
              <w:rPr>
                <w:rFonts w:cs="Arial"/>
                <w:b/>
                <w:color w:val="FFFFFF" w:themeColor="background1"/>
              </w:rPr>
            </w:pPr>
            <w:r w:rsidRPr="00DF18AB">
              <w:rPr>
                <w:rFonts w:cs="Arial"/>
                <w:b/>
                <w:color w:val="FFFFFF" w:themeColor="background1"/>
              </w:rPr>
              <w:t>Date milestone to be reported</w:t>
            </w:r>
          </w:p>
        </w:tc>
        <w:tc>
          <w:tcPr>
            <w:tcW w:w="1417" w:type="dxa"/>
            <w:shd w:val="clear" w:color="auto" w:fill="0072C6" w:themeFill="accent1"/>
          </w:tcPr>
          <w:p w:rsidR="00DF18AB" w:rsidRPr="00DF18AB" w:rsidRDefault="00DF18AB" w:rsidP="00DF18AB">
            <w:pPr>
              <w:rPr>
                <w:rFonts w:cs="Arial"/>
                <w:b/>
                <w:color w:val="FFFFFF" w:themeColor="background1"/>
              </w:rPr>
            </w:pPr>
            <w:r w:rsidRPr="00DF18AB">
              <w:rPr>
                <w:rFonts w:cs="Arial"/>
                <w:b/>
                <w:color w:val="FFFFFF" w:themeColor="background1"/>
              </w:rPr>
              <w:t>Milestone weighting (% of CQUIN scheme available)</w:t>
            </w:r>
          </w:p>
        </w:tc>
      </w:tr>
      <w:tr w:rsidR="00DF18AB" w:rsidRPr="00DF18AB" w:rsidTr="00A15ABD">
        <w:tc>
          <w:tcPr>
            <w:tcW w:w="1809" w:type="dxa"/>
          </w:tcPr>
          <w:p w:rsidR="00DF18AB" w:rsidRPr="00DF18AB" w:rsidRDefault="00DF18AB" w:rsidP="00DF18AB">
            <w:pPr>
              <w:rPr>
                <w:b/>
                <w:lang w:eastAsia="en-GB"/>
              </w:rPr>
            </w:pPr>
            <w:r w:rsidRPr="00DF18AB">
              <w:rPr>
                <w:rFonts w:cs="Arial"/>
                <w:b/>
              </w:rPr>
              <w:t>End Q1</w:t>
            </w:r>
          </w:p>
        </w:tc>
        <w:tc>
          <w:tcPr>
            <w:tcW w:w="4253" w:type="dxa"/>
          </w:tcPr>
          <w:p w:rsidR="00DF18AB" w:rsidRPr="00DF18AB" w:rsidRDefault="00DF18AB" w:rsidP="00DF18AB">
            <w:pPr>
              <w:rPr>
                <w:szCs w:val="24"/>
              </w:rPr>
            </w:pPr>
            <w:r w:rsidRPr="00DF18AB">
              <w:rPr>
                <w:szCs w:val="24"/>
              </w:rPr>
              <w:t>Completed information systems audit</w:t>
            </w:r>
          </w:p>
          <w:p w:rsidR="00DF18AB" w:rsidRPr="00DF18AB" w:rsidRDefault="00DF18AB" w:rsidP="00DF18AB">
            <w:pPr>
              <w:rPr>
                <w:rFonts w:eastAsia="Calibri"/>
                <w:szCs w:val="24"/>
              </w:rPr>
            </w:pPr>
            <w:r w:rsidRPr="00DF18AB">
              <w:rPr>
                <w:rFonts w:eastAsia="Calibri"/>
                <w:szCs w:val="24"/>
              </w:rPr>
              <w:br/>
              <w:t>This milestone requires each provider to undertake an audit its existing information systems. This audit needs to set out:</w:t>
            </w:r>
          </w:p>
          <w:p w:rsidR="00DF18AB" w:rsidRPr="00DF18AB" w:rsidRDefault="00DF18AB" w:rsidP="00DF18AB">
            <w:pPr>
              <w:numPr>
                <w:ilvl w:val="0"/>
                <w:numId w:val="54"/>
              </w:numPr>
              <w:contextualSpacing/>
              <w:rPr>
                <w:rFonts w:eastAsia="Calibri"/>
                <w:szCs w:val="24"/>
              </w:rPr>
            </w:pPr>
            <w:r w:rsidRPr="00DF18AB">
              <w:rPr>
                <w:szCs w:val="24"/>
              </w:rPr>
              <w:t>w</w:t>
            </w:r>
            <w:r w:rsidRPr="00DF18AB">
              <w:rPr>
                <w:rFonts w:eastAsia="Calibri"/>
                <w:szCs w:val="24"/>
              </w:rPr>
              <w:t xml:space="preserve">hat the proposed mechanisms for collecting the required data for the indicators </w:t>
            </w:r>
            <w:r w:rsidRPr="00DF18AB">
              <w:rPr>
                <w:szCs w:val="24"/>
              </w:rPr>
              <w:t xml:space="preserve">are </w:t>
            </w:r>
            <w:r w:rsidRPr="00DF18AB">
              <w:rPr>
                <w:rFonts w:eastAsia="Calibri"/>
                <w:szCs w:val="24"/>
              </w:rPr>
              <w:t xml:space="preserve">/ will </w:t>
            </w:r>
            <w:r w:rsidRPr="00DF18AB">
              <w:rPr>
                <w:szCs w:val="24"/>
              </w:rPr>
              <w:t>for the respective provider</w:t>
            </w:r>
          </w:p>
          <w:p w:rsidR="00DF18AB" w:rsidRPr="00DF18AB" w:rsidRDefault="00DF18AB" w:rsidP="00DF18AB">
            <w:pPr>
              <w:numPr>
                <w:ilvl w:val="0"/>
                <w:numId w:val="54"/>
              </w:numPr>
              <w:contextualSpacing/>
              <w:rPr>
                <w:rFonts w:eastAsia="Calibri"/>
                <w:szCs w:val="24"/>
              </w:rPr>
            </w:pPr>
            <w:r w:rsidRPr="00DF18AB">
              <w:rPr>
                <w:szCs w:val="24"/>
              </w:rPr>
              <w:t>w</w:t>
            </w:r>
            <w:r w:rsidRPr="00DF18AB">
              <w:rPr>
                <w:rFonts w:eastAsia="Calibri"/>
                <w:szCs w:val="24"/>
              </w:rPr>
              <w:t xml:space="preserve">hat </w:t>
            </w:r>
            <w:r w:rsidRPr="00DF18AB">
              <w:rPr>
                <w:szCs w:val="24"/>
              </w:rPr>
              <w:t>(</w:t>
            </w:r>
            <w:r w:rsidRPr="00DF18AB">
              <w:rPr>
                <w:rFonts w:eastAsia="Calibri"/>
                <w:szCs w:val="24"/>
              </w:rPr>
              <w:t>if any</w:t>
            </w:r>
            <w:r w:rsidRPr="00DF18AB">
              <w:rPr>
                <w:szCs w:val="24"/>
              </w:rPr>
              <w:t>)</w:t>
            </w:r>
            <w:r w:rsidRPr="00DF18AB">
              <w:rPr>
                <w:rFonts w:eastAsia="Calibri"/>
                <w:szCs w:val="24"/>
              </w:rPr>
              <w:t xml:space="preserve"> changes have been made to the data capturing arrangements </w:t>
            </w:r>
            <w:r w:rsidRPr="00DF18AB">
              <w:rPr>
                <w:szCs w:val="24"/>
              </w:rPr>
              <w:t>/ information in order to enable the quarterly case note audits</w:t>
            </w:r>
          </w:p>
          <w:p w:rsidR="00DF18AB" w:rsidRPr="00DF18AB" w:rsidRDefault="00DF18AB" w:rsidP="00DF18AB">
            <w:pPr>
              <w:numPr>
                <w:ilvl w:val="0"/>
                <w:numId w:val="54"/>
              </w:numPr>
              <w:contextualSpacing/>
              <w:rPr>
                <w:rFonts w:eastAsia="Calibri"/>
                <w:szCs w:val="24"/>
              </w:rPr>
            </w:pPr>
            <w:r w:rsidRPr="00DF18AB">
              <w:rPr>
                <w:szCs w:val="24"/>
              </w:rPr>
              <w:t>the proposed approach for conducting the quarterly case note audits</w:t>
            </w:r>
            <w:r w:rsidRPr="00DF18AB">
              <w:rPr>
                <w:szCs w:val="24"/>
              </w:rPr>
              <w:br/>
              <w:t>(this should include details on potential data quality issues and any other risks; and set out mitigating actions for these to ensure that the case note audits yield accurate data on performance)</w:t>
            </w:r>
          </w:p>
          <w:p w:rsidR="00DF18AB" w:rsidRPr="00DF18AB" w:rsidRDefault="00DF18AB" w:rsidP="00DF18AB">
            <w:pPr>
              <w:rPr>
                <w:rFonts w:eastAsia="Calibri" w:cs="Arial"/>
                <w:szCs w:val="24"/>
              </w:rPr>
            </w:pPr>
            <w:r w:rsidRPr="00DF18AB">
              <w:rPr>
                <w:rFonts w:eastAsia="Calibri" w:cs="Arial"/>
                <w:szCs w:val="24"/>
              </w:rPr>
              <w:lastRenderedPageBreak/>
              <w:t>The audit needs to be shared with the commissioner by the reporting deadline (31 July 2017). Commissioners are responsible for ensuring that the audit meets the requirements set out above.</w:t>
            </w:r>
          </w:p>
          <w:p w:rsidR="00DF18AB" w:rsidRPr="00DF18AB" w:rsidRDefault="00DF18AB" w:rsidP="00DF18AB">
            <w:pPr>
              <w:rPr>
                <w:lang w:eastAsia="en-GB"/>
              </w:rPr>
            </w:pPr>
            <w:r w:rsidRPr="00DF18AB">
              <w:rPr>
                <w:rFonts w:eastAsia="Calibri" w:cs="Arial"/>
                <w:szCs w:val="24"/>
              </w:rPr>
              <w:t>Full payment of the CQUIN should be provided for audits that address all the requirements set out above. Audits that do not address all requirements will not attract payment.</w:t>
            </w:r>
          </w:p>
        </w:tc>
        <w:tc>
          <w:tcPr>
            <w:tcW w:w="1701" w:type="dxa"/>
          </w:tcPr>
          <w:p w:rsidR="00DF18AB" w:rsidRPr="00DF18AB" w:rsidRDefault="00DF18AB" w:rsidP="00DF18AB">
            <w:pPr>
              <w:rPr>
                <w:b/>
                <w:lang w:eastAsia="en-GB"/>
              </w:rPr>
            </w:pPr>
            <w:r w:rsidRPr="00DF18AB">
              <w:rPr>
                <w:rFonts w:cs="Arial"/>
              </w:rPr>
              <w:lastRenderedPageBreak/>
              <w:t>31 July 2017</w:t>
            </w:r>
          </w:p>
        </w:tc>
        <w:tc>
          <w:tcPr>
            <w:tcW w:w="1417" w:type="dxa"/>
          </w:tcPr>
          <w:p w:rsidR="00DF18AB" w:rsidRPr="00DF18AB" w:rsidRDefault="00DF18AB" w:rsidP="00DF18AB">
            <w:pPr>
              <w:rPr>
                <w:b/>
                <w:lang w:eastAsia="en-GB"/>
              </w:rPr>
            </w:pPr>
            <w:r w:rsidRPr="00DF18AB">
              <w:rPr>
                <w:rFonts w:cs="Arial"/>
              </w:rPr>
              <w:t>33% of Q1 CQUIN funds</w:t>
            </w:r>
          </w:p>
        </w:tc>
      </w:tr>
      <w:tr w:rsidR="00DF18AB" w:rsidRPr="00DF18AB" w:rsidTr="00A15ABD">
        <w:tc>
          <w:tcPr>
            <w:tcW w:w="1809" w:type="dxa"/>
          </w:tcPr>
          <w:p w:rsidR="00DF18AB" w:rsidRPr="00DF18AB" w:rsidRDefault="00DF18AB" w:rsidP="00DF18AB">
            <w:pPr>
              <w:rPr>
                <w:b/>
                <w:lang w:eastAsia="en-GB"/>
              </w:rPr>
            </w:pPr>
            <w:r w:rsidRPr="00DF18AB">
              <w:rPr>
                <w:rFonts w:eastAsia="Calibri" w:cs="Arial"/>
                <w:b/>
                <w:bCs w:val="0"/>
                <w:sz w:val="22"/>
                <w:szCs w:val="22"/>
              </w:rPr>
              <w:lastRenderedPageBreak/>
              <w:t>End Q1</w:t>
            </w:r>
          </w:p>
        </w:tc>
        <w:tc>
          <w:tcPr>
            <w:tcW w:w="4253" w:type="dxa"/>
          </w:tcPr>
          <w:p w:rsidR="00DF18AB" w:rsidRPr="00DF18AB" w:rsidRDefault="00DF18AB" w:rsidP="00DF18AB">
            <w:pPr>
              <w:rPr>
                <w:rFonts w:eastAsia="Calibri" w:cs="Arial"/>
                <w:b/>
                <w:szCs w:val="24"/>
              </w:rPr>
            </w:pPr>
            <w:r w:rsidRPr="00DF18AB">
              <w:rPr>
                <w:rFonts w:eastAsia="Calibri" w:cs="Arial"/>
                <w:b/>
                <w:szCs w:val="24"/>
              </w:rPr>
              <w:t>Completed brief advice training for relevant staff</w:t>
            </w:r>
          </w:p>
          <w:p w:rsidR="00DF18AB" w:rsidRPr="00DF18AB" w:rsidRDefault="00DF18AB" w:rsidP="00DF18AB">
            <w:pPr>
              <w:rPr>
                <w:rFonts w:eastAsia="Calibri" w:cs="Arial"/>
                <w:szCs w:val="24"/>
              </w:rPr>
            </w:pPr>
            <w:r w:rsidRPr="00DF18AB">
              <w:rPr>
                <w:rFonts w:eastAsia="Calibri" w:cs="Arial"/>
                <w:szCs w:val="24"/>
              </w:rPr>
              <w:t>This milestone requires each provider to establish and implement a brief advice training plan for relevant health professionals who are expected to provide brief advice. Providers will demonstrate achievement of this milestone by drafting a report which needs to contain details on:</w:t>
            </w:r>
          </w:p>
          <w:p w:rsidR="00DF18AB" w:rsidRPr="00DF18AB" w:rsidRDefault="00DF18AB" w:rsidP="00DF18AB">
            <w:pPr>
              <w:numPr>
                <w:ilvl w:val="0"/>
                <w:numId w:val="55"/>
              </w:numPr>
              <w:contextualSpacing/>
              <w:rPr>
                <w:rFonts w:eastAsia="Calibri" w:cs="Arial"/>
                <w:szCs w:val="24"/>
              </w:rPr>
            </w:pPr>
            <w:r w:rsidRPr="00DF18AB">
              <w:rPr>
                <w:rFonts w:eastAsia="Calibri" w:cs="Arial"/>
                <w:b/>
                <w:szCs w:val="24"/>
              </w:rPr>
              <w:t>A status quo capacity assessment</w:t>
            </w:r>
            <w:r w:rsidRPr="00DF18AB">
              <w:rPr>
                <w:rFonts w:eastAsia="Calibri" w:cs="Arial"/>
                <w:szCs w:val="24"/>
              </w:rPr>
              <w:t xml:space="preserve"> </w:t>
            </w:r>
            <w:r w:rsidRPr="00DF18AB">
              <w:rPr>
                <w:rFonts w:eastAsia="Calibri" w:cs="Arial"/>
                <w:szCs w:val="24"/>
              </w:rPr>
              <w:br/>
              <w:t xml:space="preserve">(i.e. identification of who the relevant </w:t>
            </w:r>
            <w:r w:rsidRPr="00DF18AB">
              <w:rPr>
                <w:rFonts w:cs="Arial"/>
                <w:szCs w:val="24"/>
              </w:rPr>
              <w:t xml:space="preserve">health professionals </w:t>
            </w:r>
            <w:r w:rsidRPr="00DF18AB">
              <w:rPr>
                <w:rFonts w:eastAsia="Calibri" w:cs="Arial"/>
                <w:szCs w:val="24"/>
              </w:rPr>
              <w:t xml:space="preserve">are to deliver brief advice and an assessment of the existing skills of those relevant </w:t>
            </w:r>
            <w:r w:rsidRPr="00DF18AB">
              <w:rPr>
                <w:rFonts w:cs="Arial"/>
                <w:szCs w:val="24"/>
              </w:rPr>
              <w:t xml:space="preserve">health professionals </w:t>
            </w:r>
            <w:r w:rsidRPr="00DF18AB">
              <w:rPr>
                <w:rFonts w:eastAsia="Calibri" w:cs="Arial"/>
                <w:szCs w:val="24"/>
              </w:rPr>
              <w:t>to deliver brief advice)</w:t>
            </w:r>
          </w:p>
          <w:p w:rsidR="00DF18AB" w:rsidRPr="00DF18AB" w:rsidRDefault="00DF18AB" w:rsidP="00DF18AB">
            <w:pPr>
              <w:numPr>
                <w:ilvl w:val="0"/>
                <w:numId w:val="55"/>
              </w:numPr>
              <w:contextualSpacing/>
              <w:rPr>
                <w:rFonts w:eastAsia="Calibri" w:cs="Arial"/>
                <w:szCs w:val="24"/>
              </w:rPr>
            </w:pPr>
            <w:r w:rsidRPr="00DF18AB">
              <w:rPr>
                <w:rFonts w:eastAsia="Calibri" w:cs="Arial"/>
                <w:b/>
                <w:szCs w:val="24"/>
              </w:rPr>
              <w:t>Who</w:t>
            </w:r>
            <w:r w:rsidRPr="00DF18AB">
              <w:rPr>
                <w:rFonts w:eastAsia="Calibri" w:cs="Arial"/>
                <w:szCs w:val="24"/>
              </w:rPr>
              <w:t xml:space="preserve"> is in scope to receive the training </w:t>
            </w:r>
            <w:r w:rsidRPr="00DF18AB">
              <w:rPr>
                <w:rFonts w:eastAsia="Calibri" w:cs="Arial"/>
                <w:szCs w:val="24"/>
              </w:rPr>
              <w:br/>
              <w:t>(</w:t>
            </w:r>
            <w:proofErr w:type="spellStart"/>
            <w:r w:rsidRPr="00DF18AB">
              <w:rPr>
                <w:rFonts w:eastAsia="Calibri" w:cs="Arial"/>
                <w:szCs w:val="24"/>
              </w:rPr>
              <w:t>ie</w:t>
            </w:r>
            <w:proofErr w:type="spellEnd"/>
            <w:r w:rsidRPr="00DF18AB">
              <w:rPr>
                <w:rFonts w:eastAsia="Calibri" w:cs="Arial"/>
                <w:szCs w:val="24"/>
              </w:rPr>
              <w:t xml:space="preserve"> based on the capacity assessment, identify individual or groups of health professionals  who would require training; and clinical leader(s) to act as ward or hospital “champions”)</w:t>
            </w:r>
          </w:p>
          <w:p w:rsidR="00DF18AB" w:rsidRPr="00DF18AB" w:rsidRDefault="00DF18AB" w:rsidP="00DF18AB">
            <w:pPr>
              <w:numPr>
                <w:ilvl w:val="0"/>
                <w:numId w:val="55"/>
              </w:numPr>
              <w:contextualSpacing/>
              <w:rPr>
                <w:rFonts w:eastAsia="Calibri" w:cs="Arial"/>
                <w:szCs w:val="24"/>
              </w:rPr>
            </w:pPr>
            <w:r w:rsidRPr="00DF18AB">
              <w:rPr>
                <w:rFonts w:eastAsia="Calibri" w:cs="Arial"/>
                <w:b/>
                <w:szCs w:val="24"/>
              </w:rPr>
              <w:t>What</w:t>
            </w:r>
            <w:r w:rsidRPr="00DF18AB">
              <w:rPr>
                <w:rFonts w:eastAsia="Calibri" w:cs="Arial"/>
                <w:szCs w:val="24"/>
              </w:rPr>
              <w:t xml:space="preserve"> the training entails </w:t>
            </w:r>
            <w:r w:rsidRPr="00DF18AB">
              <w:rPr>
                <w:rFonts w:eastAsia="Calibri" w:cs="Arial"/>
                <w:szCs w:val="24"/>
              </w:rPr>
              <w:br/>
              <w:t>(</w:t>
            </w:r>
            <w:proofErr w:type="spellStart"/>
            <w:r w:rsidRPr="00DF18AB">
              <w:rPr>
                <w:rFonts w:eastAsia="Calibri" w:cs="Arial"/>
                <w:szCs w:val="24"/>
              </w:rPr>
              <w:t>ie</w:t>
            </w:r>
            <w:proofErr w:type="spellEnd"/>
            <w:r w:rsidRPr="00DF18AB">
              <w:rPr>
                <w:rFonts w:eastAsia="Calibri" w:cs="Arial"/>
                <w:szCs w:val="24"/>
              </w:rPr>
              <w:t xml:space="preserve"> what components are included in the training, how is it sourced and who is to deliver </w:t>
            </w:r>
            <w:r w:rsidRPr="00DF18AB">
              <w:rPr>
                <w:rFonts w:eastAsia="Calibri" w:cs="Arial"/>
                <w:szCs w:val="24"/>
              </w:rPr>
              <w:lastRenderedPageBreak/>
              <w:t xml:space="preserve">the training </w:t>
            </w:r>
            <w:proofErr w:type="spellStart"/>
            <w:r w:rsidRPr="00DF18AB">
              <w:rPr>
                <w:rFonts w:eastAsia="Calibri" w:cs="Arial"/>
                <w:szCs w:val="24"/>
              </w:rPr>
              <w:t>incl</w:t>
            </w:r>
            <w:proofErr w:type="spellEnd"/>
            <w:r w:rsidRPr="00DF18AB">
              <w:rPr>
                <w:rFonts w:eastAsia="Calibri" w:cs="Arial"/>
                <w:szCs w:val="24"/>
              </w:rPr>
              <w:t xml:space="preserve"> the method of delivery)</w:t>
            </w:r>
          </w:p>
          <w:p w:rsidR="00DF18AB" w:rsidRPr="00DF18AB" w:rsidRDefault="00DF18AB" w:rsidP="00DF18AB">
            <w:pPr>
              <w:numPr>
                <w:ilvl w:val="0"/>
                <w:numId w:val="55"/>
              </w:numPr>
              <w:contextualSpacing/>
              <w:rPr>
                <w:rFonts w:eastAsia="Calibri" w:cs="Arial"/>
                <w:szCs w:val="24"/>
              </w:rPr>
            </w:pPr>
            <w:r w:rsidRPr="00DF18AB">
              <w:rPr>
                <w:rFonts w:eastAsia="Calibri" w:cs="Arial"/>
                <w:b/>
                <w:szCs w:val="24"/>
              </w:rPr>
              <w:t xml:space="preserve">How </w:t>
            </w:r>
            <w:r w:rsidRPr="00DF18AB">
              <w:rPr>
                <w:rFonts w:eastAsia="Calibri" w:cs="Arial"/>
                <w:szCs w:val="24"/>
              </w:rPr>
              <w:t>effective the training has been</w:t>
            </w:r>
            <w:r w:rsidRPr="00DF18AB">
              <w:rPr>
                <w:rFonts w:eastAsia="Calibri" w:cs="Arial"/>
                <w:szCs w:val="24"/>
              </w:rPr>
              <w:br/>
              <w:t>(</w:t>
            </w:r>
            <w:proofErr w:type="spellStart"/>
            <w:r w:rsidRPr="00DF18AB">
              <w:rPr>
                <w:rFonts w:eastAsia="Calibri" w:cs="Arial"/>
                <w:szCs w:val="24"/>
              </w:rPr>
              <w:t>ie</w:t>
            </w:r>
            <w:proofErr w:type="spellEnd"/>
            <w:r w:rsidRPr="00DF18AB">
              <w:rPr>
                <w:rFonts w:eastAsia="Calibri" w:cs="Arial"/>
                <w:szCs w:val="24"/>
              </w:rPr>
              <w:t xml:space="preserve"> assessment of how effective the training was through e.g. Self-assessment of participants after training completion)</w:t>
            </w:r>
          </w:p>
          <w:p w:rsidR="00DF18AB" w:rsidRPr="00DF18AB" w:rsidRDefault="00DF18AB" w:rsidP="00DF18AB">
            <w:pPr>
              <w:numPr>
                <w:ilvl w:val="0"/>
                <w:numId w:val="55"/>
              </w:numPr>
              <w:contextualSpacing/>
              <w:rPr>
                <w:rFonts w:eastAsia="Calibri" w:cs="Arial"/>
                <w:szCs w:val="24"/>
              </w:rPr>
            </w:pPr>
            <w:r w:rsidRPr="00DF18AB">
              <w:rPr>
                <w:rFonts w:eastAsia="Calibri" w:cs="Arial"/>
                <w:b/>
                <w:szCs w:val="24"/>
              </w:rPr>
              <w:t>When</w:t>
            </w:r>
            <w:r w:rsidRPr="00DF18AB">
              <w:rPr>
                <w:rFonts w:eastAsia="Calibri" w:cs="Arial"/>
                <w:szCs w:val="24"/>
              </w:rPr>
              <w:t xml:space="preserve"> the training has been delivered </w:t>
            </w:r>
            <w:r w:rsidRPr="00DF18AB">
              <w:rPr>
                <w:rFonts w:eastAsia="Calibri" w:cs="Arial"/>
                <w:szCs w:val="24"/>
              </w:rPr>
              <w:br/>
              <w:t>(</w:t>
            </w:r>
            <w:proofErr w:type="spellStart"/>
            <w:r w:rsidRPr="00DF18AB">
              <w:rPr>
                <w:rFonts w:eastAsia="Calibri" w:cs="Arial"/>
                <w:szCs w:val="24"/>
              </w:rPr>
              <w:t>ie</w:t>
            </w:r>
            <w:proofErr w:type="spellEnd"/>
            <w:r w:rsidRPr="00DF18AB">
              <w:rPr>
                <w:rFonts w:eastAsia="Calibri" w:cs="Arial"/>
                <w:szCs w:val="24"/>
              </w:rPr>
              <w:t xml:space="preserve"> training schedule and what groups were trained when; what processes are in place to deliver training for new starters; what process is in place to ensure that training is refreshed; it is expected that the majority of the training is completed by the end of Q1 but where this is not possible, plans for future training are required).</w:t>
            </w:r>
          </w:p>
          <w:p w:rsidR="00DF18AB" w:rsidRPr="00DF18AB" w:rsidRDefault="00DF18AB" w:rsidP="00DF18AB">
            <w:pPr>
              <w:ind w:left="360"/>
              <w:rPr>
                <w:rFonts w:eastAsia="Calibri" w:cs="Arial"/>
                <w:szCs w:val="24"/>
              </w:rPr>
            </w:pPr>
            <w:r w:rsidRPr="00DF18AB">
              <w:rPr>
                <w:rFonts w:eastAsia="Calibri" w:cs="Arial"/>
                <w:szCs w:val="24"/>
              </w:rPr>
              <w:t xml:space="preserve"> </w:t>
            </w:r>
          </w:p>
          <w:p w:rsidR="00DF18AB" w:rsidRPr="00DF18AB" w:rsidRDefault="00DF18AB" w:rsidP="00DF18AB">
            <w:pPr>
              <w:rPr>
                <w:rFonts w:eastAsia="Calibri" w:cs="Arial"/>
                <w:szCs w:val="24"/>
              </w:rPr>
            </w:pPr>
            <w:r w:rsidRPr="00DF18AB">
              <w:rPr>
                <w:rFonts w:eastAsia="Calibri" w:cs="Arial"/>
                <w:szCs w:val="24"/>
              </w:rPr>
              <w:t>The report needs to be shared with the commissioner by the reporting deadline (31 July 2017). Commissioners are responsible for ensuring that the report meets the requirements</w:t>
            </w:r>
            <w:r w:rsidRPr="00DF18AB">
              <w:rPr>
                <w:rFonts w:eastAsia="Calibri" w:cs="Arial"/>
                <w:sz w:val="18"/>
                <w:szCs w:val="18"/>
              </w:rPr>
              <w:t xml:space="preserve"> </w:t>
            </w:r>
            <w:r w:rsidRPr="00DF18AB">
              <w:rPr>
                <w:rFonts w:eastAsia="Calibri" w:cs="Arial"/>
                <w:szCs w:val="24"/>
              </w:rPr>
              <w:t>set out above.  Full payment of the CQUIN should be provided for reports that address all the 5 requirements set out above. Reports that do not address all requirements will not attract payment.</w:t>
            </w:r>
          </w:p>
        </w:tc>
        <w:tc>
          <w:tcPr>
            <w:tcW w:w="1701" w:type="dxa"/>
          </w:tcPr>
          <w:p w:rsidR="00DF18AB" w:rsidRPr="00DF18AB" w:rsidRDefault="00DF18AB" w:rsidP="00DF18AB">
            <w:pPr>
              <w:jc w:val="center"/>
              <w:rPr>
                <w:b/>
                <w:szCs w:val="24"/>
                <w:lang w:eastAsia="en-GB"/>
              </w:rPr>
            </w:pPr>
            <w:r w:rsidRPr="00DF18AB">
              <w:rPr>
                <w:rFonts w:cs="Arial"/>
                <w:szCs w:val="24"/>
              </w:rPr>
              <w:lastRenderedPageBreak/>
              <w:t>31 July 2017</w:t>
            </w:r>
          </w:p>
        </w:tc>
        <w:tc>
          <w:tcPr>
            <w:tcW w:w="1417" w:type="dxa"/>
          </w:tcPr>
          <w:p w:rsidR="00DF18AB" w:rsidRPr="00DF18AB" w:rsidRDefault="00DF18AB" w:rsidP="00DF18AB">
            <w:pPr>
              <w:rPr>
                <w:lang w:eastAsia="en-GB"/>
              </w:rPr>
            </w:pPr>
            <w:r w:rsidRPr="00DF18AB">
              <w:rPr>
                <w:lang w:eastAsia="en-GB"/>
              </w:rPr>
              <w:t>33% of Q1 CQUIN funds</w:t>
            </w:r>
          </w:p>
        </w:tc>
      </w:tr>
      <w:tr w:rsidR="00DF18AB" w:rsidRPr="00DF18AB" w:rsidTr="00A15ABD">
        <w:tc>
          <w:tcPr>
            <w:tcW w:w="1809" w:type="dxa"/>
          </w:tcPr>
          <w:p w:rsidR="00DF18AB" w:rsidRPr="00DF18AB" w:rsidRDefault="00DF18AB" w:rsidP="00DF18AB">
            <w:pPr>
              <w:rPr>
                <w:b/>
                <w:lang w:eastAsia="en-GB"/>
              </w:rPr>
            </w:pPr>
            <w:r w:rsidRPr="00DF18AB">
              <w:rPr>
                <w:rFonts w:cs="Arial"/>
                <w:b/>
              </w:rPr>
              <w:lastRenderedPageBreak/>
              <w:t>End Q1</w:t>
            </w:r>
          </w:p>
        </w:tc>
        <w:tc>
          <w:tcPr>
            <w:tcW w:w="4253" w:type="dxa"/>
          </w:tcPr>
          <w:p w:rsidR="00DF18AB" w:rsidRPr="00DF18AB" w:rsidRDefault="00DF18AB" w:rsidP="00DF18AB">
            <w:pPr>
              <w:rPr>
                <w:b/>
                <w:lang w:eastAsia="en-GB"/>
              </w:rPr>
            </w:pPr>
            <w:r w:rsidRPr="00DF18AB">
              <w:rPr>
                <w:b/>
                <w:lang w:eastAsia="en-GB"/>
              </w:rPr>
              <w:t>Collected relevant data to establish baseline for all indicators</w:t>
            </w:r>
          </w:p>
          <w:p w:rsidR="00DF18AB" w:rsidRPr="00DF18AB" w:rsidRDefault="00DF18AB" w:rsidP="00DF18AB">
            <w:pPr>
              <w:rPr>
                <w:b/>
                <w:lang w:eastAsia="en-GB"/>
              </w:rPr>
            </w:pPr>
          </w:p>
          <w:p w:rsidR="00DF18AB" w:rsidRPr="00DF18AB" w:rsidRDefault="00DF18AB" w:rsidP="00DF18AB">
            <w:pPr>
              <w:rPr>
                <w:lang w:eastAsia="en-GB"/>
              </w:rPr>
            </w:pPr>
            <w:r w:rsidRPr="00DF18AB">
              <w:rPr>
                <w:lang w:eastAsia="en-GB"/>
              </w:rPr>
              <w:t>This milestone requires each provider to collect the required data for each indicator of the CQUIN to establish a baseline performance level.</w:t>
            </w:r>
          </w:p>
          <w:p w:rsidR="00DF18AB" w:rsidRPr="00DF18AB" w:rsidRDefault="00DF18AB" w:rsidP="00DF18AB">
            <w:pPr>
              <w:rPr>
                <w:lang w:eastAsia="en-GB"/>
              </w:rPr>
            </w:pPr>
            <w:r w:rsidRPr="00DF18AB">
              <w:rPr>
                <w:lang w:eastAsia="en-GB"/>
              </w:rPr>
              <w:t xml:space="preserve">Full payment of the CQUIN should be awarded to those organisations that </w:t>
            </w:r>
            <w:r w:rsidRPr="00DF18AB">
              <w:rPr>
                <w:lang w:eastAsia="en-GB"/>
              </w:rPr>
              <w:lastRenderedPageBreak/>
              <w:t>can establish a credible baseline level of performance across all indicators. Where baseline data is not available for all of the indicators, no payment will be made.</w:t>
            </w:r>
          </w:p>
          <w:p w:rsidR="00DF18AB" w:rsidRPr="00DF18AB" w:rsidRDefault="00DF18AB" w:rsidP="00DF18AB">
            <w:pPr>
              <w:rPr>
                <w:b/>
                <w:lang w:eastAsia="en-GB"/>
              </w:rPr>
            </w:pPr>
            <w:r w:rsidRPr="00DF18AB">
              <w:rPr>
                <w:lang w:eastAsia="en-GB"/>
              </w:rPr>
              <w:t>Note that in exceptional cases where providers may not be able to establish baseline data in Q1, they may – following agreement with providers – be able to establish their baseline in Q2 in order to participate in future quarters of the CQUIN.</w:t>
            </w:r>
          </w:p>
        </w:tc>
        <w:tc>
          <w:tcPr>
            <w:tcW w:w="1701" w:type="dxa"/>
          </w:tcPr>
          <w:p w:rsidR="00DF18AB" w:rsidRPr="00DF18AB" w:rsidRDefault="00DF18AB" w:rsidP="00DF18AB">
            <w:pPr>
              <w:rPr>
                <w:b/>
                <w:lang w:eastAsia="en-GB"/>
              </w:rPr>
            </w:pPr>
            <w:r w:rsidRPr="00DF18AB">
              <w:rPr>
                <w:rFonts w:cs="Arial"/>
              </w:rPr>
              <w:lastRenderedPageBreak/>
              <w:t>31 July 2017</w:t>
            </w:r>
          </w:p>
        </w:tc>
        <w:tc>
          <w:tcPr>
            <w:tcW w:w="1417" w:type="dxa"/>
          </w:tcPr>
          <w:p w:rsidR="00DF18AB" w:rsidRPr="00DF18AB" w:rsidRDefault="00DF18AB" w:rsidP="00DF18AB">
            <w:pPr>
              <w:rPr>
                <w:b/>
                <w:lang w:eastAsia="en-GB"/>
              </w:rPr>
            </w:pPr>
            <w:r w:rsidRPr="00DF18AB">
              <w:rPr>
                <w:rFonts w:cs="Arial"/>
              </w:rPr>
              <w:t>33% of Q1 CQUIN funds</w:t>
            </w:r>
          </w:p>
        </w:tc>
      </w:tr>
    </w:tbl>
    <w:p w:rsidR="00DF18AB" w:rsidRPr="00DF18AB" w:rsidRDefault="00DF18AB" w:rsidP="00DF18AB">
      <w:pPr>
        <w:rPr>
          <w:lang w:eastAsia="en-GB"/>
        </w:rPr>
      </w:pPr>
    </w:p>
    <w:p w:rsidR="00DF18AB" w:rsidRPr="00DF18AB" w:rsidRDefault="00DF18AB" w:rsidP="00DF18AB">
      <w:pPr>
        <w:keepNext/>
        <w:keepLines/>
        <w:outlineLvl w:val="3"/>
        <w:rPr>
          <w:rFonts w:eastAsiaTheme="majorEastAsia" w:cstheme="majorBidi"/>
          <w:b/>
          <w:bCs w:val="0"/>
          <w:iCs/>
          <w:color w:val="A00054" w:themeColor="accent2"/>
          <w:lang w:eastAsia="en-GB"/>
        </w:rPr>
      </w:pPr>
      <w:r w:rsidRPr="00DF18AB">
        <w:rPr>
          <w:rFonts w:eastAsiaTheme="majorEastAsia" w:cstheme="majorBidi"/>
          <w:b/>
          <w:bCs w:val="0"/>
          <w:iCs/>
          <w:color w:val="A00054" w:themeColor="accent2"/>
          <w:lang w:eastAsia="en-GB"/>
        </w:rPr>
        <w:t>Rules for partial achievement of indicator 9a-e (note that these apply from Q2 onwards)</w:t>
      </w:r>
    </w:p>
    <w:p w:rsidR="00DF18AB" w:rsidRPr="00DF18AB" w:rsidRDefault="00DF18AB" w:rsidP="00DF18AB">
      <w:pPr>
        <w:rPr>
          <w:lang w:eastAsia="en-GB"/>
        </w:rPr>
      </w:pPr>
    </w:p>
    <w:tbl>
      <w:tblPr>
        <w:tblW w:w="4946" w:type="pct"/>
        <w:tblLook w:val="0000" w:firstRow="0" w:lastRow="0" w:firstColumn="0" w:lastColumn="0" w:noHBand="0" w:noVBand="0"/>
      </w:tblPr>
      <w:tblGrid>
        <w:gridCol w:w="4843"/>
        <w:gridCol w:w="793"/>
        <w:gridCol w:w="850"/>
        <w:gridCol w:w="852"/>
        <w:gridCol w:w="852"/>
        <w:gridCol w:w="990"/>
      </w:tblGrid>
      <w:tr w:rsidR="00DF18AB" w:rsidRPr="00DF18AB" w:rsidTr="00593B8C">
        <w:trPr>
          <w:trHeight w:val="476"/>
          <w:tblHeader/>
        </w:trPr>
        <w:tc>
          <w:tcPr>
            <w:tcW w:w="2638" w:type="pct"/>
            <w:tcBorders>
              <w:top w:val="single" w:sz="4" w:space="0" w:color="auto"/>
              <w:left w:val="single" w:sz="4" w:space="0" w:color="auto"/>
              <w:bottom w:val="single" w:sz="4" w:space="0" w:color="auto"/>
              <w:right w:val="nil"/>
            </w:tcBorders>
            <w:shd w:val="clear" w:color="auto" w:fill="0070C0"/>
            <w:noWrap/>
          </w:tcPr>
          <w:p w:rsidR="00DF18AB" w:rsidRPr="00DF18AB" w:rsidRDefault="00DF18AB" w:rsidP="00DF18AB">
            <w:pPr>
              <w:rPr>
                <w:rFonts w:cs="Arial"/>
                <w:b/>
                <w:bCs w:val="0"/>
                <w:color w:val="FFFFFF"/>
                <w:lang w:eastAsia="en-GB"/>
              </w:rPr>
            </w:pPr>
          </w:p>
        </w:tc>
        <w:tc>
          <w:tcPr>
            <w:tcW w:w="2362" w:type="pct"/>
            <w:gridSpan w:val="5"/>
            <w:tcBorders>
              <w:top w:val="single" w:sz="4" w:space="0" w:color="auto"/>
              <w:left w:val="single" w:sz="4" w:space="0" w:color="auto"/>
              <w:bottom w:val="single" w:sz="4" w:space="0" w:color="auto"/>
              <w:right w:val="single" w:sz="4" w:space="0" w:color="auto"/>
            </w:tcBorders>
            <w:shd w:val="clear" w:color="auto" w:fill="0070C0"/>
          </w:tcPr>
          <w:p w:rsidR="00DF18AB" w:rsidRPr="00DF18AB" w:rsidRDefault="00DF18AB" w:rsidP="00DF18AB">
            <w:pPr>
              <w:jc w:val="center"/>
              <w:rPr>
                <w:rFonts w:cs="Arial"/>
                <w:b/>
                <w:bCs w:val="0"/>
                <w:color w:val="FFFFFF"/>
                <w:lang w:eastAsia="en-GB"/>
              </w:rPr>
            </w:pPr>
            <w:r w:rsidRPr="00DF18AB">
              <w:rPr>
                <w:rFonts w:cs="Arial"/>
                <w:b/>
                <w:color w:val="FFFFFF"/>
                <w:lang w:eastAsia="en-GB"/>
              </w:rPr>
              <w:t>% of CQUIN scheme available for meeting final indicator value</w:t>
            </w:r>
          </w:p>
        </w:tc>
      </w:tr>
      <w:tr w:rsidR="00DF18AB" w:rsidRPr="00DF18AB" w:rsidTr="00593B8C">
        <w:trPr>
          <w:trHeight w:val="476"/>
          <w:tblHeader/>
        </w:trPr>
        <w:tc>
          <w:tcPr>
            <w:tcW w:w="2638" w:type="pct"/>
            <w:tcBorders>
              <w:top w:val="single" w:sz="4" w:space="0" w:color="auto"/>
              <w:left w:val="single" w:sz="4" w:space="0" w:color="auto"/>
              <w:bottom w:val="single" w:sz="4" w:space="0" w:color="auto"/>
              <w:right w:val="nil"/>
            </w:tcBorders>
            <w:shd w:val="clear" w:color="auto" w:fill="0070C0"/>
            <w:noWrap/>
          </w:tcPr>
          <w:p w:rsidR="00DF18AB" w:rsidRPr="00DF18AB" w:rsidRDefault="00DF18AB" w:rsidP="00DF18AB">
            <w:pPr>
              <w:rPr>
                <w:rFonts w:cs="Arial"/>
                <w:b/>
                <w:color w:val="FFFFFF"/>
                <w:lang w:eastAsia="en-GB"/>
              </w:rPr>
            </w:pPr>
            <w:r w:rsidRPr="00DF18AB">
              <w:rPr>
                <w:rFonts w:cs="Arial"/>
                <w:b/>
                <w:color w:val="FFFFFF"/>
                <w:lang w:eastAsia="en-GB"/>
              </w:rPr>
              <w:t xml:space="preserve">Final indicator value for the partial </w:t>
            </w:r>
          </w:p>
          <w:p w:rsidR="00DF18AB" w:rsidRPr="00DF18AB" w:rsidRDefault="00DF18AB" w:rsidP="00DF18AB">
            <w:pPr>
              <w:rPr>
                <w:rFonts w:cs="Arial"/>
                <w:b/>
                <w:bCs w:val="0"/>
                <w:color w:val="FFFFFF"/>
                <w:lang w:eastAsia="en-GB"/>
              </w:rPr>
            </w:pPr>
            <w:r w:rsidRPr="00DF18AB">
              <w:rPr>
                <w:rFonts w:cs="Arial"/>
                <w:b/>
                <w:color w:val="FFFFFF"/>
                <w:lang w:eastAsia="en-GB"/>
              </w:rPr>
              <w:t>achievement threshold</w:t>
            </w:r>
          </w:p>
        </w:tc>
        <w:tc>
          <w:tcPr>
            <w:tcW w:w="432" w:type="pct"/>
            <w:tcBorders>
              <w:top w:val="single" w:sz="4" w:space="0" w:color="auto"/>
              <w:left w:val="single" w:sz="4" w:space="0" w:color="auto"/>
              <w:bottom w:val="single" w:sz="4" w:space="0" w:color="auto"/>
              <w:right w:val="single" w:sz="4" w:space="0" w:color="auto"/>
            </w:tcBorders>
            <w:shd w:val="clear" w:color="auto" w:fill="0070C0"/>
          </w:tcPr>
          <w:p w:rsidR="00DF18AB" w:rsidRPr="00DF18AB" w:rsidRDefault="00DF18AB" w:rsidP="00DF18AB">
            <w:pPr>
              <w:jc w:val="center"/>
              <w:rPr>
                <w:rFonts w:cs="Arial"/>
                <w:b/>
                <w:bCs w:val="0"/>
                <w:color w:val="FFFFFF"/>
                <w:lang w:eastAsia="en-GB"/>
              </w:rPr>
            </w:pPr>
            <w:r w:rsidRPr="00DF18AB">
              <w:rPr>
                <w:rFonts w:cs="Arial"/>
                <w:b/>
                <w:bCs w:val="0"/>
                <w:color w:val="FFFFFF"/>
                <w:lang w:eastAsia="en-GB"/>
              </w:rPr>
              <w:t>9a</w:t>
            </w:r>
          </w:p>
        </w:tc>
        <w:tc>
          <w:tcPr>
            <w:tcW w:w="463" w:type="pct"/>
            <w:tcBorders>
              <w:top w:val="single" w:sz="4" w:space="0" w:color="auto"/>
              <w:left w:val="single" w:sz="4" w:space="0" w:color="auto"/>
              <w:bottom w:val="single" w:sz="4" w:space="0" w:color="auto"/>
              <w:right w:val="single" w:sz="4" w:space="0" w:color="auto"/>
            </w:tcBorders>
            <w:shd w:val="clear" w:color="auto" w:fill="0070C0"/>
          </w:tcPr>
          <w:p w:rsidR="00DF18AB" w:rsidRPr="00DF18AB" w:rsidRDefault="00DF18AB" w:rsidP="00DF18AB">
            <w:pPr>
              <w:jc w:val="center"/>
              <w:rPr>
                <w:rFonts w:cs="Arial"/>
                <w:b/>
                <w:color w:val="FFFFFF"/>
                <w:lang w:eastAsia="en-GB"/>
              </w:rPr>
            </w:pPr>
            <w:r w:rsidRPr="00DF18AB">
              <w:rPr>
                <w:rFonts w:cs="Arial"/>
                <w:b/>
                <w:color w:val="FFFFFF"/>
                <w:lang w:eastAsia="en-GB"/>
              </w:rPr>
              <w:t>9b</w:t>
            </w:r>
          </w:p>
        </w:tc>
        <w:tc>
          <w:tcPr>
            <w:tcW w:w="464" w:type="pct"/>
            <w:tcBorders>
              <w:top w:val="single" w:sz="4" w:space="0" w:color="auto"/>
              <w:left w:val="single" w:sz="4" w:space="0" w:color="auto"/>
              <w:bottom w:val="single" w:sz="4" w:space="0" w:color="auto"/>
              <w:right w:val="single" w:sz="4" w:space="0" w:color="auto"/>
            </w:tcBorders>
            <w:shd w:val="clear" w:color="auto" w:fill="0070C0"/>
          </w:tcPr>
          <w:p w:rsidR="00DF18AB" w:rsidRPr="00DF18AB" w:rsidRDefault="00DF18AB" w:rsidP="00DF18AB">
            <w:pPr>
              <w:jc w:val="center"/>
              <w:rPr>
                <w:rFonts w:cs="Arial"/>
                <w:b/>
                <w:color w:val="FFFFFF"/>
                <w:lang w:eastAsia="en-GB"/>
              </w:rPr>
            </w:pPr>
            <w:r w:rsidRPr="00DF18AB">
              <w:rPr>
                <w:rFonts w:cs="Arial"/>
                <w:b/>
                <w:color w:val="FFFFFF"/>
                <w:lang w:eastAsia="en-GB"/>
              </w:rPr>
              <w:t>9c</w:t>
            </w:r>
          </w:p>
        </w:tc>
        <w:tc>
          <w:tcPr>
            <w:tcW w:w="464" w:type="pct"/>
            <w:tcBorders>
              <w:top w:val="single" w:sz="4" w:space="0" w:color="auto"/>
              <w:left w:val="single" w:sz="4" w:space="0" w:color="auto"/>
              <w:bottom w:val="single" w:sz="4" w:space="0" w:color="auto"/>
              <w:right w:val="single" w:sz="4" w:space="0" w:color="auto"/>
            </w:tcBorders>
            <w:shd w:val="clear" w:color="auto" w:fill="0070C0"/>
          </w:tcPr>
          <w:p w:rsidR="00DF18AB" w:rsidRPr="00DF18AB" w:rsidRDefault="00DF18AB" w:rsidP="00DF18AB">
            <w:pPr>
              <w:jc w:val="center"/>
              <w:rPr>
                <w:rFonts w:cs="Arial"/>
                <w:b/>
                <w:color w:val="FFFFFF"/>
                <w:lang w:eastAsia="en-GB"/>
              </w:rPr>
            </w:pPr>
            <w:r w:rsidRPr="00DF18AB">
              <w:rPr>
                <w:rFonts w:cs="Arial"/>
                <w:b/>
                <w:color w:val="FFFFFF"/>
                <w:lang w:eastAsia="en-GB"/>
              </w:rPr>
              <w:t>9d</w:t>
            </w:r>
          </w:p>
        </w:tc>
        <w:tc>
          <w:tcPr>
            <w:tcW w:w="539" w:type="pct"/>
            <w:tcBorders>
              <w:top w:val="single" w:sz="4" w:space="0" w:color="auto"/>
              <w:left w:val="single" w:sz="4" w:space="0" w:color="auto"/>
              <w:bottom w:val="single" w:sz="4" w:space="0" w:color="auto"/>
              <w:right w:val="single" w:sz="4" w:space="0" w:color="auto"/>
            </w:tcBorders>
            <w:shd w:val="clear" w:color="auto" w:fill="0070C0"/>
          </w:tcPr>
          <w:p w:rsidR="00DF18AB" w:rsidRPr="00DF18AB" w:rsidRDefault="00DF18AB" w:rsidP="00DF18AB">
            <w:pPr>
              <w:jc w:val="center"/>
              <w:rPr>
                <w:rFonts w:cs="Arial"/>
                <w:b/>
                <w:color w:val="FFFFFF"/>
                <w:lang w:eastAsia="en-GB"/>
              </w:rPr>
            </w:pPr>
            <w:r w:rsidRPr="00DF18AB">
              <w:rPr>
                <w:rFonts w:cs="Arial"/>
                <w:b/>
                <w:color w:val="FFFFFF"/>
                <w:lang w:eastAsia="en-GB"/>
              </w:rPr>
              <w:t>9e</w:t>
            </w:r>
          </w:p>
          <w:p w:rsidR="00DF18AB" w:rsidRPr="00DF18AB" w:rsidRDefault="00DF18AB" w:rsidP="00DF18AB">
            <w:pPr>
              <w:jc w:val="center"/>
              <w:rPr>
                <w:rFonts w:cs="Arial"/>
                <w:b/>
                <w:color w:val="FFFFFF"/>
                <w:lang w:eastAsia="en-GB"/>
              </w:rPr>
            </w:pPr>
          </w:p>
        </w:tc>
      </w:tr>
      <w:tr w:rsidR="00DF18AB" w:rsidRPr="00DF18AB" w:rsidTr="00593B8C">
        <w:trPr>
          <w:trHeight w:val="237"/>
        </w:trPr>
        <w:tc>
          <w:tcPr>
            <w:tcW w:w="2638" w:type="pct"/>
            <w:tcBorders>
              <w:top w:val="nil"/>
              <w:left w:val="single" w:sz="4" w:space="0" w:color="auto"/>
              <w:bottom w:val="single" w:sz="4" w:space="0" w:color="auto"/>
              <w:right w:val="nil"/>
            </w:tcBorders>
          </w:tcPr>
          <w:p w:rsidR="00DF18AB" w:rsidRPr="00DF18AB" w:rsidRDefault="00DF18AB" w:rsidP="00DF18AB">
            <w:pPr>
              <w:jc w:val="center"/>
              <w:rPr>
                <w:rFonts w:eastAsia="Calibri" w:cs="Arial"/>
                <w:b/>
                <w:szCs w:val="22"/>
              </w:rPr>
            </w:pPr>
            <w:r w:rsidRPr="00DF18AB">
              <w:rPr>
                <w:rFonts w:eastAsia="Calibri" w:cs="Arial"/>
                <w:b/>
                <w:szCs w:val="22"/>
              </w:rPr>
              <w:t>100%</w:t>
            </w:r>
          </w:p>
        </w:tc>
        <w:tc>
          <w:tcPr>
            <w:tcW w:w="432" w:type="pct"/>
            <w:tcBorders>
              <w:top w:val="nil"/>
              <w:left w:val="single" w:sz="4" w:space="0" w:color="auto"/>
              <w:bottom w:val="single" w:sz="4" w:space="0" w:color="auto"/>
              <w:right w:val="single" w:sz="4" w:space="0" w:color="auto"/>
            </w:tcBorders>
          </w:tcPr>
          <w:p w:rsidR="00DF18AB" w:rsidRPr="00DF18AB" w:rsidRDefault="00DF18AB" w:rsidP="00DF18AB">
            <w:pPr>
              <w:jc w:val="center"/>
              <w:rPr>
                <w:rFonts w:cs="Arial"/>
                <w:b/>
                <w:szCs w:val="22"/>
              </w:rPr>
            </w:pPr>
            <w:r w:rsidRPr="00DF18AB">
              <w:rPr>
                <w:rFonts w:cs="Arial"/>
                <w:b/>
                <w:szCs w:val="22"/>
              </w:rPr>
              <w:t xml:space="preserve">5% </w:t>
            </w:r>
          </w:p>
        </w:tc>
        <w:tc>
          <w:tcPr>
            <w:tcW w:w="463" w:type="pct"/>
            <w:tcBorders>
              <w:top w:val="nil"/>
              <w:left w:val="single" w:sz="4" w:space="0" w:color="auto"/>
              <w:bottom w:val="single" w:sz="4" w:space="0" w:color="auto"/>
              <w:right w:val="single" w:sz="4" w:space="0" w:color="auto"/>
            </w:tcBorders>
          </w:tcPr>
          <w:p w:rsidR="00DF18AB" w:rsidRPr="00DF18AB" w:rsidRDefault="00DF18AB" w:rsidP="00DF18AB">
            <w:pPr>
              <w:jc w:val="center"/>
              <w:rPr>
                <w:rFonts w:cs="Arial"/>
                <w:b/>
                <w:szCs w:val="22"/>
              </w:rPr>
            </w:pPr>
            <w:r w:rsidRPr="00DF18AB">
              <w:rPr>
                <w:rFonts w:cs="Arial"/>
                <w:b/>
                <w:szCs w:val="22"/>
              </w:rPr>
              <w:t>20%</w:t>
            </w:r>
          </w:p>
        </w:tc>
        <w:tc>
          <w:tcPr>
            <w:tcW w:w="464" w:type="pct"/>
            <w:tcBorders>
              <w:top w:val="nil"/>
              <w:left w:val="single" w:sz="4" w:space="0" w:color="auto"/>
              <w:bottom w:val="single" w:sz="4" w:space="0" w:color="auto"/>
              <w:right w:val="single" w:sz="4" w:space="0" w:color="auto"/>
            </w:tcBorders>
          </w:tcPr>
          <w:p w:rsidR="00DF18AB" w:rsidRPr="00DF18AB" w:rsidRDefault="00DF18AB" w:rsidP="00DF18AB">
            <w:pPr>
              <w:jc w:val="center"/>
              <w:rPr>
                <w:rFonts w:cs="Arial"/>
                <w:b/>
                <w:szCs w:val="22"/>
              </w:rPr>
            </w:pPr>
            <w:r w:rsidRPr="00DF18AB">
              <w:rPr>
                <w:rFonts w:cs="Arial"/>
                <w:b/>
                <w:szCs w:val="22"/>
              </w:rPr>
              <w:t>25%</w:t>
            </w:r>
          </w:p>
        </w:tc>
        <w:tc>
          <w:tcPr>
            <w:tcW w:w="464" w:type="pct"/>
            <w:tcBorders>
              <w:top w:val="nil"/>
              <w:left w:val="single" w:sz="4" w:space="0" w:color="auto"/>
              <w:bottom w:val="single" w:sz="4" w:space="0" w:color="auto"/>
              <w:right w:val="single" w:sz="4" w:space="0" w:color="auto"/>
            </w:tcBorders>
          </w:tcPr>
          <w:p w:rsidR="00DF18AB" w:rsidRPr="00DF18AB" w:rsidRDefault="00DF18AB" w:rsidP="00DF18AB">
            <w:pPr>
              <w:jc w:val="center"/>
              <w:rPr>
                <w:rFonts w:cs="Arial"/>
                <w:b/>
                <w:szCs w:val="22"/>
              </w:rPr>
            </w:pPr>
            <w:r w:rsidRPr="00DF18AB">
              <w:rPr>
                <w:rFonts w:cs="Arial"/>
                <w:b/>
                <w:szCs w:val="22"/>
              </w:rPr>
              <w:t>25%</w:t>
            </w:r>
          </w:p>
        </w:tc>
        <w:tc>
          <w:tcPr>
            <w:tcW w:w="539" w:type="pct"/>
            <w:tcBorders>
              <w:top w:val="nil"/>
              <w:left w:val="single" w:sz="4" w:space="0" w:color="auto"/>
              <w:bottom w:val="single" w:sz="4" w:space="0" w:color="auto"/>
              <w:right w:val="single" w:sz="4" w:space="0" w:color="auto"/>
            </w:tcBorders>
          </w:tcPr>
          <w:p w:rsidR="00DF18AB" w:rsidRPr="00DF18AB" w:rsidRDefault="00DF18AB" w:rsidP="00DF18AB">
            <w:pPr>
              <w:jc w:val="center"/>
              <w:rPr>
                <w:rFonts w:cs="Arial"/>
                <w:b/>
                <w:szCs w:val="22"/>
              </w:rPr>
            </w:pPr>
            <w:r w:rsidRPr="00DF18AB">
              <w:rPr>
                <w:rFonts w:cs="Arial"/>
                <w:b/>
                <w:szCs w:val="22"/>
              </w:rPr>
              <w:t>25%</w:t>
            </w:r>
          </w:p>
        </w:tc>
      </w:tr>
      <w:tr w:rsidR="00DF18AB" w:rsidRPr="00DF18AB" w:rsidTr="00593B8C">
        <w:trPr>
          <w:trHeight w:val="237"/>
        </w:trPr>
        <w:tc>
          <w:tcPr>
            <w:tcW w:w="2638" w:type="pct"/>
            <w:tcBorders>
              <w:top w:val="nil"/>
              <w:left w:val="single" w:sz="4" w:space="0" w:color="auto"/>
              <w:bottom w:val="single" w:sz="4" w:space="0" w:color="auto"/>
              <w:right w:val="nil"/>
            </w:tcBorders>
          </w:tcPr>
          <w:p w:rsidR="00DF18AB" w:rsidRPr="00DF18AB" w:rsidRDefault="00DF18AB" w:rsidP="00DF18AB">
            <w:pPr>
              <w:jc w:val="center"/>
              <w:rPr>
                <w:rFonts w:eastAsia="Calibri" w:cs="Arial"/>
                <w:b/>
                <w:szCs w:val="22"/>
              </w:rPr>
            </w:pPr>
            <w:r w:rsidRPr="00DF18AB">
              <w:rPr>
                <w:rFonts w:eastAsia="Calibri" w:cs="Arial"/>
                <w:b/>
                <w:szCs w:val="22"/>
              </w:rPr>
              <w:t>for those achieving below 100% of target / final indicator value</w:t>
            </w:r>
          </w:p>
        </w:tc>
        <w:tc>
          <w:tcPr>
            <w:tcW w:w="2362" w:type="pct"/>
            <w:gridSpan w:val="5"/>
            <w:tcBorders>
              <w:top w:val="nil"/>
              <w:left w:val="single" w:sz="4" w:space="0" w:color="auto"/>
              <w:bottom w:val="single" w:sz="4" w:space="0" w:color="auto"/>
              <w:right w:val="single" w:sz="4" w:space="0" w:color="auto"/>
            </w:tcBorders>
          </w:tcPr>
          <w:p w:rsidR="00DF18AB" w:rsidRPr="00DF18AB" w:rsidRDefault="00DF18AB" w:rsidP="00DF18AB">
            <w:pPr>
              <w:rPr>
                <w:rFonts w:cs="Arial"/>
                <w:b/>
                <w:szCs w:val="22"/>
              </w:rPr>
            </w:pPr>
          </w:p>
        </w:tc>
      </w:tr>
      <w:tr w:rsidR="00DF18AB" w:rsidRPr="00DF18AB" w:rsidTr="00593B8C">
        <w:trPr>
          <w:trHeight w:val="237"/>
        </w:trPr>
        <w:tc>
          <w:tcPr>
            <w:tcW w:w="2638" w:type="pct"/>
            <w:tcBorders>
              <w:top w:val="nil"/>
              <w:left w:val="single" w:sz="4" w:space="0" w:color="auto"/>
              <w:bottom w:val="single" w:sz="4" w:space="0" w:color="auto"/>
              <w:right w:val="nil"/>
            </w:tcBorders>
          </w:tcPr>
          <w:p w:rsidR="00DF18AB" w:rsidRPr="00DF18AB" w:rsidRDefault="00DF18AB" w:rsidP="009F6929">
            <w:pPr>
              <w:jc w:val="center"/>
              <w:rPr>
                <w:rFonts w:cs="Arial"/>
              </w:rPr>
            </w:pPr>
            <w:r w:rsidRPr="00DF18AB">
              <w:rPr>
                <w:rFonts w:cs="Arial"/>
              </w:rPr>
              <w:t>10% p</w:t>
            </w:r>
            <w:r w:rsidR="009F6929">
              <w:rPr>
                <w:rFonts w:cs="Arial"/>
              </w:rPr>
              <w:t>oin</w:t>
            </w:r>
            <w:r w:rsidRPr="00DF18AB">
              <w:rPr>
                <w:rFonts w:cs="Arial"/>
              </w:rPr>
              <w:t>t improvement over last Q performance*</w:t>
            </w:r>
          </w:p>
        </w:tc>
        <w:tc>
          <w:tcPr>
            <w:tcW w:w="432" w:type="pct"/>
            <w:tcBorders>
              <w:top w:val="nil"/>
              <w:left w:val="single" w:sz="4" w:space="0" w:color="auto"/>
              <w:bottom w:val="single" w:sz="4" w:space="0" w:color="auto"/>
              <w:right w:val="single" w:sz="4" w:space="0" w:color="auto"/>
            </w:tcBorders>
          </w:tcPr>
          <w:p w:rsidR="00DF18AB" w:rsidRPr="00DF18AB" w:rsidRDefault="00DF18AB" w:rsidP="00DF18AB">
            <w:pPr>
              <w:jc w:val="center"/>
              <w:rPr>
                <w:rFonts w:cs="Arial"/>
                <w:b/>
              </w:rPr>
            </w:pPr>
            <w:r w:rsidRPr="00DF18AB">
              <w:rPr>
                <w:rFonts w:cs="Arial"/>
                <w:b/>
              </w:rPr>
              <w:t>2%</w:t>
            </w:r>
          </w:p>
        </w:tc>
        <w:tc>
          <w:tcPr>
            <w:tcW w:w="463" w:type="pct"/>
            <w:tcBorders>
              <w:top w:val="nil"/>
              <w:left w:val="single" w:sz="4" w:space="0" w:color="auto"/>
              <w:bottom w:val="single" w:sz="4" w:space="0" w:color="auto"/>
              <w:right w:val="single" w:sz="4" w:space="0" w:color="auto"/>
            </w:tcBorders>
          </w:tcPr>
          <w:p w:rsidR="00DF18AB" w:rsidRPr="00DF18AB" w:rsidRDefault="00DF18AB" w:rsidP="00DF18AB">
            <w:pPr>
              <w:jc w:val="center"/>
              <w:rPr>
                <w:rFonts w:cs="Arial"/>
                <w:b/>
              </w:rPr>
            </w:pPr>
            <w:r w:rsidRPr="00DF18AB">
              <w:rPr>
                <w:rFonts w:cs="Arial"/>
                <w:b/>
              </w:rPr>
              <w:t>10%</w:t>
            </w:r>
          </w:p>
        </w:tc>
        <w:tc>
          <w:tcPr>
            <w:tcW w:w="464" w:type="pct"/>
            <w:tcBorders>
              <w:top w:val="nil"/>
              <w:left w:val="single" w:sz="4" w:space="0" w:color="auto"/>
              <w:bottom w:val="single" w:sz="4" w:space="0" w:color="auto"/>
              <w:right w:val="single" w:sz="4" w:space="0" w:color="auto"/>
            </w:tcBorders>
          </w:tcPr>
          <w:p w:rsidR="00DF18AB" w:rsidRPr="00DF18AB" w:rsidRDefault="00DF18AB" w:rsidP="00DF18AB">
            <w:pPr>
              <w:jc w:val="center"/>
              <w:rPr>
                <w:rFonts w:cs="Arial"/>
                <w:b/>
              </w:rPr>
            </w:pPr>
            <w:r w:rsidRPr="00DF18AB">
              <w:rPr>
                <w:rFonts w:cs="Arial"/>
                <w:b/>
              </w:rPr>
              <w:t>12%</w:t>
            </w:r>
          </w:p>
        </w:tc>
        <w:tc>
          <w:tcPr>
            <w:tcW w:w="464" w:type="pct"/>
            <w:tcBorders>
              <w:top w:val="nil"/>
              <w:left w:val="single" w:sz="4" w:space="0" w:color="auto"/>
              <w:bottom w:val="single" w:sz="4" w:space="0" w:color="auto"/>
              <w:right w:val="single" w:sz="4" w:space="0" w:color="auto"/>
            </w:tcBorders>
          </w:tcPr>
          <w:p w:rsidR="00DF18AB" w:rsidRPr="00DF18AB" w:rsidRDefault="00DF18AB" w:rsidP="00DF18AB">
            <w:pPr>
              <w:jc w:val="center"/>
              <w:rPr>
                <w:rFonts w:cs="Arial"/>
                <w:b/>
              </w:rPr>
            </w:pPr>
            <w:r w:rsidRPr="00DF18AB">
              <w:rPr>
                <w:rFonts w:cs="Arial"/>
                <w:b/>
              </w:rPr>
              <w:t>12%</w:t>
            </w:r>
          </w:p>
        </w:tc>
        <w:tc>
          <w:tcPr>
            <w:tcW w:w="539" w:type="pct"/>
            <w:tcBorders>
              <w:top w:val="nil"/>
              <w:left w:val="single" w:sz="4" w:space="0" w:color="auto"/>
              <w:bottom w:val="single" w:sz="4" w:space="0" w:color="auto"/>
              <w:right w:val="single" w:sz="4" w:space="0" w:color="auto"/>
            </w:tcBorders>
          </w:tcPr>
          <w:p w:rsidR="00DF18AB" w:rsidRPr="00DF18AB" w:rsidRDefault="00DF18AB" w:rsidP="00DF18AB">
            <w:pPr>
              <w:jc w:val="center"/>
              <w:rPr>
                <w:rFonts w:cs="Arial"/>
                <w:b/>
              </w:rPr>
            </w:pPr>
            <w:r w:rsidRPr="00DF18AB">
              <w:rPr>
                <w:rFonts w:cs="Arial"/>
                <w:b/>
              </w:rPr>
              <w:t>12%</w:t>
            </w:r>
          </w:p>
          <w:p w:rsidR="00DF18AB" w:rsidRPr="00DF18AB" w:rsidRDefault="00DF18AB" w:rsidP="00DF18AB">
            <w:pPr>
              <w:jc w:val="center"/>
              <w:rPr>
                <w:rFonts w:cs="Arial"/>
                <w:b/>
              </w:rPr>
            </w:pPr>
          </w:p>
        </w:tc>
      </w:tr>
      <w:tr w:rsidR="00DF18AB" w:rsidRPr="00DF18AB" w:rsidTr="00593B8C">
        <w:trPr>
          <w:trHeight w:val="300"/>
        </w:trPr>
        <w:tc>
          <w:tcPr>
            <w:tcW w:w="2638" w:type="pct"/>
            <w:tcBorders>
              <w:top w:val="nil"/>
              <w:left w:val="single" w:sz="4" w:space="0" w:color="auto"/>
              <w:bottom w:val="single" w:sz="4" w:space="0" w:color="auto"/>
              <w:right w:val="nil"/>
            </w:tcBorders>
          </w:tcPr>
          <w:p w:rsidR="00DF18AB" w:rsidRPr="00DF18AB" w:rsidRDefault="00DF18AB" w:rsidP="00DF18AB">
            <w:pPr>
              <w:jc w:val="center"/>
              <w:rPr>
                <w:rFonts w:cs="Arial"/>
              </w:rPr>
            </w:pPr>
            <w:r w:rsidRPr="00DF18AB">
              <w:rPr>
                <w:rFonts w:cs="Arial"/>
              </w:rPr>
              <w:t>20% p</w:t>
            </w:r>
            <w:r w:rsidR="009F6929">
              <w:rPr>
                <w:rFonts w:cs="Arial"/>
              </w:rPr>
              <w:t>oin</w:t>
            </w:r>
            <w:r w:rsidRPr="00DF18AB">
              <w:rPr>
                <w:rFonts w:cs="Arial"/>
              </w:rPr>
              <w:t>t improvement over last Q performance*</w:t>
            </w:r>
          </w:p>
        </w:tc>
        <w:tc>
          <w:tcPr>
            <w:tcW w:w="432" w:type="pct"/>
            <w:tcBorders>
              <w:top w:val="nil"/>
              <w:left w:val="single" w:sz="4" w:space="0" w:color="auto"/>
              <w:bottom w:val="single" w:sz="4" w:space="0" w:color="auto"/>
              <w:right w:val="single" w:sz="4" w:space="0" w:color="auto"/>
            </w:tcBorders>
          </w:tcPr>
          <w:p w:rsidR="00DF18AB" w:rsidRPr="00DF18AB" w:rsidRDefault="00DF18AB" w:rsidP="00DF18AB">
            <w:pPr>
              <w:jc w:val="center"/>
              <w:rPr>
                <w:rFonts w:cs="Arial"/>
                <w:b/>
              </w:rPr>
            </w:pPr>
            <w:r w:rsidRPr="00DF18AB">
              <w:rPr>
                <w:rFonts w:cs="Arial"/>
                <w:b/>
              </w:rPr>
              <w:t>4%</w:t>
            </w:r>
          </w:p>
        </w:tc>
        <w:tc>
          <w:tcPr>
            <w:tcW w:w="463" w:type="pct"/>
            <w:tcBorders>
              <w:top w:val="nil"/>
              <w:left w:val="single" w:sz="4" w:space="0" w:color="auto"/>
              <w:bottom w:val="single" w:sz="4" w:space="0" w:color="auto"/>
              <w:right w:val="single" w:sz="4" w:space="0" w:color="auto"/>
            </w:tcBorders>
          </w:tcPr>
          <w:p w:rsidR="00DF18AB" w:rsidRPr="00DF18AB" w:rsidRDefault="00DF18AB" w:rsidP="00DF18AB">
            <w:pPr>
              <w:jc w:val="center"/>
              <w:rPr>
                <w:rFonts w:cs="Arial"/>
                <w:b/>
              </w:rPr>
            </w:pPr>
            <w:r w:rsidRPr="00DF18AB">
              <w:rPr>
                <w:rFonts w:cs="Arial"/>
                <w:b/>
              </w:rPr>
              <w:t>15%</w:t>
            </w:r>
          </w:p>
        </w:tc>
        <w:tc>
          <w:tcPr>
            <w:tcW w:w="464" w:type="pct"/>
            <w:tcBorders>
              <w:top w:val="nil"/>
              <w:left w:val="single" w:sz="4" w:space="0" w:color="auto"/>
              <w:bottom w:val="single" w:sz="4" w:space="0" w:color="auto"/>
              <w:right w:val="single" w:sz="4" w:space="0" w:color="auto"/>
            </w:tcBorders>
          </w:tcPr>
          <w:p w:rsidR="00DF18AB" w:rsidRPr="00DF18AB" w:rsidRDefault="00DF18AB" w:rsidP="00DF18AB">
            <w:pPr>
              <w:jc w:val="center"/>
              <w:rPr>
                <w:rFonts w:cs="Arial"/>
                <w:b/>
              </w:rPr>
            </w:pPr>
            <w:r w:rsidRPr="00DF18AB">
              <w:rPr>
                <w:rFonts w:cs="Arial"/>
                <w:b/>
              </w:rPr>
              <w:t>18%</w:t>
            </w:r>
          </w:p>
        </w:tc>
        <w:tc>
          <w:tcPr>
            <w:tcW w:w="464" w:type="pct"/>
            <w:tcBorders>
              <w:top w:val="nil"/>
              <w:left w:val="single" w:sz="4" w:space="0" w:color="auto"/>
              <w:bottom w:val="single" w:sz="4" w:space="0" w:color="auto"/>
              <w:right w:val="single" w:sz="4" w:space="0" w:color="auto"/>
            </w:tcBorders>
          </w:tcPr>
          <w:p w:rsidR="00DF18AB" w:rsidRPr="00DF18AB" w:rsidRDefault="00DF18AB" w:rsidP="00DF18AB">
            <w:pPr>
              <w:jc w:val="center"/>
              <w:rPr>
                <w:rFonts w:cs="Arial"/>
                <w:b/>
              </w:rPr>
            </w:pPr>
            <w:r w:rsidRPr="00DF18AB">
              <w:rPr>
                <w:rFonts w:cs="Arial"/>
                <w:b/>
              </w:rPr>
              <w:t>18%</w:t>
            </w:r>
          </w:p>
        </w:tc>
        <w:tc>
          <w:tcPr>
            <w:tcW w:w="539" w:type="pct"/>
            <w:tcBorders>
              <w:top w:val="nil"/>
              <w:left w:val="single" w:sz="4" w:space="0" w:color="auto"/>
              <w:bottom w:val="single" w:sz="4" w:space="0" w:color="auto"/>
              <w:right w:val="single" w:sz="4" w:space="0" w:color="auto"/>
            </w:tcBorders>
          </w:tcPr>
          <w:p w:rsidR="00DF18AB" w:rsidRPr="00DF18AB" w:rsidRDefault="00DF18AB" w:rsidP="00DF18AB">
            <w:pPr>
              <w:jc w:val="center"/>
              <w:rPr>
                <w:rFonts w:cs="Arial"/>
                <w:b/>
              </w:rPr>
            </w:pPr>
            <w:r w:rsidRPr="00DF18AB">
              <w:rPr>
                <w:rFonts w:cs="Arial"/>
                <w:b/>
              </w:rPr>
              <w:t>18%</w:t>
            </w:r>
          </w:p>
          <w:p w:rsidR="00DF18AB" w:rsidRPr="00DF18AB" w:rsidRDefault="00DF18AB" w:rsidP="00DF18AB">
            <w:pPr>
              <w:jc w:val="center"/>
              <w:rPr>
                <w:rFonts w:cs="Arial"/>
                <w:b/>
              </w:rPr>
            </w:pPr>
          </w:p>
        </w:tc>
      </w:tr>
    </w:tbl>
    <w:p w:rsidR="00DF18AB" w:rsidRPr="00DF18AB" w:rsidRDefault="00DF18AB" w:rsidP="00DF18AB">
      <w:pPr>
        <w:rPr>
          <w:lang w:eastAsia="en-GB"/>
        </w:rPr>
      </w:pPr>
    </w:p>
    <w:p w:rsidR="00DF18AB" w:rsidRPr="00DF18AB" w:rsidRDefault="00DF18AB" w:rsidP="00DF18AB">
      <w:pPr>
        <w:rPr>
          <w:lang w:eastAsia="en-GB"/>
        </w:rPr>
      </w:pPr>
      <w:r w:rsidRPr="00DF18AB">
        <w:rPr>
          <w:lang w:eastAsia="en-GB"/>
        </w:rPr>
        <w:t>*Note that following the baseline setting exercise in Q1, a minimum threshold level of activity may be introduced such that improvements only over this minimum threshold would be partially rewarded.</w:t>
      </w:r>
    </w:p>
    <w:p w:rsidR="00DF18AB" w:rsidRPr="00DF18AB" w:rsidRDefault="00DF18AB" w:rsidP="00DF18AB">
      <w:pPr>
        <w:rPr>
          <w:lang w:eastAsia="en-GB"/>
        </w:rPr>
      </w:pPr>
    </w:p>
    <w:p w:rsidR="00DF18AB" w:rsidRPr="00DF18AB" w:rsidRDefault="00DF18AB" w:rsidP="00DF18AB">
      <w:pPr>
        <w:rPr>
          <w:lang w:eastAsia="en-GB"/>
        </w:rPr>
      </w:pPr>
    </w:p>
    <w:p w:rsidR="00DF18AB" w:rsidRPr="00DF18AB" w:rsidRDefault="00DF18AB" w:rsidP="00DF18AB">
      <w:pPr>
        <w:keepNext/>
        <w:keepLines/>
        <w:outlineLvl w:val="3"/>
        <w:rPr>
          <w:rFonts w:eastAsiaTheme="majorEastAsia" w:cstheme="majorBidi"/>
          <w:b/>
          <w:bCs w:val="0"/>
          <w:iCs/>
          <w:color w:val="A00054" w:themeColor="accent2"/>
          <w:lang w:eastAsia="en-GB"/>
        </w:rPr>
      </w:pPr>
      <w:r w:rsidRPr="00DF18AB">
        <w:rPr>
          <w:rFonts w:eastAsiaTheme="majorEastAsia" w:cstheme="majorBidi"/>
          <w:b/>
          <w:bCs w:val="0"/>
          <w:iCs/>
          <w:color w:val="A00054" w:themeColor="accent2"/>
          <w:lang w:eastAsia="en-GB"/>
        </w:rPr>
        <w:t xml:space="preserve">Annex A – Supplementary Guidance </w:t>
      </w:r>
    </w:p>
    <w:p w:rsidR="00DF18AB" w:rsidRPr="00DF18AB" w:rsidRDefault="00DF18AB" w:rsidP="00DF18AB">
      <w:pPr>
        <w:rPr>
          <w:lang w:eastAsia="en-GB"/>
        </w:rPr>
      </w:pPr>
    </w:p>
    <w:p w:rsidR="00DF18AB" w:rsidRPr="00DF18AB" w:rsidRDefault="00DF18AB" w:rsidP="00DF18AB">
      <w:pPr>
        <w:rPr>
          <w:lang w:eastAsia="en-GB"/>
        </w:rPr>
      </w:pPr>
      <w:r w:rsidRPr="00DF18AB">
        <w:rPr>
          <w:lang w:eastAsia="en-GB"/>
        </w:rPr>
        <w:t>Supplementary guidance will be issued alongside this final CQUIN guidance document. This supplementary guidance will be targeted at and co-developed by frontline healthcare professionals and contain a comprehensive suite of resources for them to facilitate successful delivery of the CQUIN.</w:t>
      </w:r>
    </w:p>
    <w:p w:rsidR="00DF18AB" w:rsidRPr="00DF18AB" w:rsidRDefault="00DF18AB" w:rsidP="00DF18AB">
      <w:pPr>
        <w:rPr>
          <w:lang w:eastAsia="en-GB"/>
        </w:rPr>
      </w:pPr>
    </w:p>
    <w:p w:rsidR="00DF18AB" w:rsidRPr="00DF18AB" w:rsidRDefault="00DF18AB" w:rsidP="00DF18AB">
      <w:pPr>
        <w:keepNext/>
        <w:keepLines/>
        <w:outlineLvl w:val="3"/>
        <w:rPr>
          <w:rFonts w:eastAsiaTheme="majorEastAsia" w:cstheme="majorBidi"/>
          <w:b/>
          <w:bCs w:val="0"/>
          <w:iCs/>
          <w:color w:val="A00054" w:themeColor="accent2"/>
          <w:lang w:eastAsia="en-GB"/>
        </w:rPr>
      </w:pPr>
      <w:r w:rsidRPr="00DF18AB">
        <w:rPr>
          <w:rFonts w:eastAsiaTheme="majorEastAsia" w:cstheme="majorBidi"/>
          <w:b/>
          <w:bCs w:val="0"/>
          <w:iCs/>
          <w:color w:val="A00054" w:themeColor="accent2"/>
          <w:lang w:eastAsia="en-GB"/>
        </w:rPr>
        <w:t xml:space="preserve">Annex B – </w:t>
      </w:r>
      <w:r w:rsidRPr="00DF18AB">
        <w:rPr>
          <w:rFonts w:eastAsiaTheme="majorEastAsia" w:cstheme="majorBidi"/>
          <w:b/>
          <w:bCs w:val="0"/>
          <w:iCs/>
          <w:color w:val="A00054" w:themeColor="accent2"/>
        </w:rPr>
        <w:t xml:space="preserve">Method for identifying random samples </w:t>
      </w:r>
      <w:r w:rsidRPr="00DF18AB">
        <w:rPr>
          <w:rFonts w:eastAsiaTheme="majorEastAsia" w:cstheme="majorBidi"/>
          <w:b/>
          <w:bCs w:val="0"/>
          <w:iCs/>
          <w:color w:val="A00054" w:themeColor="accent2"/>
          <w:lang w:eastAsia="en-GB"/>
        </w:rPr>
        <w:t>and minimum sample sizes</w:t>
      </w:r>
    </w:p>
    <w:p w:rsidR="00DF18AB" w:rsidRPr="00DF18AB" w:rsidRDefault="00DF18AB" w:rsidP="00DF18AB">
      <w:pPr>
        <w:rPr>
          <w:lang w:eastAsia="en-GB"/>
        </w:rPr>
      </w:pPr>
    </w:p>
    <w:p w:rsidR="00DF18AB" w:rsidRPr="00DF18AB" w:rsidRDefault="00DF18AB" w:rsidP="00DF18AB">
      <w:pPr>
        <w:rPr>
          <w:rFonts w:cs="Arial"/>
        </w:rPr>
      </w:pPr>
      <w:r w:rsidRPr="00DF18AB">
        <w:rPr>
          <w:rFonts w:cs="Arial"/>
        </w:rPr>
        <w:t xml:space="preserve">Trusts should select ONE of the following methods and maintain this method throughout the 2016/7 year of data collection: </w:t>
      </w:r>
    </w:p>
    <w:p w:rsidR="00DF18AB" w:rsidRPr="00DF18AB" w:rsidRDefault="00DF18AB" w:rsidP="00DF18AB">
      <w:pPr>
        <w:rPr>
          <w:rFonts w:cs="Arial"/>
        </w:rPr>
      </w:pPr>
    </w:p>
    <w:p w:rsidR="00DF18AB" w:rsidRPr="00DF18AB" w:rsidRDefault="00DF18AB" w:rsidP="00DF18AB">
      <w:pPr>
        <w:numPr>
          <w:ilvl w:val="0"/>
          <w:numId w:val="56"/>
        </w:numPr>
        <w:spacing w:after="200"/>
        <w:rPr>
          <w:rFonts w:cs="Arial"/>
          <w:color w:val="000000"/>
        </w:rPr>
      </w:pPr>
      <w:r w:rsidRPr="00DF18AB">
        <w:rPr>
          <w:rFonts w:cs="Arial"/>
          <w:color w:val="000000"/>
        </w:rPr>
        <w:t>True randomisation: review the n</w:t>
      </w:r>
      <w:r w:rsidRPr="00DF18AB">
        <w:rPr>
          <w:rFonts w:cs="Arial"/>
          <w:color w:val="000000"/>
          <w:vertAlign w:val="superscript"/>
        </w:rPr>
        <w:t>th</w:t>
      </w:r>
      <w:r w:rsidRPr="00DF18AB">
        <w:rPr>
          <w:rFonts w:cs="Arial"/>
          <w:color w:val="000000"/>
        </w:rPr>
        <w:t xml:space="preserve"> patient’s notes where n is generated by a random number generator or table (e.g. </w:t>
      </w:r>
      <w:hyperlink r:id="rId53" w:history="1">
        <w:r w:rsidRPr="00DF18AB">
          <w:rPr>
            <w:rFonts w:cs="Arial"/>
            <w:color w:val="0070C0"/>
            <w:u w:val="single"/>
          </w:rPr>
          <w:t>http://www.random.org/</w:t>
        </w:r>
      </w:hyperlink>
      <w:r w:rsidRPr="00DF18AB">
        <w:rPr>
          <w:rFonts w:cs="Arial"/>
          <w:color w:val="000000"/>
        </w:rPr>
        <w:t xml:space="preserve">) and this is repeated until a full sample of notes has been reviewed. These are easy to use and readily available online – e.g. </w:t>
      </w:r>
      <w:hyperlink r:id="rId54" w:history="1">
        <w:r w:rsidRPr="00DF18AB">
          <w:rPr>
            <w:rFonts w:cs="Arial"/>
            <w:color w:val="0070C0"/>
            <w:u w:val="single"/>
          </w:rPr>
          <w:t>http://www.random.org/</w:t>
        </w:r>
      </w:hyperlink>
      <w:r w:rsidRPr="00DF18AB">
        <w:rPr>
          <w:rFonts w:cs="Arial"/>
          <w:color w:val="0070C0"/>
          <w:u w:val="single"/>
        </w:rPr>
        <w:t>.</w:t>
      </w:r>
      <w:r w:rsidRPr="00DF18AB">
        <w:rPr>
          <w:rFonts w:cs="Arial"/>
          <w:color w:val="0070C0"/>
          <w:u w:val="single"/>
        </w:rPr>
        <w:br/>
      </w:r>
    </w:p>
    <w:p w:rsidR="00DF18AB" w:rsidRPr="00DF18AB" w:rsidRDefault="00DF18AB" w:rsidP="00DF18AB">
      <w:pPr>
        <w:numPr>
          <w:ilvl w:val="0"/>
          <w:numId w:val="56"/>
        </w:numPr>
        <w:spacing w:after="200"/>
        <w:rPr>
          <w:rFonts w:cs="Arial"/>
          <w:color w:val="000000"/>
        </w:rPr>
      </w:pPr>
      <w:r w:rsidRPr="00DF18AB">
        <w:rPr>
          <w:rFonts w:cs="Arial"/>
          <w:color w:val="000000"/>
        </w:rPr>
        <w:t>Pseudo-randomisation: Review the first X patients’ notes where the day within the date of birth is based on some sequence e.g. start with patients born on the 1</w:t>
      </w:r>
      <w:r w:rsidRPr="00DF18AB">
        <w:rPr>
          <w:rFonts w:cs="Arial"/>
          <w:color w:val="000000"/>
          <w:vertAlign w:val="superscript"/>
        </w:rPr>
        <w:t>st</w:t>
      </w:r>
      <w:r w:rsidRPr="00DF18AB">
        <w:rPr>
          <w:rFonts w:cs="Arial"/>
          <w:color w:val="000000"/>
        </w:rPr>
        <w:t xml:space="preserve"> of the month, move to 2</w:t>
      </w:r>
      <w:r w:rsidRPr="00DF18AB">
        <w:rPr>
          <w:rFonts w:cs="Arial"/>
          <w:color w:val="000000"/>
          <w:vertAlign w:val="superscript"/>
        </w:rPr>
        <w:t>nd</w:t>
      </w:r>
      <w:r w:rsidRPr="00DF18AB">
        <w:rPr>
          <w:rFonts w:cs="Arial"/>
          <w:color w:val="000000"/>
        </w:rPr>
        <w:t>, then 3</w:t>
      </w:r>
      <w:r w:rsidRPr="00DF18AB">
        <w:rPr>
          <w:rFonts w:cs="Arial"/>
          <w:color w:val="000000"/>
          <w:vertAlign w:val="superscript"/>
        </w:rPr>
        <w:t>rd</w:t>
      </w:r>
      <w:r w:rsidRPr="00DF18AB">
        <w:rPr>
          <w:rFonts w:cs="Arial"/>
          <w:color w:val="000000"/>
        </w:rPr>
        <w:t>, until X patients have been reviewed. X equals the sample size required. Note this must NOT be based on full birthdate as this would skew the sample to particular age groups.</w:t>
      </w:r>
    </w:p>
    <w:p w:rsidR="00DF18AB" w:rsidRPr="00DF18AB" w:rsidRDefault="00DF18AB" w:rsidP="00DF18AB">
      <w:pPr>
        <w:rPr>
          <w:rFonts w:cs="Arial"/>
          <w:color w:val="000000"/>
        </w:rPr>
      </w:pPr>
    </w:p>
    <w:p w:rsidR="00DF18AB" w:rsidRPr="00DF18AB" w:rsidRDefault="00DF18AB" w:rsidP="00DF18AB">
      <w:pPr>
        <w:rPr>
          <w:rFonts w:cs="Arial"/>
          <w:color w:val="000000"/>
        </w:rPr>
      </w:pPr>
      <w:r w:rsidRPr="00DF18AB">
        <w:rPr>
          <w:rFonts w:cs="Arial"/>
          <w:color w:val="000000"/>
        </w:rPr>
        <w:t>Feedback from analysts and the engagement exercise was received relating to the required sample size for sample-based patient record audits:</w:t>
      </w:r>
    </w:p>
    <w:p w:rsidR="00DF18AB" w:rsidRPr="00DF18AB" w:rsidRDefault="00DF18AB" w:rsidP="00DF18AB">
      <w:pPr>
        <w:rPr>
          <w:rFonts w:cs="Arial"/>
          <w:color w:val="000000"/>
        </w:rPr>
      </w:pPr>
    </w:p>
    <w:p w:rsidR="00DF18AB" w:rsidRPr="00DF18AB" w:rsidRDefault="00DF18AB" w:rsidP="00DF18AB">
      <w:pPr>
        <w:numPr>
          <w:ilvl w:val="0"/>
          <w:numId w:val="56"/>
        </w:numPr>
        <w:spacing w:after="200"/>
        <w:contextualSpacing/>
        <w:rPr>
          <w:rFonts w:cs="Arial"/>
          <w:color w:val="000000"/>
        </w:rPr>
      </w:pPr>
      <w:r w:rsidRPr="00DF18AB">
        <w:rPr>
          <w:rFonts w:cs="Arial"/>
          <w:color w:val="000000"/>
        </w:rPr>
        <w:t>Due to expected attrition with each step of the interventions (from screening, to brief advice, to referral) and the need to provide robust samples, feedback from stakeholders suggested that a minimum sample size for sample-based audits should be set.</w:t>
      </w:r>
      <w:r w:rsidRPr="00DF18AB">
        <w:rPr>
          <w:rFonts w:cs="Arial"/>
          <w:color w:val="000000"/>
        </w:rPr>
        <w:br/>
      </w:r>
    </w:p>
    <w:p w:rsidR="00DF18AB" w:rsidRPr="00DF18AB" w:rsidRDefault="00DF18AB" w:rsidP="00DF18AB">
      <w:pPr>
        <w:numPr>
          <w:ilvl w:val="0"/>
          <w:numId w:val="56"/>
        </w:numPr>
        <w:spacing w:after="200"/>
        <w:contextualSpacing/>
        <w:rPr>
          <w:rFonts w:cs="Arial"/>
          <w:color w:val="000000"/>
        </w:rPr>
      </w:pPr>
      <w:r w:rsidRPr="00DF18AB">
        <w:rPr>
          <w:rFonts w:cs="Arial"/>
          <w:color w:val="000000"/>
        </w:rPr>
        <w:t xml:space="preserve">The minimum sample size is initially set at 500 case notes per quarter. Those trusts that receive fewer than 500 eligible patients per quarter should audit all eligible patient records. Those trusts that receive more than 500 eligible patients per quarter should ensure that their sample is random and may follow the methods set out above to achieve randomisation. </w:t>
      </w:r>
      <w:r w:rsidRPr="00DF18AB">
        <w:rPr>
          <w:rFonts w:cs="Arial"/>
          <w:color w:val="000000"/>
        </w:rPr>
        <w:br/>
      </w:r>
    </w:p>
    <w:p w:rsidR="00DF18AB" w:rsidRPr="00DF18AB" w:rsidRDefault="00DF18AB" w:rsidP="00DF18AB">
      <w:pPr>
        <w:numPr>
          <w:ilvl w:val="0"/>
          <w:numId w:val="56"/>
        </w:numPr>
        <w:spacing w:after="200"/>
        <w:contextualSpacing/>
        <w:rPr>
          <w:rFonts w:cs="Arial"/>
          <w:bCs w:val="0"/>
          <w:color w:val="000000"/>
        </w:rPr>
      </w:pPr>
      <w:r w:rsidRPr="00DF18AB">
        <w:rPr>
          <w:rFonts w:cs="Arial"/>
          <w:color w:val="000000"/>
        </w:rPr>
        <w:t xml:space="preserve">National bodies will continue to keep issues related to data collection including minimum sample sizes under review. There will also be additional advice for trusts on how they can reduce the administrative burden as part of supplementary guidance. </w:t>
      </w:r>
    </w:p>
    <w:p w:rsidR="00DF18AB" w:rsidRPr="00DF18AB" w:rsidRDefault="00DF18AB" w:rsidP="00DF18AB">
      <w:pPr>
        <w:rPr>
          <w:lang w:eastAsia="en-GB"/>
        </w:rPr>
      </w:pPr>
    </w:p>
    <w:p w:rsidR="00DF18AB" w:rsidRPr="00DF18AB" w:rsidRDefault="00DF18AB" w:rsidP="00DF18AB">
      <w:pPr>
        <w:rPr>
          <w:lang w:eastAsia="en-GB"/>
        </w:rPr>
      </w:pPr>
    </w:p>
    <w:p w:rsidR="00DF18AB" w:rsidRPr="00DF18AB" w:rsidRDefault="00DF18AB" w:rsidP="00DF18AB">
      <w:pPr>
        <w:rPr>
          <w:rFonts w:cs="Arial"/>
          <w:b/>
          <w:color w:val="0072C6"/>
          <w:kern w:val="32"/>
          <w:sz w:val="32"/>
          <w:szCs w:val="32"/>
          <w:lang w:eastAsia="en-GB"/>
        </w:rPr>
      </w:pPr>
      <w:r w:rsidRPr="00DF18AB">
        <w:rPr>
          <w:lang w:eastAsia="en-GB"/>
        </w:rPr>
        <w:br w:type="page"/>
      </w:r>
    </w:p>
    <w:p w:rsidR="00DF18AB" w:rsidRPr="00DF18AB" w:rsidRDefault="00DF18AB" w:rsidP="00DF18AB">
      <w:pPr>
        <w:numPr>
          <w:ilvl w:val="0"/>
          <w:numId w:val="2"/>
        </w:numPr>
        <w:outlineLvl w:val="0"/>
        <w:rPr>
          <w:rFonts w:cs="Arial"/>
          <w:b/>
          <w:color w:val="0072C6"/>
          <w:kern w:val="32"/>
          <w:sz w:val="32"/>
          <w:szCs w:val="32"/>
          <w:lang w:eastAsia="en-GB"/>
        </w:rPr>
      </w:pPr>
      <w:bookmarkStart w:id="70" w:name="_Toc466290258"/>
      <w:r w:rsidRPr="00DF18AB">
        <w:rPr>
          <w:rFonts w:cs="Arial"/>
          <w:b/>
          <w:color w:val="0072C6"/>
          <w:kern w:val="32"/>
          <w:sz w:val="32"/>
          <w:szCs w:val="32"/>
          <w:lang w:eastAsia="en-GB"/>
        </w:rPr>
        <w:lastRenderedPageBreak/>
        <w:t>Improving the assessment of wounds</w:t>
      </w:r>
      <w:bookmarkEnd w:id="70"/>
    </w:p>
    <w:p w:rsidR="00DF18AB" w:rsidRPr="00DF18AB" w:rsidRDefault="00DF18AB" w:rsidP="00DF18AB">
      <w:pPr>
        <w:rPr>
          <w:lang w:eastAsia="en-GB"/>
        </w:rPr>
      </w:pPr>
    </w:p>
    <w:tbl>
      <w:tblPr>
        <w:tblStyle w:val="TableGrid511"/>
        <w:tblW w:w="0" w:type="auto"/>
        <w:tblLook w:val="04A0" w:firstRow="1" w:lastRow="0" w:firstColumn="1" w:lastColumn="0" w:noHBand="0" w:noVBand="1"/>
        <w:tblCaption w:val="Indicator"/>
      </w:tblPr>
      <w:tblGrid>
        <w:gridCol w:w="3227"/>
        <w:gridCol w:w="5707"/>
      </w:tblGrid>
      <w:tr w:rsidR="00DF18AB" w:rsidRPr="00DF18AB" w:rsidTr="00593B8C">
        <w:trPr>
          <w:trHeight w:val="158"/>
          <w:tblHeader/>
        </w:trPr>
        <w:tc>
          <w:tcPr>
            <w:tcW w:w="8934" w:type="dxa"/>
            <w:gridSpan w:val="2"/>
            <w:shd w:val="clear" w:color="auto" w:fill="0070C0"/>
          </w:tcPr>
          <w:p w:rsidR="00DF18AB" w:rsidRPr="00DF18AB" w:rsidRDefault="00DF18AB" w:rsidP="00DF18AB">
            <w:pPr>
              <w:jc w:val="center"/>
              <w:rPr>
                <w:rFonts w:cs="Arial"/>
              </w:rPr>
            </w:pPr>
            <w:r w:rsidRPr="00DF18AB">
              <w:rPr>
                <w:rFonts w:cs="Arial"/>
                <w:b/>
                <w:color w:val="FFFFFF" w:themeColor="background1"/>
              </w:rPr>
              <w:t xml:space="preserve">Indicator 10 </w:t>
            </w:r>
          </w:p>
        </w:tc>
      </w:tr>
      <w:tr w:rsidR="00DF18AB" w:rsidRPr="00DF18AB" w:rsidTr="00593B8C">
        <w:trPr>
          <w:trHeight w:val="158"/>
        </w:trPr>
        <w:tc>
          <w:tcPr>
            <w:tcW w:w="3227" w:type="dxa"/>
          </w:tcPr>
          <w:p w:rsidR="00DF18AB" w:rsidRPr="00DF18AB" w:rsidRDefault="00DF18AB" w:rsidP="00DF18AB">
            <w:pPr>
              <w:ind w:right="-245"/>
              <w:rPr>
                <w:rFonts w:cs="Arial"/>
                <w:b/>
              </w:rPr>
            </w:pPr>
            <w:r w:rsidRPr="00DF18AB">
              <w:rPr>
                <w:rFonts w:cs="Arial"/>
                <w:b/>
                <w:color w:val="000000"/>
              </w:rPr>
              <w:t>Indicator name</w:t>
            </w:r>
          </w:p>
        </w:tc>
        <w:tc>
          <w:tcPr>
            <w:tcW w:w="5707" w:type="dxa"/>
          </w:tcPr>
          <w:p w:rsidR="00DF18AB" w:rsidRPr="00DF18AB" w:rsidRDefault="00DF18AB" w:rsidP="00DF18AB">
            <w:pPr>
              <w:rPr>
                <w:rFonts w:cs="Arial"/>
              </w:rPr>
            </w:pPr>
            <w:r w:rsidRPr="00DF18AB">
              <w:rPr>
                <w:rFonts w:cs="Arial"/>
              </w:rPr>
              <w:t>Improving the assessment of wounds</w:t>
            </w:r>
          </w:p>
        </w:tc>
      </w:tr>
      <w:tr w:rsidR="00DF18AB" w:rsidRPr="00DF18AB" w:rsidTr="00593B8C">
        <w:trPr>
          <w:trHeight w:val="158"/>
        </w:trPr>
        <w:tc>
          <w:tcPr>
            <w:tcW w:w="3227" w:type="dxa"/>
          </w:tcPr>
          <w:p w:rsidR="00DF18AB" w:rsidRPr="00DF18AB" w:rsidRDefault="00DF18AB" w:rsidP="00DF18AB">
            <w:pPr>
              <w:ind w:right="-245"/>
              <w:rPr>
                <w:rFonts w:cs="Arial"/>
                <w:b/>
              </w:rPr>
            </w:pPr>
            <w:r w:rsidRPr="00DF18AB">
              <w:rPr>
                <w:rFonts w:cs="Arial"/>
                <w:b/>
                <w:color w:val="000000"/>
              </w:rPr>
              <w:t xml:space="preserve">Indicator weighting </w:t>
            </w:r>
            <w:r w:rsidRPr="00DF18AB">
              <w:rPr>
                <w:rFonts w:cs="Arial"/>
                <w:b/>
                <w:color w:val="000000"/>
              </w:rPr>
              <w:br/>
              <w:t>(% of CQUIN scheme available)</w:t>
            </w:r>
          </w:p>
        </w:tc>
        <w:tc>
          <w:tcPr>
            <w:tcW w:w="5707" w:type="dxa"/>
          </w:tcPr>
          <w:p w:rsidR="00DF18AB" w:rsidRPr="00DF18AB" w:rsidRDefault="00DF18AB" w:rsidP="00DF18AB">
            <w:pPr>
              <w:rPr>
                <w:rFonts w:cs="Arial"/>
                <w:bCs w:val="0"/>
                <w:color w:val="000000"/>
              </w:rPr>
            </w:pPr>
            <w:r w:rsidRPr="00DF18AB">
              <w:rPr>
                <w:rFonts w:cs="Arial"/>
                <w:color w:val="000000"/>
              </w:rPr>
              <w:t>0.25%</w:t>
            </w:r>
          </w:p>
        </w:tc>
      </w:tr>
      <w:tr w:rsidR="00DF18AB" w:rsidRPr="00DF18AB" w:rsidTr="00593B8C">
        <w:trPr>
          <w:trHeight w:val="158"/>
        </w:trPr>
        <w:tc>
          <w:tcPr>
            <w:tcW w:w="3227" w:type="dxa"/>
          </w:tcPr>
          <w:p w:rsidR="00DF18AB" w:rsidRPr="00DF18AB" w:rsidRDefault="00DF18AB" w:rsidP="00DF18AB">
            <w:pPr>
              <w:ind w:right="-245"/>
              <w:rPr>
                <w:rFonts w:cs="Arial"/>
                <w:b/>
              </w:rPr>
            </w:pPr>
            <w:r w:rsidRPr="00DF18AB">
              <w:rPr>
                <w:rFonts w:cs="Arial"/>
                <w:b/>
                <w:color w:val="000000"/>
              </w:rPr>
              <w:t>Description of indicator</w:t>
            </w:r>
          </w:p>
        </w:tc>
        <w:tc>
          <w:tcPr>
            <w:tcW w:w="5707" w:type="dxa"/>
          </w:tcPr>
          <w:p w:rsidR="00DF18AB" w:rsidRPr="00DF18AB" w:rsidRDefault="00DF18AB" w:rsidP="00DF18AB">
            <w:pPr>
              <w:keepNext/>
              <w:contextualSpacing/>
              <w:rPr>
                <w:rFonts w:cs="Arial"/>
              </w:rPr>
            </w:pPr>
            <w:r w:rsidRPr="00DF18AB">
              <w:rPr>
                <w:rFonts w:cs="Arial"/>
              </w:rPr>
              <w:t>The indicator aims to increase the number of wounds which have failed to heal after 4 weeks that receive a full wound assessment.</w:t>
            </w:r>
          </w:p>
        </w:tc>
      </w:tr>
      <w:tr w:rsidR="00DF18AB" w:rsidRPr="00DF18AB" w:rsidTr="00593B8C">
        <w:trPr>
          <w:trHeight w:val="158"/>
        </w:trPr>
        <w:tc>
          <w:tcPr>
            <w:tcW w:w="3227" w:type="dxa"/>
          </w:tcPr>
          <w:p w:rsidR="00DF18AB" w:rsidRPr="00DF18AB" w:rsidRDefault="00DF18AB" w:rsidP="00DF18AB">
            <w:pPr>
              <w:ind w:right="-245"/>
              <w:rPr>
                <w:rFonts w:cs="Arial"/>
                <w:b/>
              </w:rPr>
            </w:pPr>
            <w:r w:rsidRPr="00DF18AB">
              <w:rPr>
                <w:rFonts w:cs="Arial"/>
                <w:b/>
                <w:color w:val="000000"/>
              </w:rPr>
              <w:t>Numerator</w:t>
            </w:r>
          </w:p>
        </w:tc>
        <w:tc>
          <w:tcPr>
            <w:tcW w:w="5707" w:type="dxa"/>
          </w:tcPr>
          <w:p w:rsidR="00DF18AB" w:rsidRPr="00DF18AB" w:rsidRDefault="00DF18AB" w:rsidP="00DF18AB">
            <w:pPr>
              <w:rPr>
                <w:rFonts w:cs="Arial"/>
              </w:rPr>
            </w:pPr>
            <w:r w:rsidRPr="00DF18AB">
              <w:rPr>
                <w:rFonts w:cs="Arial"/>
              </w:rPr>
              <w:t xml:space="preserve">The indicator aims to increase the number of full wound assessments for wounds which have failed to heal after 4 weeks. </w:t>
            </w:r>
          </w:p>
        </w:tc>
      </w:tr>
      <w:tr w:rsidR="00DF18AB" w:rsidRPr="00DF18AB" w:rsidTr="00593B8C">
        <w:trPr>
          <w:trHeight w:val="158"/>
        </w:trPr>
        <w:tc>
          <w:tcPr>
            <w:tcW w:w="3227" w:type="dxa"/>
          </w:tcPr>
          <w:p w:rsidR="00DF18AB" w:rsidRPr="00DF18AB" w:rsidRDefault="00DF18AB" w:rsidP="00DF18AB">
            <w:pPr>
              <w:ind w:right="-245"/>
              <w:rPr>
                <w:rFonts w:cs="Arial"/>
                <w:b/>
              </w:rPr>
            </w:pPr>
            <w:r w:rsidRPr="00DF18AB">
              <w:rPr>
                <w:rFonts w:cs="Arial"/>
                <w:b/>
                <w:color w:val="000000"/>
              </w:rPr>
              <w:t>Denominator</w:t>
            </w:r>
          </w:p>
        </w:tc>
        <w:tc>
          <w:tcPr>
            <w:tcW w:w="5707" w:type="dxa"/>
          </w:tcPr>
          <w:p w:rsidR="00DF18AB" w:rsidRPr="00DF18AB" w:rsidRDefault="00DF18AB" w:rsidP="00DF18AB">
            <w:pPr>
              <w:keepNext/>
              <w:contextualSpacing/>
              <w:rPr>
                <w:rFonts w:cs="Arial"/>
              </w:rPr>
            </w:pPr>
            <w:r w:rsidRPr="00DF18AB">
              <w:rPr>
                <w:rFonts w:cs="Arial"/>
              </w:rPr>
              <w:t>Number of patients on the provider’s caseload with wounds that have failed to heal for 4 weeks or more following self-care, primary, community or specialist care within Q2 &amp; Q4 2017/18.</w:t>
            </w:r>
          </w:p>
        </w:tc>
      </w:tr>
      <w:tr w:rsidR="00DF18AB" w:rsidRPr="00DF18AB" w:rsidTr="00593B8C">
        <w:trPr>
          <w:trHeight w:val="158"/>
        </w:trPr>
        <w:tc>
          <w:tcPr>
            <w:tcW w:w="3227" w:type="dxa"/>
          </w:tcPr>
          <w:p w:rsidR="00DF18AB" w:rsidRPr="00DF18AB" w:rsidRDefault="00DF18AB" w:rsidP="00DF18AB">
            <w:pPr>
              <w:ind w:right="-245"/>
              <w:rPr>
                <w:rFonts w:cs="Arial"/>
                <w:b/>
              </w:rPr>
            </w:pPr>
            <w:r w:rsidRPr="00DF18AB">
              <w:rPr>
                <w:rFonts w:cs="Arial"/>
                <w:b/>
                <w:color w:val="000000"/>
              </w:rPr>
              <w:t>Rationale for inclusion</w:t>
            </w:r>
          </w:p>
        </w:tc>
        <w:tc>
          <w:tcPr>
            <w:tcW w:w="5707" w:type="dxa"/>
          </w:tcPr>
          <w:p w:rsidR="00DF18AB" w:rsidRPr="00DF18AB" w:rsidRDefault="00DF18AB" w:rsidP="00DF18AB">
            <w:pPr>
              <w:rPr>
                <w:rFonts w:cs="Arial"/>
              </w:rPr>
            </w:pPr>
            <w:r w:rsidRPr="00DF18AB">
              <w:rPr>
                <w:rFonts w:cs="Arial"/>
              </w:rPr>
              <w:t>Research evidence demonstrates that over 30% of chronic wounds identified in the CQUIN as wounds that have failed to heal for 4 weeks or more) do not receive a full assessment which is based on research evidence and best practice guidelines. Guidance on the components of a full wound assessment will be published via the Leading Change adding Value web page early in 2017.</w:t>
            </w:r>
          </w:p>
          <w:p w:rsidR="00DF18AB" w:rsidRPr="00DF18AB" w:rsidRDefault="00DF18AB" w:rsidP="00DF18AB">
            <w:pPr>
              <w:rPr>
                <w:rFonts w:cs="Arial"/>
              </w:rPr>
            </w:pPr>
            <w:r w:rsidRPr="00DF18AB">
              <w:rPr>
                <w:rFonts w:cs="Arial"/>
              </w:rPr>
              <w:t xml:space="preserve">Failure to complete a </w:t>
            </w:r>
            <w:r w:rsidRPr="00DF18AB">
              <w:rPr>
                <w:rFonts w:cs="Arial"/>
                <w:b/>
              </w:rPr>
              <w:t>full</w:t>
            </w:r>
            <w:r w:rsidRPr="00DF18AB">
              <w:rPr>
                <w:rFonts w:cs="Arial"/>
              </w:rPr>
              <w:t xml:space="preserve"> assessment can contribute to ineffective treatment which therefore   delays the rate of wound healing for patients. This has significant consequences for patients in respect of their quality of life as failure to treat wounds correctly can lead to delays in healing or failure to heal.</w:t>
            </w:r>
          </w:p>
          <w:p w:rsidR="00DF18AB" w:rsidRPr="00DF18AB" w:rsidRDefault="00DF18AB" w:rsidP="00DF18AB">
            <w:pPr>
              <w:rPr>
                <w:rFonts w:cs="Arial"/>
              </w:rPr>
            </w:pPr>
          </w:p>
          <w:p w:rsidR="00DF18AB" w:rsidRPr="00DF18AB" w:rsidRDefault="00DF18AB" w:rsidP="00DF18AB">
            <w:pPr>
              <w:rPr>
                <w:rFonts w:cs="Arial"/>
              </w:rPr>
            </w:pPr>
            <w:r w:rsidRPr="00DF18AB">
              <w:rPr>
                <w:rFonts w:cs="Arial"/>
              </w:rPr>
              <w:t>For providers and commissioners the delay in wound healing   relates to the resources being consumed inappropriately. Managing patients with wounds and their associated co-morbidities is estimated to cost the NHS £5.3 billion; the average cost of unhealed wounds is more than double that of healed wounds.  There is also significant variation in current practice.</w:t>
            </w:r>
          </w:p>
          <w:p w:rsidR="00DF18AB" w:rsidRPr="00DF18AB" w:rsidRDefault="00DF18AB" w:rsidP="00DF18AB">
            <w:pPr>
              <w:rPr>
                <w:rFonts w:cs="Arial"/>
              </w:rPr>
            </w:pPr>
          </w:p>
          <w:p w:rsidR="00DF18AB" w:rsidRPr="00DF18AB" w:rsidRDefault="00DF18AB" w:rsidP="00DF18AB">
            <w:pPr>
              <w:rPr>
                <w:rFonts w:cs="Arial"/>
              </w:rPr>
            </w:pPr>
            <w:r w:rsidRPr="00DF18AB">
              <w:rPr>
                <w:rFonts w:cs="Arial"/>
              </w:rPr>
              <w:t xml:space="preserve">A recent economic evaluation of a  wound care pathway for chronic wounds demonstrates that the current pathway experienced by many patients  delivers poorer outcomes at greater cost to the commissioner – the study estimates this cost to be approximately  10 times greater.   </w:t>
            </w:r>
          </w:p>
          <w:p w:rsidR="00DF18AB" w:rsidRPr="00DF18AB" w:rsidRDefault="00DF18AB" w:rsidP="00DF18AB">
            <w:pPr>
              <w:rPr>
                <w:rFonts w:cs="Arial"/>
              </w:rPr>
            </w:pPr>
          </w:p>
          <w:p w:rsidR="00DF18AB" w:rsidRPr="00DF18AB" w:rsidRDefault="00DF18AB" w:rsidP="00DF18AB">
            <w:pPr>
              <w:rPr>
                <w:rFonts w:cs="Arial"/>
              </w:rPr>
            </w:pPr>
            <w:r w:rsidRPr="00DF18AB">
              <w:rPr>
                <w:rFonts w:cs="Arial"/>
              </w:rPr>
              <w:t xml:space="preserve">Establishing a baseline figure through clinical audit </w:t>
            </w:r>
            <w:r w:rsidRPr="00DF18AB">
              <w:rPr>
                <w:rFonts w:cs="Arial"/>
              </w:rPr>
              <w:lastRenderedPageBreak/>
              <w:t xml:space="preserve">for the number of full wound assessments that are completed in  Q2 will enable service providers to review how their service is currently provided and to implement changes that will enable clinical practitioners to undertake full wound assessments for all patients who have  wounds that have not healed for 4 weeks or more. The audit should be undertaken on a minimum of 150 patients from  the provider caseload of patients who have a wound that has not healed within 4 week of it occurring. </w:t>
            </w:r>
          </w:p>
          <w:p w:rsidR="00DF18AB" w:rsidRPr="00DF18AB" w:rsidRDefault="00DF18AB" w:rsidP="00DF18AB">
            <w:pPr>
              <w:rPr>
                <w:rFonts w:cs="Arial"/>
              </w:rPr>
            </w:pPr>
          </w:p>
          <w:p w:rsidR="00DF18AB" w:rsidRPr="00DF18AB" w:rsidRDefault="00DF18AB" w:rsidP="00DF18AB">
            <w:pPr>
              <w:rPr>
                <w:rFonts w:cs="Arial"/>
              </w:rPr>
            </w:pPr>
            <w:r w:rsidRPr="00DF18AB">
              <w:rPr>
                <w:rFonts w:cs="Arial"/>
              </w:rPr>
              <w:t xml:space="preserve">Increasing the number of patients who have a full assessment of wounds will promote the use of effective treatment based on the outcome of the assessment. </w:t>
            </w:r>
          </w:p>
        </w:tc>
      </w:tr>
      <w:tr w:rsidR="00DF18AB" w:rsidRPr="00DF18AB" w:rsidTr="00593B8C">
        <w:trPr>
          <w:trHeight w:val="158"/>
        </w:trPr>
        <w:tc>
          <w:tcPr>
            <w:tcW w:w="3227" w:type="dxa"/>
          </w:tcPr>
          <w:p w:rsidR="00DF18AB" w:rsidRPr="00DF18AB" w:rsidRDefault="00DF18AB" w:rsidP="00DF18AB">
            <w:pPr>
              <w:ind w:right="-245"/>
              <w:rPr>
                <w:rFonts w:cs="Arial"/>
                <w:b/>
              </w:rPr>
            </w:pPr>
            <w:r w:rsidRPr="00DF18AB">
              <w:rPr>
                <w:rFonts w:cs="Arial"/>
                <w:b/>
                <w:color w:val="000000"/>
              </w:rPr>
              <w:lastRenderedPageBreak/>
              <w:t>Data source</w:t>
            </w:r>
          </w:p>
        </w:tc>
        <w:tc>
          <w:tcPr>
            <w:tcW w:w="5707" w:type="dxa"/>
          </w:tcPr>
          <w:p w:rsidR="00DF18AB" w:rsidRPr="00DF18AB" w:rsidRDefault="00DF18AB" w:rsidP="00DF18AB">
            <w:pPr>
              <w:keepNext/>
              <w:tabs>
                <w:tab w:val="left" w:pos="2074"/>
              </w:tabs>
              <w:rPr>
                <w:rFonts w:cs="Arial"/>
              </w:rPr>
            </w:pPr>
            <w:r w:rsidRPr="00DF18AB">
              <w:rPr>
                <w:rFonts w:cs="Arial"/>
              </w:rPr>
              <w:t xml:space="preserve">Local baseline audit collection of a minimum of 150 patients on the caseload with a wound that has failed to heal within 4 weeks, which will be then, be submitted through a national data collection. </w:t>
            </w:r>
          </w:p>
        </w:tc>
      </w:tr>
      <w:tr w:rsidR="00DF18AB" w:rsidRPr="00DF18AB" w:rsidTr="00593B8C">
        <w:trPr>
          <w:trHeight w:val="158"/>
        </w:trPr>
        <w:tc>
          <w:tcPr>
            <w:tcW w:w="3227" w:type="dxa"/>
          </w:tcPr>
          <w:p w:rsidR="00DF18AB" w:rsidRPr="00DF18AB" w:rsidRDefault="00DF18AB" w:rsidP="00DF18AB">
            <w:pPr>
              <w:ind w:right="-245"/>
              <w:rPr>
                <w:rFonts w:cs="Arial"/>
                <w:b/>
              </w:rPr>
            </w:pPr>
            <w:r w:rsidRPr="00DF18AB">
              <w:rPr>
                <w:rFonts w:cs="Arial"/>
                <w:b/>
                <w:color w:val="000000"/>
              </w:rPr>
              <w:t>Frequency of data  collection</w:t>
            </w:r>
          </w:p>
        </w:tc>
        <w:tc>
          <w:tcPr>
            <w:tcW w:w="5707" w:type="dxa"/>
          </w:tcPr>
          <w:p w:rsidR="00DF18AB" w:rsidRPr="00DF18AB" w:rsidRDefault="00DF18AB" w:rsidP="00DF18AB">
            <w:pPr>
              <w:rPr>
                <w:rFonts w:cs="Arial"/>
              </w:rPr>
            </w:pPr>
            <w:r w:rsidRPr="00DF18AB">
              <w:rPr>
                <w:rFonts w:cs="Arial"/>
              </w:rPr>
              <w:t xml:space="preserve">6 monthly through a clinical audit undertaken in Q2 and Q4  </w:t>
            </w:r>
          </w:p>
        </w:tc>
      </w:tr>
      <w:tr w:rsidR="00DF18AB" w:rsidRPr="00DF18AB" w:rsidTr="00593B8C">
        <w:trPr>
          <w:trHeight w:val="158"/>
        </w:trPr>
        <w:tc>
          <w:tcPr>
            <w:tcW w:w="3227" w:type="dxa"/>
          </w:tcPr>
          <w:p w:rsidR="00DF18AB" w:rsidRPr="00DF18AB" w:rsidRDefault="00DF18AB" w:rsidP="00DF18AB">
            <w:pPr>
              <w:ind w:right="-245"/>
              <w:rPr>
                <w:rFonts w:cs="Arial"/>
                <w:b/>
              </w:rPr>
            </w:pPr>
            <w:r w:rsidRPr="00DF18AB">
              <w:rPr>
                <w:rFonts w:cs="Arial"/>
                <w:b/>
                <w:color w:val="000000"/>
              </w:rPr>
              <w:t>Organisation responsible for data collection</w:t>
            </w:r>
          </w:p>
        </w:tc>
        <w:tc>
          <w:tcPr>
            <w:tcW w:w="5707" w:type="dxa"/>
          </w:tcPr>
          <w:p w:rsidR="00DF18AB" w:rsidRPr="00DF18AB" w:rsidRDefault="00DF18AB" w:rsidP="00DF18AB">
            <w:pPr>
              <w:rPr>
                <w:rFonts w:cs="Arial"/>
              </w:rPr>
            </w:pPr>
            <w:r w:rsidRPr="00DF18AB">
              <w:rPr>
                <w:rFonts w:cs="Arial"/>
              </w:rPr>
              <w:t xml:space="preserve">Community Nursing Service Provider </w:t>
            </w:r>
          </w:p>
        </w:tc>
      </w:tr>
      <w:tr w:rsidR="00DF18AB" w:rsidRPr="00DF18AB" w:rsidTr="00593B8C">
        <w:trPr>
          <w:trHeight w:val="158"/>
        </w:trPr>
        <w:tc>
          <w:tcPr>
            <w:tcW w:w="3227" w:type="dxa"/>
          </w:tcPr>
          <w:p w:rsidR="00DF18AB" w:rsidRPr="00DF18AB" w:rsidRDefault="00DF18AB" w:rsidP="00DF18AB">
            <w:pPr>
              <w:ind w:right="-245"/>
              <w:rPr>
                <w:rFonts w:cs="Arial"/>
                <w:b/>
              </w:rPr>
            </w:pPr>
            <w:r w:rsidRPr="00DF18AB">
              <w:rPr>
                <w:rFonts w:cs="Arial"/>
                <w:b/>
                <w:color w:val="000000"/>
              </w:rPr>
              <w:t>Frequency of reporting to commissioner</w:t>
            </w:r>
          </w:p>
        </w:tc>
        <w:tc>
          <w:tcPr>
            <w:tcW w:w="5707" w:type="dxa"/>
          </w:tcPr>
          <w:p w:rsidR="00DF18AB" w:rsidRPr="00DF18AB" w:rsidRDefault="00DF18AB" w:rsidP="00DF18AB">
            <w:pPr>
              <w:rPr>
                <w:rFonts w:cs="Arial"/>
              </w:rPr>
            </w:pPr>
            <w:r w:rsidRPr="00DF18AB">
              <w:rPr>
                <w:rFonts w:cs="Arial"/>
              </w:rPr>
              <w:t>Quarter 1 : Establish Clinical Audit plan</w:t>
            </w:r>
          </w:p>
          <w:p w:rsidR="00DF18AB" w:rsidRPr="00DF18AB" w:rsidRDefault="00DF18AB" w:rsidP="00DF18AB">
            <w:pPr>
              <w:rPr>
                <w:rFonts w:cs="Arial"/>
              </w:rPr>
            </w:pPr>
            <w:r w:rsidRPr="00DF18AB">
              <w:rPr>
                <w:rFonts w:cs="Arial"/>
              </w:rPr>
              <w:t>Quarter 2: Clinical Audit of wound assessments</w:t>
            </w:r>
          </w:p>
          <w:p w:rsidR="00DF18AB" w:rsidRPr="00DF18AB" w:rsidRDefault="00DF18AB" w:rsidP="00DF18AB">
            <w:pPr>
              <w:rPr>
                <w:rFonts w:cs="Arial"/>
              </w:rPr>
            </w:pPr>
            <w:r w:rsidRPr="00DF18AB">
              <w:rPr>
                <w:rFonts w:cs="Arial"/>
              </w:rPr>
              <w:t xml:space="preserve">Quarter3: Improvement Plan </w:t>
            </w:r>
          </w:p>
          <w:p w:rsidR="00DF18AB" w:rsidRPr="00DF18AB" w:rsidRDefault="00DF18AB" w:rsidP="00F63757">
            <w:pPr>
              <w:rPr>
                <w:rFonts w:cs="Arial"/>
              </w:rPr>
            </w:pPr>
            <w:r w:rsidRPr="00DF18AB">
              <w:rPr>
                <w:rFonts w:cs="Arial"/>
              </w:rPr>
              <w:t>Quarter 4:</w:t>
            </w:r>
            <w:r w:rsidR="00F63757">
              <w:rPr>
                <w:rFonts w:cs="Arial"/>
              </w:rPr>
              <w:t xml:space="preserve"> </w:t>
            </w:r>
            <w:r w:rsidRPr="00DF18AB">
              <w:rPr>
                <w:rFonts w:cs="Arial"/>
              </w:rPr>
              <w:t>Repeat Clinical Audit</w:t>
            </w:r>
          </w:p>
        </w:tc>
      </w:tr>
      <w:tr w:rsidR="00DF18AB" w:rsidRPr="00DF18AB" w:rsidTr="00593B8C">
        <w:trPr>
          <w:trHeight w:val="158"/>
        </w:trPr>
        <w:tc>
          <w:tcPr>
            <w:tcW w:w="3227" w:type="dxa"/>
          </w:tcPr>
          <w:p w:rsidR="00DF18AB" w:rsidRPr="00DF18AB" w:rsidRDefault="00DF18AB" w:rsidP="00DF18AB">
            <w:pPr>
              <w:ind w:right="-245"/>
              <w:rPr>
                <w:rFonts w:cs="Arial"/>
                <w:b/>
              </w:rPr>
            </w:pPr>
            <w:r w:rsidRPr="00DF18AB">
              <w:rPr>
                <w:rFonts w:cs="Arial"/>
                <w:b/>
                <w:color w:val="000000"/>
              </w:rPr>
              <w:t>Baseline period/date</w:t>
            </w:r>
          </w:p>
        </w:tc>
        <w:tc>
          <w:tcPr>
            <w:tcW w:w="5707" w:type="dxa"/>
          </w:tcPr>
          <w:p w:rsidR="00DF18AB" w:rsidRPr="00DF18AB" w:rsidRDefault="00DF18AB" w:rsidP="00DF18AB">
            <w:pPr>
              <w:rPr>
                <w:rFonts w:cs="Arial"/>
              </w:rPr>
            </w:pPr>
            <w:r w:rsidRPr="00DF18AB">
              <w:rPr>
                <w:rFonts w:cs="Arial"/>
              </w:rPr>
              <w:t>Q2 2017/18</w:t>
            </w:r>
          </w:p>
        </w:tc>
      </w:tr>
      <w:tr w:rsidR="00DF18AB" w:rsidRPr="00DF18AB" w:rsidTr="00593B8C">
        <w:trPr>
          <w:trHeight w:val="158"/>
        </w:trPr>
        <w:tc>
          <w:tcPr>
            <w:tcW w:w="3227" w:type="dxa"/>
          </w:tcPr>
          <w:p w:rsidR="00DF18AB" w:rsidRPr="00DF18AB" w:rsidRDefault="00DF18AB" w:rsidP="00DF18AB">
            <w:pPr>
              <w:ind w:right="-245"/>
              <w:rPr>
                <w:rFonts w:cs="Arial"/>
                <w:b/>
              </w:rPr>
            </w:pPr>
            <w:r w:rsidRPr="00DF18AB">
              <w:rPr>
                <w:rFonts w:cs="Arial"/>
                <w:b/>
                <w:color w:val="000000"/>
              </w:rPr>
              <w:t>Baseline value</w:t>
            </w:r>
          </w:p>
        </w:tc>
        <w:tc>
          <w:tcPr>
            <w:tcW w:w="5707" w:type="dxa"/>
          </w:tcPr>
          <w:p w:rsidR="00DF18AB" w:rsidRPr="00DF18AB" w:rsidRDefault="00DF18AB" w:rsidP="00DF18AB">
            <w:pPr>
              <w:rPr>
                <w:rFonts w:cs="Arial"/>
              </w:rPr>
            </w:pPr>
            <w:r w:rsidRPr="00DF18AB">
              <w:rPr>
                <w:rFonts w:cs="Arial"/>
              </w:rPr>
              <w:t xml:space="preserve">To be determined by outcome of Q2 clinical audit undertaken by Community Service provider. </w:t>
            </w:r>
          </w:p>
        </w:tc>
      </w:tr>
      <w:tr w:rsidR="00DF18AB" w:rsidRPr="00DF18AB" w:rsidTr="00593B8C">
        <w:trPr>
          <w:trHeight w:val="158"/>
        </w:trPr>
        <w:tc>
          <w:tcPr>
            <w:tcW w:w="3227" w:type="dxa"/>
          </w:tcPr>
          <w:p w:rsidR="00DF18AB" w:rsidRPr="00DF18AB" w:rsidRDefault="00DF18AB" w:rsidP="00DF18AB">
            <w:pPr>
              <w:ind w:right="-245"/>
              <w:rPr>
                <w:rFonts w:cs="Arial"/>
                <w:b/>
              </w:rPr>
            </w:pPr>
            <w:r w:rsidRPr="00DF18AB">
              <w:rPr>
                <w:rFonts w:cs="Arial"/>
                <w:b/>
                <w:color w:val="000000"/>
              </w:rPr>
              <w:t>Final indicator period/date (on which payment is based)</w:t>
            </w:r>
          </w:p>
        </w:tc>
        <w:tc>
          <w:tcPr>
            <w:tcW w:w="5707" w:type="dxa"/>
          </w:tcPr>
          <w:p w:rsidR="00DF18AB" w:rsidRPr="00DF18AB" w:rsidRDefault="00DF18AB" w:rsidP="00DF18AB">
            <w:pPr>
              <w:rPr>
                <w:rFonts w:cs="Arial"/>
              </w:rPr>
            </w:pPr>
            <w:r w:rsidRPr="00DF18AB">
              <w:rPr>
                <w:rFonts w:cs="Arial"/>
              </w:rPr>
              <w:t>Q4 2017/18</w:t>
            </w:r>
          </w:p>
        </w:tc>
      </w:tr>
      <w:tr w:rsidR="00DF18AB" w:rsidRPr="00DF18AB" w:rsidTr="00593B8C">
        <w:trPr>
          <w:trHeight w:val="158"/>
        </w:trPr>
        <w:tc>
          <w:tcPr>
            <w:tcW w:w="3227" w:type="dxa"/>
          </w:tcPr>
          <w:p w:rsidR="00DF18AB" w:rsidRPr="00DF18AB" w:rsidRDefault="00DF18AB" w:rsidP="00DF18AB">
            <w:pPr>
              <w:ind w:right="-245"/>
              <w:rPr>
                <w:rFonts w:cs="Arial"/>
                <w:b/>
              </w:rPr>
            </w:pPr>
            <w:r w:rsidRPr="00DF18AB">
              <w:rPr>
                <w:rFonts w:cs="Arial"/>
                <w:b/>
                <w:color w:val="000000"/>
              </w:rPr>
              <w:t>Final indicator value (payment threshold)</w:t>
            </w:r>
          </w:p>
        </w:tc>
        <w:tc>
          <w:tcPr>
            <w:tcW w:w="5707" w:type="dxa"/>
          </w:tcPr>
          <w:p w:rsidR="00DF18AB" w:rsidRPr="00DF18AB" w:rsidRDefault="00DF18AB" w:rsidP="00DF18AB">
            <w:pPr>
              <w:rPr>
                <w:rFonts w:cs="Arial"/>
                <w:bCs w:val="0"/>
                <w:color w:val="000000"/>
              </w:rPr>
            </w:pPr>
            <w:r w:rsidRPr="00DF18AB">
              <w:rPr>
                <w:rFonts w:cs="Arial"/>
                <w:color w:val="000000"/>
              </w:rPr>
              <w:t xml:space="preserve">Payment to be based on establishing the baseline in Q2 and on achieving locally agreed levels of improvement over that baseline for Q4. </w:t>
            </w:r>
          </w:p>
          <w:p w:rsidR="00DF18AB" w:rsidRPr="00DF18AB" w:rsidRDefault="00DF18AB" w:rsidP="00DF18AB">
            <w:pPr>
              <w:rPr>
                <w:rFonts w:cs="Arial"/>
                <w:bCs w:val="0"/>
                <w:color w:val="000000"/>
              </w:rPr>
            </w:pPr>
          </w:p>
          <w:p w:rsidR="00DF18AB" w:rsidRPr="00DF18AB" w:rsidRDefault="00DF18AB" w:rsidP="00DF18AB">
            <w:pPr>
              <w:rPr>
                <w:rFonts w:cs="Arial"/>
                <w:bCs w:val="0"/>
                <w:color w:val="000000"/>
              </w:rPr>
            </w:pPr>
            <w:r w:rsidRPr="00DF18AB">
              <w:rPr>
                <w:rFonts w:cs="Arial"/>
                <w:color w:val="000000"/>
              </w:rPr>
              <w:t>Payment in Year 2 will be based on achievement of nationally set absolute levels of performance in Q2 and Q4. These payments will be developed nationally based on an assessment of national data returns and a further review of the latest evidence.</w:t>
            </w:r>
          </w:p>
        </w:tc>
      </w:tr>
      <w:tr w:rsidR="00DF18AB" w:rsidRPr="00DF18AB" w:rsidTr="00593B8C">
        <w:trPr>
          <w:trHeight w:val="158"/>
        </w:trPr>
        <w:tc>
          <w:tcPr>
            <w:tcW w:w="3227" w:type="dxa"/>
          </w:tcPr>
          <w:p w:rsidR="00DF18AB" w:rsidRPr="00DF18AB" w:rsidRDefault="00DF18AB" w:rsidP="00DF18AB">
            <w:pPr>
              <w:ind w:right="-245"/>
              <w:rPr>
                <w:rFonts w:cs="Arial"/>
                <w:b/>
              </w:rPr>
            </w:pPr>
            <w:r w:rsidRPr="00DF18AB">
              <w:rPr>
                <w:rFonts w:cs="Arial"/>
                <w:b/>
                <w:color w:val="000000"/>
              </w:rPr>
              <w:t>Final indicator reporting date</w:t>
            </w:r>
          </w:p>
        </w:tc>
        <w:tc>
          <w:tcPr>
            <w:tcW w:w="5707" w:type="dxa"/>
          </w:tcPr>
          <w:p w:rsidR="00DF18AB" w:rsidRPr="00DF18AB" w:rsidRDefault="00DF18AB" w:rsidP="00DF18AB">
            <w:pPr>
              <w:rPr>
                <w:rFonts w:cs="Arial"/>
              </w:rPr>
            </w:pPr>
            <w:r w:rsidRPr="00DF18AB">
              <w:rPr>
                <w:rFonts w:cs="Arial"/>
              </w:rPr>
              <w:t>18 April 2018 to local commissioners with submission to national data base by 30 April 2018</w:t>
            </w:r>
          </w:p>
        </w:tc>
      </w:tr>
      <w:tr w:rsidR="00DF18AB" w:rsidRPr="00DF18AB" w:rsidTr="00593B8C">
        <w:trPr>
          <w:trHeight w:val="158"/>
        </w:trPr>
        <w:tc>
          <w:tcPr>
            <w:tcW w:w="3227" w:type="dxa"/>
          </w:tcPr>
          <w:p w:rsidR="00DF18AB" w:rsidRPr="00DF18AB" w:rsidRDefault="00DF18AB" w:rsidP="00DF18AB">
            <w:pPr>
              <w:ind w:right="-245"/>
              <w:rPr>
                <w:rFonts w:cs="Arial"/>
                <w:b/>
              </w:rPr>
            </w:pPr>
            <w:r w:rsidRPr="00DF18AB">
              <w:rPr>
                <w:rFonts w:cs="Arial"/>
                <w:b/>
                <w:color w:val="000000"/>
              </w:rPr>
              <w:t>Are there rules for any agreed in-year milestones that result in payment?</w:t>
            </w:r>
          </w:p>
        </w:tc>
        <w:tc>
          <w:tcPr>
            <w:tcW w:w="5707" w:type="dxa"/>
          </w:tcPr>
          <w:p w:rsidR="00DF18AB" w:rsidRPr="00DF18AB" w:rsidRDefault="00DF18AB" w:rsidP="00DF18AB">
            <w:pPr>
              <w:rPr>
                <w:rFonts w:cs="Arial"/>
              </w:rPr>
            </w:pPr>
            <w:r w:rsidRPr="00DF18AB">
              <w:rPr>
                <w:rFonts w:cs="Arial"/>
              </w:rPr>
              <w:t>Completion of Clinical Audit and Improvement plan by end of Q2 and sharing of results with Commissioner and submission to national data collection by 18 November 2017.</w:t>
            </w:r>
          </w:p>
        </w:tc>
      </w:tr>
      <w:tr w:rsidR="00DF18AB" w:rsidRPr="00DF18AB" w:rsidTr="00593B8C">
        <w:trPr>
          <w:trHeight w:val="158"/>
        </w:trPr>
        <w:tc>
          <w:tcPr>
            <w:tcW w:w="3227" w:type="dxa"/>
          </w:tcPr>
          <w:p w:rsidR="00DF18AB" w:rsidRPr="00DF18AB" w:rsidRDefault="00DF18AB" w:rsidP="00DF18AB">
            <w:pPr>
              <w:ind w:right="-245"/>
              <w:rPr>
                <w:rFonts w:cs="Arial"/>
                <w:b/>
                <w:bCs w:val="0"/>
                <w:color w:val="000000"/>
              </w:rPr>
            </w:pPr>
            <w:r w:rsidRPr="00DF18AB">
              <w:rPr>
                <w:rFonts w:cs="Arial"/>
                <w:b/>
                <w:color w:val="000000"/>
                <w:lang w:eastAsia="en-GB"/>
              </w:rPr>
              <w:t xml:space="preserve">Are there any rules for </w:t>
            </w:r>
            <w:r w:rsidRPr="00DF18AB">
              <w:rPr>
                <w:rFonts w:cs="Arial"/>
                <w:b/>
                <w:color w:val="000000"/>
                <w:lang w:eastAsia="en-GB"/>
              </w:rPr>
              <w:lastRenderedPageBreak/>
              <w:t>partial achievement of the indicator at the final indicator period/date?</w:t>
            </w:r>
          </w:p>
        </w:tc>
        <w:tc>
          <w:tcPr>
            <w:tcW w:w="5707" w:type="dxa"/>
          </w:tcPr>
          <w:p w:rsidR="00DF18AB" w:rsidRPr="00DF18AB" w:rsidRDefault="00DF18AB" w:rsidP="00DF18AB">
            <w:pPr>
              <w:rPr>
                <w:rFonts w:eastAsia="Calibri" w:cs="Arial"/>
                <w:bCs w:val="0"/>
              </w:rPr>
            </w:pPr>
            <w:r w:rsidRPr="00DF18AB">
              <w:rPr>
                <w:rFonts w:cs="Arial"/>
              </w:rPr>
              <w:lastRenderedPageBreak/>
              <w:t>Yes – see table below</w:t>
            </w:r>
          </w:p>
        </w:tc>
      </w:tr>
    </w:tbl>
    <w:p w:rsidR="00DF18AB" w:rsidRPr="00DF18AB" w:rsidRDefault="00DF18AB" w:rsidP="00DF18AB">
      <w:pPr>
        <w:rPr>
          <w:lang w:eastAsia="en-GB"/>
        </w:rPr>
      </w:pPr>
    </w:p>
    <w:p w:rsidR="00DF18AB" w:rsidRPr="00DF18AB" w:rsidRDefault="00DF18AB" w:rsidP="00DF18AB">
      <w:pPr>
        <w:keepNext/>
        <w:keepLines/>
        <w:outlineLvl w:val="3"/>
        <w:rPr>
          <w:rFonts w:eastAsiaTheme="majorEastAsia" w:cstheme="majorBidi"/>
          <w:b/>
          <w:bCs w:val="0"/>
          <w:iCs/>
          <w:color w:val="A00054" w:themeColor="accent2"/>
          <w:lang w:eastAsia="en-GB"/>
        </w:rPr>
      </w:pPr>
      <w:r w:rsidRPr="00DF18AB">
        <w:rPr>
          <w:rFonts w:eastAsiaTheme="majorEastAsia" w:cstheme="majorBidi"/>
          <w:b/>
          <w:bCs w:val="0"/>
          <w:iCs/>
          <w:color w:val="A00054" w:themeColor="accent2"/>
          <w:lang w:eastAsia="en-GB"/>
        </w:rPr>
        <w:t>Milestones for indicator 10</w:t>
      </w:r>
    </w:p>
    <w:p w:rsidR="00DF18AB" w:rsidRPr="00DF18AB" w:rsidRDefault="00DF18AB" w:rsidP="00DF18AB">
      <w:pPr>
        <w:rPr>
          <w:lang w:eastAsia="en-GB"/>
        </w:rPr>
      </w:pPr>
    </w:p>
    <w:tbl>
      <w:tblPr>
        <w:tblW w:w="8931"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79"/>
        <w:gridCol w:w="2316"/>
        <w:gridCol w:w="1506"/>
        <w:gridCol w:w="3430"/>
      </w:tblGrid>
      <w:tr w:rsidR="00DF18AB" w:rsidRPr="00DF18AB" w:rsidTr="00593B8C">
        <w:trPr>
          <w:cantSplit/>
          <w:trHeight w:val="784"/>
          <w:tblHeader/>
        </w:trPr>
        <w:tc>
          <w:tcPr>
            <w:tcW w:w="1679" w:type="dxa"/>
            <w:shd w:val="clear" w:color="auto" w:fill="0070C0"/>
            <w:noWrap/>
          </w:tcPr>
          <w:p w:rsidR="00DF18AB" w:rsidRPr="00DF18AB" w:rsidRDefault="00DF18AB" w:rsidP="00DF18AB">
            <w:pPr>
              <w:rPr>
                <w:rFonts w:cs="Arial"/>
                <w:b/>
                <w:bCs w:val="0"/>
                <w:color w:val="FFFFFF" w:themeColor="background1"/>
                <w:lang w:eastAsia="en-GB"/>
              </w:rPr>
            </w:pPr>
            <w:r w:rsidRPr="00DF18AB">
              <w:rPr>
                <w:rFonts w:cs="Arial"/>
                <w:b/>
                <w:color w:val="FFFFFF" w:themeColor="background1"/>
                <w:lang w:eastAsia="en-GB"/>
              </w:rPr>
              <w:t>Date/period milestone relates to</w:t>
            </w:r>
          </w:p>
        </w:tc>
        <w:tc>
          <w:tcPr>
            <w:tcW w:w="2316" w:type="dxa"/>
            <w:shd w:val="clear" w:color="auto" w:fill="0070C0"/>
          </w:tcPr>
          <w:p w:rsidR="00DF18AB" w:rsidRPr="00DF18AB" w:rsidRDefault="00DF18AB" w:rsidP="00DF18AB">
            <w:pPr>
              <w:rPr>
                <w:rFonts w:cs="Arial"/>
                <w:b/>
                <w:bCs w:val="0"/>
                <w:color w:val="FFFFFF" w:themeColor="background1"/>
                <w:lang w:eastAsia="en-GB"/>
              </w:rPr>
            </w:pPr>
            <w:r w:rsidRPr="00DF18AB">
              <w:rPr>
                <w:rFonts w:cs="Arial"/>
                <w:b/>
                <w:color w:val="FFFFFF" w:themeColor="background1"/>
                <w:lang w:eastAsia="en-GB"/>
              </w:rPr>
              <w:t>Rules for achievement of milestones (including evidence to be supplied to commissioner)</w:t>
            </w:r>
          </w:p>
        </w:tc>
        <w:tc>
          <w:tcPr>
            <w:tcW w:w="1506" w:type="dxa"/>
            <w:shd w:val="clear" w:color="auto" w:fill="0070C0"/>
          </w:tcPr>
          <w:p w:rsidR="00DF18AB" w:rsidRPr="00DF18AB" w:rsidRDefault="00DF18AB" w:rsidP="00DF18AB">
            <w:pPr>
              <w:rPr>
                <w:rFonts w:cs="Arial"/>
                <w:b/>
                <w:bCs w:val="0"/>
                <w:color w:val="FFFFFF" w:themeColor="background1"/>
                <w:lang w:eastAsia="en-GB"/>
              </w:rPr>
            </w:pPr>
            <w:r w:rsidRPr="00DF18AB">
              <w:rPr>
                <w:rFonts w:cs="Arial"/>
                <w:b/>
                <w:color w:val="FFFFFF" w:themeColor="background1"/>
                <w:lang w:eastAsia="en-GB"/>
              </w:rPr>
              <w:t>Date milestone to be reported</w:t>
            </w:r>
          </w:p>
        </w:tc>
        <w:tc>
          <w:tcPr>
            <w:tcW w:w="3430" w:type="dxa"/>
            <w:shd w:val="clear" w:color="auto" w:fill="0070C0"/>
          </w:tcPr>
          <w:p w:rsidR="00DF18AB" w:rsidRPr="00DF18AB" w:rsidRDefault="00DF18AB" w:rsidP="00DF18AB">
            <w:pPr>
              <w:rPr>
                <w:rFonts w:cs="Arial"/>
                <w:b/>
                <w:bCs w:val="0"/>
                <w:color w:val="FFFFFF" w:themeColor="background1"/>
                <w:lang w:eastAsia="en-GB"/>
              </w:rPr>
            </w:pPr>
            <w:r w:rsidRPr="00DF18AB">
              <w:rPr>
                <w:rFonts w:cs="Arial"/>
                <w:b/>
                <w:color w:val="FFFFFF" w:themeColor="background1"/>
                <w:lang w:eastAsia="en-GB"/>
              </w:rPr>
              <w:t>Milestone weighting (% of CQUIN scheme available)</w:t>
            </w:r>
          </w:p>
        </w:tc>
      </w:tr>
      <w:tr w:rsidR="00DF18AB" w:rsidRPr="00DF18AB" w:rsidTr="00593B8C">
        <w:trPr>
          <w:cantSplit/>
          <w:trHeight w:val="301"/>
        </w:trPr>
        <w:tc>
          <w:tcPr>
            <w:tcW w:w="1679" w:type="dxa"/>
          </w:tcPr>
          <w:p w:rsidR="00DF18AB" w:rsidRPr="00DF18AB" w:rsidRDefault="00DF18AB" w:rsidP="00DF18AB">
            <w:pPr>
              <w:rPr>
                <w:rFonts w:cs="Arial"/>
                <w:b/>
                <w:bCs w:val="0"/>
              </w:rPr>
            </w:pPr>
            <w:r w:rsidRPr="00DF18AB">
              <w:rPr>
                <w:rFonts w:cs="Arial"/>
                <w:b/>
              </w:rPr>
              <w:t>Q1and 2 2017/18</w:t>
            </w:r>
          </w:p>
        </w:tc>
        <w:tc>
          <w:tcPr>
            <w:tcW w:w="2316" w:type="dxa"/>
          </w:tcPr>
          <w:p w:rsidR="00DF18AB" w:rsidRPr="00DF18AB" w:rsidRDefault="00DF18AB" w:rsidP="00DF18AB">
            <w:pPr>
              <w:autoSpaceDE w:val="0"/>
              <w:autoSpaceDN w:val="0"/>
              <w:adjustRightInd w:val="0"/>
              <w:ind w:left="55"/>
              <w:contextualSpacing/>
              <w:rPr>
                <w:rFonts w:cs="Arial"/>
                <w:bCs w:val="0"/>
              </w:rPr>
            </w:pPr>
            <w:r w:rsidRPr="00DF18AB">
              <w:rPr>
                <w:rFonts w:cs="Arial"/>
              </w:rPr>
              <w:t xml:space="preserve">Completion of Clinical audit to provide a baseline figure for the number of patients with chronic wounds that have received a full assessment. Full audit report and improvement plan with trajectory to be provided for commissioner. </w:t>
            </w:r>
          </w:p>
        </w:tc>
        <w:tc>
          <w:tcPr>
            <w:tcW w:w="1506" w:type="dxa"/>
          </w:tcPr>
          <w:p w:rsidR="00DF18AB" w:rsidRPr="00DF18AB" w:rsidRDefault="00DF18AB" w:rsidP="00DF18AB">
            <w:pPr>
              <w:rPr>
                <w:rFonts w:cs="Arial"/>
                <w:bCs w:val="0"/>
              </w:rPr>
            </w:pPr>
            <w:r w:rsidRPr="00DF18AB">
              <w:rPr>
                <w:rFonts w:cs="Arial"/>
              </w:rPr>
              <w:t>30 November 2017</w:t>
            </w:r>
          </w:p>
        </w:tc>
        <w:tc>
          <w:tcPr>
            <w:tcW w:w="3430" w:type="dxa"/>
          </w:tcPr>
          <w:p w:rsidR="00DF18AB" w:rsidRPr="00DF18AB" w:rsidRDefault="00DF18AB" w:rsidP="00DF18AB">
            <w:pPr>
              <w:rPr>
                <w:rFonts w:cs="Arial"/>
                <w:bCs w:val="0"/>
              </w:rPr>
            </w:pPr>
            <w:r w:rsidRPr="00DF18AB">
              <w:rPr>
                <w:rFonts w:cs="Arial"/>
              </w:rPr>
              <w:t xml:space="preserve">50% of year if baseline data collection established and improvement plan agreed. </w:t>
            </w:r>
          </w:p>
        </w:tc>
      </w:tr>
      <w:tr w:rsidR="00DF18AB" w:rsidRPr="00DF18AB" w:rsidTr="00593B8C">
        <w:trPr>
          <w:cantSplit/>
          <w:trHeight w:val="301"/>
        </w:trPr>
        <w:tc>
          <w:tcPr>
            <w:tcW w:w="1679" w:type="dxa"/>
          </w:tcPr>
          <w:p w:rsidR="00DF18AB" w:rsidRPr="00DF18AB" w:rsidRDefault="00DF18AB" w:rsidP="00DF18AB">
            <w:pPr>
              <w:rPr>
                <w:rFonts w:cs="Arial"/>
                <w:b/>
                <w:bCs w:val="0"/>
              </w:rPr>
            </w:pPr>
            <w:r w:rsidRPr="00DF18AB">
              <w:rPr>
                <w:rFonts w:cs="Arial"/>
                <w:b/>
              </w:rPr>
              <w:t>Q4 2017/18</w:t>
            </w:r>
          </w:p>
        </w:tc>
        <w:tc>
          <w:tcPr>
            <w:tcW w:w="2316" w:type="dxa"/>
          </w:tcPr>
          <w:p w:rsidR="00DF18AB" w:rsidRPr="00DF18AB" w:rsidRDefault="00DF18AB" w:rsidP="00DF18AB">
            <w:pPr>
              <w:autoSpaceDE w:val="0"/>
              <w:autoSpaceDN w:val="0"/>
              <w:adjustRightInd w:val="0"/>
              <w:ind w:left="55"/>
              <w:contextualSpacing/>
              <w:rPr>
                <w:rFonts w:cs="Arial"/>
                <w:bCs w:val="0"/>
              </w:rPr>
            </w:pPr>
            <w:r w:rsidRPr="00DF18AB">
              <w:rPr>
                <w:rFonts w:cs="Arial"/>
              </w:rPr>
              <w:t xml:space="preserve">Completion of clinical audit to demonstrate an improvement in the number of patients with chronic wound who have received a full wound assessment. </w:t>
            </w:r>
          </w:p>
        </w:tc>
        <w:tc>
          <w:tcPr>
            <w:tcW w:w="1506" w:type="dxa"/>
          </w:tcPr>
          <w:p w:rsidR="00DF18AB" w:rsidRPr="00DF18AB" w:rsidRDefault="00DF18AB" w:rsidP="00DF18AB">
            <w:pPr>
              <w:rPr>
                <w:rFonts w:cs="Arial"/>
                <w:bCs w:val="0"/>
              </w:rPr>
            </w:pPr>
            <w:r w:rsidRPr="00DF18AB">
              <w:rPr>
                <w:rFonts w:cs="Arial"/>
              </w:rPr>
              <w:t>31May 2018</w:t>
            </w:r>
          </w:p>
        </w:tc>
        <w:tc>
          <w:tcPr>
            <w:tcW w:w="3430" w:type="dxa"/>
          </w:tcPr>
          <w:p w:rsidR="00DF18AB" w:rsidRPr="00DF18AB" w:rsidRDefault="00DF18AB" w:rsidP="00DF18AB">
            <w:pPr>
              <w:rPr>
                <w:rFonts w:cs="Arial"/>
                <w:bCs w:val="0"/>
              </w:rPr>
            </w:pPr>
            <w:r w:rsidRPr="00DF18AB">
              <w:rPr>
                <w:rFonts w:cs="Arial"/>
              </w:rPr>
              <w:t>Maximum of 50% of year available based on the following achievement of locally agreed levels of improvement in the number of patients with chronic wound who have received a full wound assessment:</w:t>
            </w:r>
          </w:p>
          <w:p w:rsidR="00DF18AB" w:rsidRPr="00DF18AB" w:rsidRDefault="00DF18AB" w:rsidP="00DF18AB">
            <w:pPr>
              <w:rPr>
                <w:rFonts w:cs="Arial"/>
                <w:bCs w:val="0"/>
              </w:rPr>
            </w:pPr>
          </w:p>
          <w:p w:rsidR="00DF18AB" w:rsidRPr="00DF18AB" w:rsidRDefault="00DF18AB" w:rsidP="00DF18AB">
            <w:pPr>
              <w:rPr>
                <w:rFonts w:cs="Arial"/>
                <w:bCs w:val="0"/>
              </w:rPr>
            </w:pPr>
          </w:p>
        </w:tc>
      </w:tr>
      <w:tr w:rsidR="00DF18AB" w:rsidRPr="00DF18AB" w:rsidTr="00593B8C">
        <w:trPr>
          <w:cantSplit/>
          <w:trHeight w:val="301"/>
        </w:trPr>
        <w:tc>
          <w:tcPr>
            <w:tcW w:w="1679" w:type="dxa"/>
          </w:tcPr>
          <w:p w:rsidR="00DF18AB" w:rsidRPr="00DF18AB" w:rsidRDefault="00DF18AB" w:rsidP="00DF18AB">
            <w:pPr>
              <w:rPr>
                <w:rFonts w:cs="Arial"/>
                <w:b/>
                <w:bCs w:val="0"/>
              </w:rPr>
            </w:pPr>
            <w:r w:rsidRPr="00DF18AB">
              <w:rPr>
                <w:rFonts w:cs="Arial"/>
                <w:b/>
              </w:rPr>
              <w:t>Year 2 2018/19</w:t>
            </w:r>
          </w:p>
        </w:tc>
        <w:tc>
          <w:tcPr>
            <w:tcW w:w="2316" w:type="dxa"/>
          </w:tcPr>
          <w:p w:rsidR="00DF18AB" w:rsidRPr="00DF18AB" w:rsidRDefault="00DF18AB" w:rsidP="00DF18AB">
            <w:pPr>
              <w:autoSpaceDE w:val="0"/>
              <w:autoSpaceDN w:val="0"/>
              <w:adjustRightInd w:val="0"/>
              <w:ind w:left="55"/>
              <w:contextualSpacing/>
              <w:rPr>
                <w:rFonts w:cs="Arial"/>
                <w:bCs w:val="0"/>
              </w:rPr>
            </w:pPr>
            <w:r w:rsidRPr="00DF18AB">
              <w:rPr>
                <w:rFonts w:cs="Arial"/>
              </w:rPr>
              <w:t xml:space="preserve">Achievement of the CQUIN in Year 2 will be based on achievement of nationally set absolute levels of performance in Q2 and Q4. </w:t>
            </w:r>
          </w:p>
        </w:tc>
        <w:tc>
          <w:tcPr>
            <w:tcW w:w="1506" w:type="dxa"/>
          </w:tcPr>
          <w:p w:rsidR="00DF18AB" w:rsidRPr="00DF18AB" w:rsidRDefault="00DF18AB" w:rsidP="00DF18AB">
            <w:pPr>
              <w:rPr>
                <w:rFonts w:cs="Arial"/>
                <w:bCs w:val="0"/>
              </w:rPr>
            </w:pPr>
            <w:r w:rsidRPr="00DF18AB">
              <w:rPr>
                <w:rFonts w:cs="Arial"/>
              </w:rPr>
              <w:t>30 November 2018 - Q2 audit</w:t>
            </w:r>
          </w:p>
          <w:p w:rsidR="00DF18AB" w:rsidRPr="00DF18AB" w:rsidRDefault="00DF18AB" w:rsidP="00DF18AB">
            <w:pPr>
              <w:rPr>
                <w:rFonts w:cs="Arial"/>
                <w:bCs w:val="0"/>
              </w:rPr>
            </w:pPr>
          </w:p>
          <w:p w:rsidR="00DF18AB" w:rsidRPr="00DF18AB" w:rsidRDefault="00DF18AB" w:rsidP="00DF18AB">
            <w:pPr>
              <w:rPr>
                <w:rFonts w:cs="Arial"/>
                <w:bCs w:val="0"/>
              </w:rPr>
            </w:pPr>
          </w:p>
          <w:p w:rsidR="00DF18AB" w:rsidRPr="00DF18AB" w:rsidRDefault="00DF18AB" w:rsidP="00DF18AB">
            <w:pPr>
              <w:rPr>
                <w:rFonts w:cs="Arial"/>
                <w:bCs w:val="0"/>
              </w:rPr>
            </w:pPr>
            <w:r w:rsidRPr="00DF18AB">
              <w:rPr>
                <w:rFonts w:cs="Arial"/>
              </w:rPr>
              <w:t xml:space="preserve">31 May 2019 – Q4 audit </w:t>
            </w:r>
          </w:p>
          <w:p w:rsidR="00DF18AB" w:rsidRPr="00DF18AB" w:rsidRDefault="00DF18AB" w:rsidP="00DF18AB">
            <w:pPr>
              <w:rPr>
                <w:rFonts w:cs="Arial"/>
                <w:bCs w:val="0"/>
              </w:rPr>
            </w:pPr>
          </w:p>
          <w:p w:rsidR="00DF18AB" w:rsidRPr="00DF18AB" w:rsidRDefault="00DF18AB" w:rsidP="00DF18AB">
            <w:pPr>
              <w:rPr>
                <w:rFonts w:cs="Arial"/>
                <w:bCs w:val="0"/>
              </w:rPr>
            </w:pPr>
          </w:p>
        </w:tc>
        <w:tc>
          <w:tcPr>
            <w:tcW w:w="3430" w:type="dxa"/>
          </w:tcPr>
          <w:p w:rsidR="00DF18AB" w:rsidRPr="00DF18AB" w:rsidRDefault="00DF18AB" w:rsidP="00DF18AB">
            <w:pPr>
              <w:rPr>
                <w:rFonts w:cs="Arial"/>
                <w:bCs w:val="0"/>
              </w:rPr>
            </w:pPr>
            <w:r w:rsidRPr="00DF18AB">
              <w:rPr>
                <w:rFonts w:cs="Arial"/>
                <w:bCs w:val="0"/>
              </w:rPr>
              <w:t>Maximum of 100% of year available based on achievement of nationally set absolute levels of performance in Q2 and Q4.</w:t>
            </w:r>
          </w:p>
          <w:p w:rsidR="00DF18AB" w:rsidRPr="00DF18AB" w:rsidRDefault="00DF18AB" w:rsidP="00DF18AB">
            <w:pPr>
              <w:rPr>
                <w:rFonts w:cs="Arial"/>
                <w:bCs w:val="0"/>
              </w:rPr>
            </w:pPr>
          </w:p>
          <w:p w:rsidR="00DF18AB" w:rsidRPr="00DF18AB" w:rsidRDefault="00DF18AB" w:rsidP="00DF18AB">
            <w:pPr>
              <w:rPr>
                <w:rFonts w:cs="Arial"/>
                <w:bCs w:val="0"/>
              </w:rPr>
            </w:pPr>
          </w:p>
          <w:p w:rsidR="00DF18AB" w:rsidRPr="00DF18AB" w:rsidRDefault="00DF18AB" w:rsidP="00DF18AB">
            <w:pPr>
              <w:rPr>
                <w:rFonts w:cs="Arial"/>
                <w:bCs w:val="0"/>
              </w:rPr>
            </w:pPr>
          </w:p>
        </w:tc>
      </w:tr>
    </w:tbl>
    <w:p w:rsidR="00DF18AB" w:rsidRDefault="00DF18AB" w:rsidP="00DF18AB">
      <w:pPr>
        <w:rPr>
          <w:lang w:eastAsia="en-GB"/>
        </w:rPr>
      </w:pPr>
    </w:p>
    <w:p w:rsidR="001F3C54" w:rsidRDefault="001F3C54" w:rsidP="00DF18AB">
      <w:pPr>
        <w:rPr>
          <w:lang w:eastAsia="en-GB"/>
        </w:rPr>
      </w:pPr>
    </w:p>
    <w:p w:rsidR="00731A98" w:rsidRPr="00DF18AB" w:rsidRDefault="00731A98" w:rsidP="00731A98">
      <w:pPr>
        <w:pStyle w:val="Heading4"/>
        <w:rPr>
          <w:lang w:eastAsia="en-GB"/>
        </w:rPr>
      </w:pPr>
      <w:r w:rsidRPr="00DF18AB">
        <w:rPr>
          <w:lang w:eastAsia="en-GB"/>
        </w:rPr>
        <w:t>Ru</w:t>
      </w:r>
      <w:r>
        <w:rPr>
          <w:lang w:eastAsia="en-GB"/>
        </w:rPr>
        <w:t>les for partial achievement of indicator 10</w:t>
      </w:r>
    </w:p>
    <w:p w:rsidR="00731A98" w:rsidRPr="00731A98" w:rsidRDefault="00731A98" w:rsidP="00731A98">
      <w:pPr>
        <w:rPr>
          <w:color w:val="FF0000"/>
          <w:lang w:eastAsia="en-GB"/>
        </w:rPr>
      </w:pPr>
    </w:p>
    <w:p w:rsidR="00731A98" w:rsidRPr="00731A98" w:rsidRDefault="00731A98" w:rsidP="00731A98">
      <w:pPr>
        <w:rPr>
          <w:rFonts w:eastAsiaTheme="majorEastAsia" w:cstheme="majorBidi"/>
          <w:b/>
          <w:iCs/>
        </w:rPr>
      </w:pPr>
      <w:r w:rsidRPr="00731A98">
        <w:rPr>
          <w:rFonts w:eastAsiaTheme="majorEastAsia" w:cstheme="majorBidi"/>
          <w:b/>
          <w:iCs/>
        </w:rPr>
        <w:t>Q4 2017/18</w:t>
      </w:r>
    </w:p>
    <w:p w:rsidR="001F3C54" w:rsidRDefault="001F3C54" w:rsidP="00DF18AB">
      <w:pPr>
        <w:rPr>
          <w:lang w:eastAsia="en-GB"/>
        </w:rPr>
      </w:pPr>
    </w:p>
    <w:tbl>
      <w:tblPr>
        <w:tblStyle w:val="TableGrid10"/>
        <w:tblW w:w="8897" w:type="dxa"/>
        <w:tblLook w:val="04A0" w:firstRow="1" w:lastRow="0" w:firstColumn="1" w:lastColumn="0" w:noHBand="0" w:noVBand="1"/>
        <w:tblCaption w:val="Indicator 10 milestone"/>
        <w:tblDescription w:val="Indicator 10 milestone details"/>
      </w:tblPr>
      <w:tblGrid>
        <w:gridCol w:w="4644"/>
        <w:gridCol w:w="4253"/>
      </w:tblGrid>
      <w:tr w:rsidR="00731A98" w:rsidRPr="00DF18AB" w:rsidTr="00731A98">
        <w:trPr>
          <w:trHeight w:val="135"/>
          <w:tblHeader/>
        </w:trPr>
        <w:tc>
          <w:tcPr>
            <w:tcW w:w="4644" w:type="dxa"/>
            <w:shd w:val="clear" w:color="auto" w:fill="0072C6" w:themeFill="text2"/>
          </w:tcPr>
          <w:p w:rsidR="00731A98" w:rsidRPr="00731A98" w:rsidRDefault="00731A98" w:rsidP="00A1078E">
            <w:pPr>
              <w:rPr>
                <w:rFonts w:cs="Arial"/>
                <w:b/>
                <w:color w:val="FFFFFF" w:themeColor="background1"/>
                <w:lang w:eastAsia="en-GB"/>
              </w:rPr>
            </w:pPr>
            <w:r w:rsidRPr="00731A98">
              <w:rPr>
                <w:rFonts w:cs="Arial"/>
                <w:b/>
                <w:color w:val="FFFFFF" w:themeColor="background1"/>
                <w:lang w:eastAsia="en-GB"/>
              </w:rPr>
              <w:t>Final indicator value for the partial achievement threshold</w:t>
            </w:r>
          </w:p>
        </w:tc>
        <w:tc>
          <w:tcPr>
            <w:tcW w:w="4253" w:type="dxa"/>
            <w:shd w:val="clear" w:color="auto" w:fill="0072C6" w:themeFill="text2"/>
          </w:tcPr>
          <w:p w:rsidR="00731A98" w:rsidRPr="00731A98" w:rsidRDefault="00731A98" w:rsidP="00A1078E">
            <w:pPr>
              <w:rPr>
                <w:rFonts w:cs="Arial"/>
                <w:b/>
                <w:color w:val="FFFFFF" w:themeColor="background1"/>
                <w:lang w:eastAsia="en-GB"/>
              </w:rPr>
            </w:pPr>
            <w:r w:rsidRPr="00731A98">
              <w:rPr>
                <w:rFonts w:cs="Arial"/>
                <w:b/>
                <w:color w:val="FFFFFF" w:themeColor="background1"/>
                <w:lang w:eastAsia="en-GB"/>
              </w:rPr>
              <w:t>% of CQUIN scheme available for meeting final indicator value</w:t>
            </w:r>
          </w:p>
        </w:tc>
      </w:tr>
      <w:tr w:rsidR="001F3C54" w:rsidRPr="00DF18AB" w:rsidTr="00731A98">
        <w:trPr>
          <w:trHeight w:val="135"/>
          <w:tblHeader/>
        </w:trPr>
        <w:tc>
          <w:tcPr>
            <w:tcW w:w="4644" w:type="dxa"/>
          </w:tcPr>
          <w:p w:rsidR="001F3C54" w:rsidRPr="00DF18AB" w:rsidRDefault="001F3C54" w:rsidP="00A1078E">
            <w:pPr>
              <w:rPr>
                <w:rFonts w:cs="Arial"/>
              </w:rPr>
            </w:pPr>
            <w:r w:rsidRPr="00DF18AB">
              <w:rPr>
                <w:rFonts w:cs="Arial"/>
              </w:rPr>
              <w:t>Achieved less than 33% of improvement target:</w:t>
            </w:r>
          </w:p>
        </w:tc>
        <w:tc>
          <w:tcPr>
            <w:tcW w:w="4253" w:type="dxa"/>
          </w:tcPr>
          <w:p w:rsidR="001F3C54" w:rsidRPr="00DF18AB" w:rsidRDefault="001F3C54" w:rsidP="00A1078E">
            <w:pPr>
              <w:rPr>
                <w:rFonts w:cs="Arial"/>
              </w:rPr>
            </w:pPr>
            <w:r w:rsidRPr="00DF18AB">
              <w:rPr>
                <w:rFonts w:cs="Arial"/>
              </w:rPr>
              <w:t>No payment</w:t>
            </w:r>
          </w:p>
        </w:tc>
      </w:tr>
      <w:tr w:rsidR="001F3C54" w:rsidRPr="00DF18AB" w:rsidTr="00731A98">
        <w:trPr>
          <w:trHeight w:val="135"/>
        </w:trPr>
        <w:tc>
          <w:tcPr>
            <w:tcW w:w="4644" w:type="dxa"/>
          </w:tcPr>
          <w:p w:rsidR="001F3C54" w:rsidRPr="00DF18AB" w:rsidRDefault="001F3C54" w:rsidP="00A1078E">
            <w:pPr>
              <w:rPr>
                <w:rFonts w:cs="Arial"/>
              </w:rPr>
            </w:pPr>
            <w:r w:rsidRPr="00DF18AB">
              <w:rPr>
                <w:rFonts w:cs="Arial"/>
              </w:rPr>
              <w:t>33-99.9% of target:</w:t>
            </w:r>
          </w:p>
        </w:tc>
        <w:tc>
          <w:tcPr>
            <w:tcW w:w="4253" w:type="dxa"/>
          </w:tcPr>
          <w:p w:rsidR="001F3C54" w:rsidRPr="00DF18AB" w:rsidRDefault="001F3C54" w:rsidP="00A1078E">
            <w:pPr>
              <w:rPr>
                <w:rFonts w:cs="Arial"/>
              </w:rPr>
            </w:pPr>
            <w:r w:rsidRPr="00DF18AB">
              <w:rPr>
                <w:rFonts w:cs="Arial"/>
              </w:rPr>
              <w:t>15%</w:t>
            </w:r>
          </w:p>
        </w:tc>
      </w:tr>
      <w:tr w:rsidR="001F3C54" w:rsidRPr="00DF18AB" w:rsidTr="00731A98">
        <w:trPr>
          <w:trHeight w:val="135"/>
        </w:trPr>
        <w:tc>
          <w:tcPr>
            <w:tcW w:w="4644" w:type="dxa"/>
          </w:tcPr>
          <w:p w:rsidR="001F3C54" w:rsidRPr="00DF18AB" w:rsidRDefault="001F3C54" w:rsidP="00A1078E">
            <w:pPr>
              <w:rPr>
                <w:rFonts w:cs="Arial"/>
              </w:rPr>
            </w:pPr>
            <w:r w:rsidRPr="00DF18AB">
              <w:rPr>
                <w:rFonts w:cs="Arial"/>
              </w:rPr>
              <w:t>100% or above:</w:t>
            </w:r>
          </w:p>
        </w:tc>
        <w:tc>
          <w:tcPr>
            <w:tcW w:w="4253" w:type="dxa"/>
          </w:tcPr>
          <w:p w:rsidR="001F3C54" w:rsidRPr="00DF18AB" w:rsidRDefault="001F3C54" w:rsidP="00A1078E">
            <w:pPr>
              <w:rPr>
                <w:rFonts w:cs="Arial"/>
              </w:rPr>
            </w:pPr>
            <w:r w:rsidRPr="00DF18AB">
              <w:rPr>
                <w:rFonts w:cs="Arial"/>
              </w:rPr>
              <w:t>50%</w:t>
            </w:r>
          </w:p>
        </w:tc>
      </w:tr>
    </w:tbl>
    <w:p w:rsidR="001F3C54" w:rsidRDefault="001F3C54" w:rsidP="00DF18AB">
      <w:pPr>
        <w:rPr>
          <w:lang w:eastAsia="en-GB"/>
        </w:rPr>
      </w:pPr>
    </w:p>
    <w:p w:rsidR="001F3C54" w:rsidRDefault="001F3C54" w:rsidP="001F3C54">
      <w:pPr>
        <w:rPr>
          <w:rFonts w:cs="Arial"/>
          <w:b/>
          <w:bCs w:val="0"/>
        </w:rPr>
      </w:pPr>
      <w:r w:rsidRPr="00731A98">
        <w:rPr>
          <w:rFonts w:cs="Arial"/>
          <w:b/>
          <w:bCs w:val="0"/>
        </w:rPr>
        <w:t>Q2:</w:t>
      </w:r>
      <w:r w:rsidR="00731A98" w:rsidRPr="00731A98">
        <w:rPr>
          <w:rFonts w:cs="Arial"/>
          <w:b/>
          <w:bCs w:val="0"/>
        </w:rPr>
        <w:t>2018/19</w:t>
      </w:r>
    </w:p>
    <w:p w:rsidR="00731A98" w:rsidRPr="00731A98" w:rsidRDefault="00731A98" w:rsidP="001F3C54">
      <w:pPr>
        <w:rPr>
          <w:rFonts w:cs="Arial"/>
          <w:b/>
          <w:bCs w:val="0"/>
        </w:rPr>
      </w:pPr>
    </w:p>
    <w:tbl>
      <w:tblPr>
        <w:tblStyle w:val="TableGrid10"/>
        <w:tblW w:w="8897" w:type="dxa"/>
        <w:tblLook w:val="04A0" w:firstRow="1" w:lastRow="0" w:firstColumn="1" w:lastColumn="0" w:noHBand="0" w:noVBand="1"/>
        <w:tblCaption w:val="Indicator 10 milestone"/>
        <w:tblDescription w:val="Indicator 10 milestone detail quarter 2"/>
      </w:tblPr>
      <w:tblGrid>
        <w:gridCol w:w="4644"/>
        <w:gridCol w:w="4253"/>
      </w:tblGrid>
      <w:tr w:rsidR="00731A98" w:rsidRPr="00DF18AB" w:rsidTr="00731A98">
        <w:trPr>
          <w:trHeight w:val="135"/>
          <w:tblHeader/>
        </w:trPr>
        <w:tc>
          <w:tcPr>
            <w:tcW w:w="4644" w:type="dxa"/>
            <w:shd w:val="clear" w:color="auto" w:fill="0072C6" w:themeFill="text2"/>
          </w:tcPr>
          <w:p w:rsidR="00731A98" w:rsidRPr="00731A98" w:rsidRDefault="00731A98" w:rsidP="00A1078E">
            <w:pPr>
              <w:rPr>
                <w:rFonts w:cs="Arial"/>
                <w:b/>
                <w:color w:val="FFFFFF" w:themeColor="background1"/>
                <w:lang w:eastAsia="en-GB"/>
              </w:rPr>
            </w:pPr>
            <w:r w:rsidRPr="00731A98">
              <w:rPr>
                <w:rFonts w:cs="Arial"/>
                <w:b/>
                <w:color w:val="FFFFFF" w:themeColor="background1"/>
                <w:lang w:eastAsia="en-GB"/>
              </w:rPr>
              <w:t>Final indicator value for the partial achievement threshold</w:t>
            </w:r>
          </w:p>
        </w:tc>
        <w:tc>
          <w:tcPr>
            <w:tcW w:w="4253" w:type="dxa"/>
            <w:shd w:val="clear" w:color="auto" w:fill="0072C6" w:themeFill="text2"/>
          </w:tcPr>
          <w:p w:rsidR="00731A98" w:rsidRPr="00731A98" w:rsidRDefault="00731A98" w:rsidP="00A1078E">
            <w:pPr>
              <w:rPr>
                <w:rFonts w:cs="Arial"/>
                <w:b/>
                <w:color w:val="FFFFFF" w:themeColor="background1"/>
                <w:lang w:eastAsia="en-GB"/>
              </w:rPr>
            </w:pPr>
            <w:r w:rsidRPr="00731A98">
              <w:rPr>
                <w:rFonts w:cs="Arial"/>
                <w:b/>
                <w:color w:val="FFFFFF" w:themeColor="background1"/>
                <w:lang w:eastAsia="en-GB"/>
              </w:rPr>
              <w:t>% of CQUIN scheme available for meeting final indicator value</w:t>
            </w:r>
          </w:p>
        </w:tc>
      </w:tr>
      <w:tr w:rsidR="001F3C54" w:rsidRPr="00DF18AB" w:rsidTr="00731A98">
        <w:trPr>
          <w:trHeight w:val="135"/>
          <w:tblHeader/>
        </w:trPr>
        <w:tc>
          <w:tcPr>
            <w:tcW w:w="4644" w:type="dxa"/>
          </w:tcPr>
          <w:p w:rsidR="001F3C54" w:rsidRPr="00DF18AB" w:rsidRDefault="001F3C54" w:rsidP="00A1078E">
            <w:pPr>
              <w:rPr>
                <w:rFonts w:cs="Arial"/>
              </w:rPr>
            </w:pPr>
            <w:r w:rsidRPr="00DF18AB">
              <w:rPr>
                <w:rFonts w:cs="Arial"/>
              </w:rPr>
              <w:t>Achieved less than 33% of target:</w:t>
            </w:r>
          </w:p>
        </w:tc>
        <w:tc>
          <w:tcPr>
            <w:tcW w:w="4253" w:type="dxa"/>
          </w:tcPr>
          <w:p w:rsidR="001F3C54" w:rsidRPr="00DF18AB" w:rsidRDefault="001F3C54" w:rsidP="00A1078E">
            <w:pPr>
              <w:rPr>
                <w:rFonts w:cs="Arial"/>
              </w:rPr>
            </w:pPr>
            <w:r w:rsidRPr="00DF18AB">
              <w:rPr>
                <w:rFonts w:cs="Arial"/>
              </w:rPr>
              <w:t>No payment</w:t>
            </w:r>
          </w:p>
        </w:tc>
      </w:tr>
      <w:tr w:rsidR="001F3C54" w:rsidRPr="00DF18AB" w:rsidTr="00731A98">
        <w:trPr>
          <w:trHeight w:val="135"/>
        </w:trPr>
        <w:tc>
          <w:tcPr>
            <w:tcW w:w="4644" w:type="dxa"/>
          </w:tcPr>
          <w:p w:rsidR="001F3C54" w:rsidRPr="00DF18AB" w:rsidRDefault="001F3C54" w:rsidP="00A1078E">
            <w:pPr>
              <w:rPr>
                <w:rFonts w:cs="Arial"/>
              </w:rPr>
            </w:pPr>
            <w:r w:rsidRPr="00DF18AB">
              <w:rPr>
                <w:rFonts w:cs="Arial"/>
              </w:rPr>
              <w:t>33-99.9% of target:</w:t>
            </w:r>
          </w:p>
        </w:tc>
        <w:tc>
          <w:tcPr>
            <w:tcW w:w="4253" w:type="dxa"/>
          </w:tcPr>
          <w:p w:rsidR="001F3C54" w:rsidRPr="00DF18AB" w:rsidRDefault="001F3C54" w:rsidP="00A1078E">
            <w:pPr>
              <w:rPr>
                <w:rFonts w:cs="Arial"/>
              </w:rPr>
            </w:pPr>
            <w:r w:rsidRPr="00DF18AB">
              <w:rPr>
                <w:rFonts w:cs="Arial"/>
              </w:rPr>
              <w:t>15%</w:t>
            </w:r>
          </w:p>
        </w:tc>
      </w:tr>
      <w:tr w:rsidR="001F3C54" w:rsidRPr="00DF18AB" w:rsidTr="00731A98">
        <w:trPr>
          <w:trHeight w:val="135"/>
        </w:trPr>
        <w:tc>
          <w:tcPr>
            <w:tcW w:w="4644" w:type="dxa"/>
          </w:tcPr>
          <w:p w:rsidR="001F3C54" w:rsidRPr="00DF18AB" w:rsidRDefault="001F3C54" w:rsidP="00A1078E">
            <w:pPr>
              <w:rPr>
                <w:rFonts w:cs="Arial"/>
              </w:rPr>
            </w:pPr>
            <w:r w:rsidRPr="00DF18AB">
              <w:rPr>
                <w:rFonts w:cs="Arial"/>
              </w:rPr>
              <w:t>100% or above:</w:t>
            </w:r>
          </w:p>
        </w:tc>
        <w:tc>
          <w:tcPr>
            <w:tcW w:w="4253" w:type="dxa"/>
          </w:tcPr>
          <w:p w:rsidR="001F3C54" w:rsidRPr="00DF18AB" w:rsidRDefault="001F3C54" w:rsidP="00A1078E">
            <w:pPr>
              <w:rPr>
                <w:rFonts w:cs="Arial"/>
              </w:rPr>
            </w:pPr>
            <w:r w:rsidRPr="00DF18AB">
              <w:rPr>
                <w:rFonts w:cs="Arial"/>
              </w:rPr>
              <w:t>50%</w:t>
            </w:r>
          </w:p>
        </w:tc>
      </w:tr>
    </w:tbl>
    <w:p w:rsidR="001F3C54" w:rsidRPr="00DF18AB" w:rsidRDefault="001F3C54" w:rsidP="001F3C54">
      <w:pPr>
        <w:rPr>
          <w:rFonts w:cs="Arial"/>
          <w:bCs w:val="0"/>
        </w:rPr>
      </w:pPr>
    </w:p>
    <w:p w:rsidR="001F3C54" w:rsidRDefault="001F3C54" w:rsidP="001F3C54">
      <w:pPr>
        <w:rPr>
          <w:rFonts w:cs="Arial"/>
          <w:b/>
          <w:bCs w:val="0"/>
        </w:rPr>
      </w:pPr>
      <w:r w:rsidRPr="00731A98">
        <w:rPr>
          <w:rFonts w:cs="Arial"/>
          <w:b/>
          <w:bCs w:val="0"/>
        </w:rPr>
        <w:t>Q4:</w:t>
      </w:r>
      <w:r w:rsidR="00731A98" w:rsidRPr="00731A98">
        <w:rPr>
          <w:rFonts w:cs="Arial"/>
          <w:b/>
          <w:bCs w:val="0"/>
        </w:rPr>
        <w:t xml:space="preserve"> 2018/19</w:t>
      </w:r>
    </w:p>
    <w:p w:rsidR="00731A98" w:rsidRPr="00731A98" w:rsidRDefault="00731A98" w:rsidP="001F3C54">
      <w:pPr>
        <w:rPr>
          <w:rFonts w:cs="Arial"/>
          <w:b/>
          <w:bCs w:val="0"/>
        </w:rPr>
      </w:pPr>
    </w:p>
    <w:tbl>
      <w:tblPr>
        <w:tblStyle w:val="TableGrid10"/>
        <w:tblW w:w="8897" w:type="dxa"/>
        <w:tblLook w:val="04A0" w:firstRow="1" w:lastRow="0" w:firstColumn="1" w:lastColumn="0" w:noHBand="0" w:noVBand="1"/>
        <w:tblCaption w:val="Indicator 10 milestone"/>
        <w:tblDescription w:val="Indicator 10 milestone detail quarter 4"/>
      </w:tblPr>
      <w:tblGrid>
        <w:gridCol w:w="4644"/>
        <w:gridCol w:w="4253"/>
      </w:tblGrid>
      <w:tr w:rsidR="00731A98" w:rsidRPr="00DF18AB" w:rsidTr="00731A98">
        <w:trPr>
          <w:trHeight w:val="135"/>
          <w:tblHeader/>
        </w:trPr>
        <w:tc>
          <w:tcPr>
            <w:tcW w:w="4644" w:type="dxa"/>
            <w:shd w:val="clear" w:color="auto" w:fill="0072C6" w:themeFill="text2"/>
          </w:tcPr>
          <w:p w:rsidR="00731A98" w:rsidRPr="00731A98" w:rsidRDefault="00731A98" w:rsidP="00A1078E">
            <w:pPr>
              <w:rPr>
                <w:rFonts w:cs="Arial"/>
                <w:b/>
                <w:color w:val="FFFFFF" w:themeColor="background1"/>
                <w:lang w:eastAsia="en-GB"/>
              </w:rPr>
            </w:pPr>
            <w:r w:rsidRPr="00731A98">
              <w:rPr>
                <w:rFonts w:cs="Arial"/>
                <w:b/>
                <w:color w:val="FFFFFF" w:themeColor="background1"/>
                <w:lang w:eastAsia="en-GB"/>
              </w:rPr>
              <w:t>Final indicator value for the partial achievement threshold</w:t>
            </w:r>
          </w:p>
        </w:tc>
        <w:tc>
          <w:tcPr>
            <w:tcW w:w="4253" w:type="dxa"/>
            <w:shd w:val="clear" w:color="auto" w:fill="0072C6" w:themeFill="text2"/>
          </w:tcPr>
          <w:p w:rsidR="00731A98" w:rsidRPr="00731A98" w:rsidRDefault="00731A98" w:rsidP="00A1078E">
            <w:pPr>
              <w:rPr>
                <w:rFonts w:cs="Arial"/>
                <w:b/>
                <w:color w:val="FFFFFF" w:themeColor="background1"/>
                <w:lang w:eastAsia="en-GB"/>
              </w:rPr>
            </w:pPr>
            <w:r w:rsidRPr="00731A98">
              <w:rPr>
                <w:rFonts w:cs="Arial"/>
                <w:b/>
                <w:color w:val="FFFFFF" w:themeColor="background1"/>
                <w:lang w:eastAsia="en-GB"/>
              </w:rPr>
              <w:t>% of CQUIN scheme available for meeting final indicator value</w:t>
            </w:r>
          </w:p>
        </w:tc>
      </w:tr>
      <w:tr w:rsidR="001F3C54" w:rsidRPr="00DF18AB" w:rsidTr="00731A98">
        <w:trPr>
          <w:trHeight w:val="135"/>
          <w:tblHeader/>
        </w:trPr>
        <w:tc>
          <w:tcPr>
            <w:tcW w:w="4644" w:type="dxa"/>
          </w:tcPr>
          <w:p w:rsidR="001F3C54" w:rsidRPr="00DF18AB" w:rsidRDefault="001F3C54" w:rsidP="00A1078E">
            <w:pPr>
              <w:rPr>
                <w:rFonts w:cs="Arial"/>
              </w:rPr>
            </w:pPr>
            <w:r w:rsidRPr="00DF18AB">
              <w:rPr>
                <w:rFonts w:cs="Arial"/>
              </w:rPr>
              <w:t>Achieved less than 33% of target:</w:t>
            </w:r>
          </w:p>
        </w:tc>
        <w:tc>
          <w:tcPr>
            <w:tcW w:w="4253" w:type="dxa"/>
          </w:tcPr>
          <w:p w:rsidR="001F3C54" w:rsidRPr="00DF18AB" w:rsidRDefault="001F3C54" w:rsidP="00A1078E">
            <w:pPr>
              <w:rPr>
                <w:rFonts w:cs="Arial"/>
              </w:rPr>
            </w:pPr>
            <w:r w:rsidRPr="00DF18AB">
              <w:rPr>
                <w:rFonts w:cs="Arial"/>
              </w:rPr>
              <w:t>No payment</w:t>
            </w:r>
          </w:p>
        </w:tc>
      </w:tr>
      <w:tr w:rsidR="001F3C54" w:rsidRPr="00DF18AB" w:rsidTr="00731A98">
        <w:trPr>
          <w:trHeight w:val="135"/>
        </w:trPr>
        <w:tc>
          <w:tcPr>
            <w:tcW w:w="4644" w:type="dxa"/>
          </w:tcPr>
          <w:p w:rsidR="001F3C54" w:rsidRPr="00DF18AB" w:rsidRDefault="001F3C54" w:rsidP="00A1078E">
            <w:pPr>
              <w:rPr>
                <w:rFonts w:cs="Arial"/>
              </w:rPr>
            </w:pPr>
            <w:r w:rsidRPr="00DF18AB">
              <w:rPr>
                <w:rFonts w:cs="Arial"/>
              </w:rPr>
              <w:t>33-99.9% of target:</w:t>
            </w:r>
          </w:p>
        </w:tc>
        <w:tc>
          <w:tcPr>
            <w:tcW w:w="4253" w:type="dxa"/>
          </w:tcPr>
          <w:p w:rsidR="001F3C54" w:rsidRPr="00DF18AB" w:rsidRDefault="001F3C54" w:rsidP="00A1078E">
            <w:pPr>
              <w:rPr>
                <w:rFonts w:cs="Arial"/>
              </w:rPr>
            </w:pPr>
            <w:r w:rsidRPr="00DF18AB">
              <w:rPr>
                <w:rFonts w:cs="Arial"/>
              </w:rPr>
              <w:t>15%</w:t>
            </w:r>
          </w:p>
        </w:tc>
      </w:tr>
      <w:tr w:rsidR="001F3C54" w:rsidRPr="00DF18AB" w:rsidTr="00731A98">
        <w:trPr>
          <w:trHeight w:val="135"/>
        </w:trPr>
        <w:tc>
          <w:tcPr>
            <w:tcW w:w="4644" w:type="dxa"/>
          </w:tcPr>
          <w:p w:rsidR="001F3C54" w:rsidRPr="00DF18AB" w:rsidRDefault="001F3C54" w:rsidP="00A1078E">
            <w:pPr>
              <w:rPr>
                <w:rFonts w:cs="Arial"/>
              </w:rPr>
            </w:pPr>
            <w:r w:rsidRPr="00DF18AB">
              <w:rPr>
                <w:rFonts w:cs="Arial"/>
              </w:rPr>
              <w:t>100% or above:</w:t>
            </w:r>
          </w:p>
        </w:tc>
        <w:tc>
          <w:tcPr>
            <w:tcW w:w="4253" w:type="dxa"/>
          </w:tcPr>
          <w:p w:rsidR="001F3C54" w:rsidRPr="00DF18AB" w:rsidRDefault="001F3C54" w:rsidP="00A1078E">
            <w:pPr>
              <w:rPr>
                <w:rFonts w:cs="Arial"/>
              </w:rPr>
            </w:pPr>
            <w:r w:rsidRPr="00DF18AB">
              <w:rPr>
                <w:rFonts w:cs="Arial"/>
              </w:rPr>
              <w:t>50%</w:t>
            </w:r>
          </w:p>
        </w:tc>
      </w:tr>
    </w:tbl>
    <w:p w:rsidR="001F3C54" w:rsidRDefault="001F3C54" w:rsidP="00DF18AB">
      <w:pPr>
        <w:rPr>
          <w:lang w:eastAsia="en-GB"/>
        </w:rPr>
      </w:pPr>
    </w:p>
    <w:p w:rsidR="001F3C54" w:rsidRDefault="001F3C54" w:rsidP="00DF18AB">
      <w:pPr>
        <w:rPr>
          <w:lang w:eastAsia="en-GB"/>
        </w:rPr>
      </w:pPr>
    </w:p>
    <w:p w:rsidR="001F3C54" w:rsidRPr="00DF18AB" w:rsidRDefault="001F3C54" w:rsidP="00DF18AB">
      <w:pPr>
        <w:rPr>
          <w:lang w:eastAsia="en-GB"/>
        </w:rPr>
      </w:pPr>
    </w:p>
    <w:p w:rsidR="00DF18AB" w:rsidRPr="00DF18AB" w:rsidRDefault="00DF18AB" w:rsidP="00DF18AB">
      <w:pPr>
        <w:keepNext/>
        <w:keepLines/>
        <w:outlineLvl w:val="3"/>
        <w:rPr>
          <w:rFonts w:eastAsiaTheme="majorEastAsia" w:cstheme="majorBidi"/>
          <w:b/>
          <w:bCs w:val="0"/>
          <w:iCs/>
          <w:color w:val="A00054" w:themeColor="accent2"/>
        </w:rPr>
      </w:pPr>
      <w:r w:rsidRPr="00DF18AB">
        <w:rPr>
          <w:rFonts w:eastAsiaTheme="majorEastAsia" w:cstheme="majorBidi"/>
          <w:b/>
          <w:bCs w:val="0"/>
          <w:iCs/>
          <w:color w:val="A00054" w:themeColor="accent2"/>
        </w:rPr>
        <w:t>References</w:t>
      </w:r>
    </w:p>
    <w:p w:rsidR="00DF18AB" w:rsidRPr="00F63757" w:rsidRDefault="00DF18AB" w:rsidP="00DF18AB">
      <w:pPr>
        <w:rPr>
          <w:b/>
          <w:color w:val="0070C0"/>
          <w:szCs w:val="24"/>
        </w:rPr>
      </w:pPr>
    </w:p>
    <w:p w:rsidR="00DF18AB" w:rsidRPr="00DF18AB" w:rsidRDefault="00DF18AB" w:rsidP="00DF18AB">
      <w:pPr>
        <w:rPr>
          <w:rFonts w:cs="Arial"/>
        </w:rPr>
      </w:pPr>
      <w:r w:rsidRPr="00DF18AB">
        <w:rPr>
          <w:rFonts w:cs="Arial"/>
        </w:rPr>
        <w:t xml:space="preserve">Guest JF, </w:t>
      </w:r>
      <w:proofErr w:type="spellStart"/>
      <w:r w:rsidRPr="00DF18AB">
        <w:rPr>
          <w:rFonts w:cs="Arial"/>
        </w:rPr>
        <w:t>Ayoub</w:t>
      </w:r>
      <w:proofErr w:type="spellEnd"/>
      <w:r w:rsidRPr="00DF18AB">
        <w:rPr>
          <w:rFonts w:cs="Arial"/>
        </w:rPr>
        <w:t xml:space="preserve"> N, McIlwraith T, </w:t>
      </w:r>
      <w:r w:rsidRPr="00DF18AB">
        <w:rPr>
          <w:rFonts w:cs="Arial"/>
          <w:i/>
        </w:rPr>
        <w:t>et al</w:t>
      </w:r>
      <w:r w:rsidRPr="00DF18AB">
        <w:rPr>
          <w:rFonts w:cs="Arial"/>
        </w:rPr>
        <w:t xml:space="preserve">. Health economic burden that wounds impose on the National Health Service in the UK. </w:t>
      </w:r>
      <w:r w:rsidRPr="00DF18AB">
        <w:rPr>
          <w:rFonts w:cs="Arial"/>
          <w:i/>
        </w:rPr>
        <w:t>BMJ Open</w:t>
      </w:r>
      <w:r w:rsidRPr="00DF18AB">
        <w:rPr>
          <w:rFonts w:cs="Arial"/>
        </w:rPr>
        <w:t xml:space="preserve"> 2015;5: e009283. doi:10.1136/ bmjopen-2015-009283</w:t>
      </w:r>
    </w:p>
    <w:p w:rsidR="00DF18AB" w:rsidRPr="00DF18AB" w:rsidRDefault="00DF18AB" w:rsidP="00DF18AB">
      <w:pPr>
        <w:rPr>
          <w:lang w:eastAsia="en-GB"/>
        </w:rPr>
      </w:pPr>
    </w:p>
    <w:p w:rsidR="00DF18AB" w:rsidRPr="00DF18AB" w:rsidRDefault="00DF18AB" w:rsidP="00DF18AB">
      <w:pPr>
        <w:rPr>
          <w:rFonts w:cs="Arial"/>
          <w:b/>
          <w:color w:val="0072C6"/>
          <w:kern w:val="32"/>
          <w:sz w:val="32"/>
          <w:szCs w:val="32"/>
          <w:lang w:eastAsia="en-GB"/>
        </w:rPr>
      </w:pPr>
      <w:r w:rsidRPr="00DF18AB">
        <w:rPr>
          <w:lang w:eastAsia="en-GB"/>
        </w:rPr>
        <w:br w:type="page"/>
      </w:r>
    </w:p>
    <w:p w:rsidR="00DF18AB" w:rsidRPr="00DF18AB" w:rsidRDefault="00DF18AB" w:rsidP="00DF18AB">
      <w:pPr>
        <w:numPr>
          <w:ilvl w:val="0"/>
          <w:numId w:val="2"/>
        </w:numPr>
        <w:outlineLvl w:val="0"/>
        <w:rPr>
          <w:rFonts w:cs="Arial"/>
          <w:b/>
          <w:color w:val="0072C6"/>
          <w:kern w:val="32"/>
          <w:sz w:val="32"/>
          <w:szCs w:val="32"/>
          <w:lang w:eastAsia="en-GB"/>
        </w:rPr>
      </w:pPr>
      <w:bookmarkStart w:id="71" w:name="_Toc466290259"/>
      <w:r w:rsidRPr="00DF18AB">
        <w:rPr>
          <w:rFonts w:cs="Arial"/>
          <w:b/>
          <w:color w:val="0072C6"/>
          <w:kern w:val="32"/>
          <w:sz w:val="32"/>
          <w:szCs w:val="32"/>
          <w:lang w:eastAsia="en-GB"/>
        </w:rPr>
        <w:lastRenderedPageBreak/>
        <w:t>Personalised care and support planning</w:t>
      </w:r>
      <w:bookmarkEnd w:id="71"/>
    </w:p>
    <w:p w:rsidR="00DF18AB" w:rsidRPr="00DF18AB" w:rsidRDefault="00DF18AB" w:rsidP="00DF18AB">
      <w:pPr>
        <w:rPr>
          <w:lang w:eastAsia="en-GB"/>
        </w:rPr>
      </w:pPr>
    </w:p>
    <w:tbl>
      <w:tblPr>
        <w:tblStyle w:val="TableGrid511"/>
        <w:tblW w:w="0" w:type="auto"/>
        <w:tblLayout w:type="fixed"/>
        <w:tblLook w:val="04A0" w:firstRow="1" w:lastRow="0" w:firstColumn="1" w:lastColumn="0" w:noHBand="0" w:noVBand="1"/>
        <w:tblCaption w:val="Indicator"/>
      </w:tblPr>
      <w:tblGrid>
        <w:gridCol w:w="2802"/>
        <w:gridCol w:w="6478"/>
      </w:tblGrid>
      <w:tr w:rsidR="00DF18AB" w:rsidRPr="00DF18AB" w:rsidTr="00593B8C">
        <w:trPr>
          <w:trHeight w:val="152"/>
          <w:tblHeader/>
        </w:trPr>
        <w:tc>
          <w:tcPr>
            <w:tcW w:w="9280" w:type="dxa"/>
            <w:gridSpan w:val="2"/>
            <w:shd w:val="clear" w:color="auto" w:fill="0070C0"/>
          </w:tcPr>
          <w:p w:rsidR="00DF18AB" w:rsidRPr="00DF18AB" w:rsidRDefault="00DF18AB" w:rsidP="00DF18AB">
            <w:pPr>
              <w:jc w:val="center"/>
            </w:pPr>
            <w:r w:rsidRPr="00DF18AB">
              <w:rPr>
                <w:rFonts w:cs="Arial"/>
                <w:b/>
                <w:color w:val="FFFFFF" w:themeColor="background1"/>
              </w:rPr>
              <w:t xml:space="preserve">Indicator 11 </w:t>
            </w:r>
          </w:p>
        </w:tc>
      </w:tr>
      <w:tr w:rsidR="00DF18AB" w:rsidRPr="00DF18AB" w:rsidTr="00593B8C">
        <w:trPr>
          <w:trHeight w:val="152"/>
        </w:trPr>
        <w:tc>
          <w:tcPr>
            <w:tcW w:w="2802" w:type="dxa"/>
          </w:tcPr>
          <w:p w:rsidR="00DF18AB" w:rsidRPr="00DF18AB" w:rsidRDefault="00DF18AB" w:rsidP="00DF18AB">
            <w:pPr>
              <w:rPr>
                <w:b/>
              </w:rPr>
            </w:pPr>
            <w:r w:rsidRPr="00DF18AB">
              <w:rPr>
                <w:rFonts w:cs="Arial"/>
                <w:b/>
                <w:color w:val="000000"/>
              </w:rPr>
              <w:t>Indicator name</w:t>
            </w:r>
          </w:p>
        </w:tc>
        <w:tc>
          <w:tcPr>
            <w:tcW w:w="6478" w:type="dxa"/>
          </w:tcPr>
          <w:p w:rsidR="00DF18AB" w:rsidRPr="00DF18AB" w:rsidRDefault="00DF18AB" w:rsidP="00DF18AB">
            <w:r w:rsidRPr="00DF18AB">
              <w:t>Personalised Care and Support Planning</w:t>
            </w:r>
          </w:p>
        </w:tc>
      </w:tr>
      <w:tr w:rsidR="00E31F94" w:rsidRPr="00DF18AB" w:rsidTr="00593B8C">
        <w:trPr>
          <w:trHeight w:val="152"/>
        </w:trPr>
        <w:tc>
          <w:tcPr>
            <w:tcW w:w="2802" w:type="dxa"/>
          </w:tcPr>
          <w:p w:rsidR="00E31F94" w:rsidRPr="00DF18AB" w:rsidRDefault="00E31F94" w:rsidP="000D1DA3">
            <w:pPr>
              <w:rPr>
                <w:b/>
              </w:rPr>
            </w:pPr>
            <w:r w:rsidRPr="00DF18AB">
              <w:rPr>
                <w:rFonts w:cs="Arial"/>
                <w:b/>
                <w:color w:val="000000"/>
              </w:rPr>
              <w:t xml:space="preserve">Indicator weighting </w:t>
            </w:r>
            <w:r w:rsidRPr="00DF18AB">
              <w:rPr>
                <w:rFonts w:cs="Arial"/>
                <w:b/>
                <w:color w:val="000000"/>
              </w:rPr>
              <w:br/>
              <w:t>(% of CQUIN scheme available)</w:t>
            </w:r>
          </w:p>
        </w:tc>
        <w:tc>
          <w:tcPr>
            <w:tcW w:w="6478" w:type="dxa"/>
          </w:tcPr>
          <w:p w:rsidR="00E31F94" w:rsidRPr="00DF18AB" w:rsidRDefault="00E31F94" w:rsidP="000D1DA3">
            <w:pPr>
              <w:rPr>
                <w:rFonts w:cs="Arial"/>
                <w:color w:val="000000"/>
              </w:rPr>
            </w:pPr>
            <w:r w:rsidRPr="00DF18AB">
              <w:rPr>
                <w:rFonts w:cs="Arial"/>
                <w:color w:val="000000"/>
              </w:rPr>
              <w:t>0.25%</w:t>
            </w:r>
          </w:p>
        </w:tc>
      </w:tr>
      <w:tr w:rsidR="00DF18AB" w:rsidRPr="00DF18AB" w:rsidTr="00593B8C">
        <w:trPr>
          <w:trHeight w:val="152"/>
        </w:trPr>
        <w:tc>
          <w:tcPr>
            <w:tcW w:w="2802" w:type="dxa"/>
          </w:tcPr>
          <w:p w:rsidR="00DF18AB" w:rsidRPr="00DF18AB" w:rsidRDefault="00DF18AB" w:rsidP="00DF18AB">
            <w:pPr>
              <w:rPr>
                <w:rFonts w:cs="Arial"/>
                <w:b/>
                <w:bCs w:val="0"/>
                <w:color w:val="000000"/>
              </w:rPr>
            </w:pPr>
            <w:r w:rsidRPr="00DF18AB">
              <w:rPr>
                <w:rFonts w:cs="Arial"/>
                <w:b/>
                <w:color w:val="000000"/>
              </w:rPr>
              <w:t>Rationale</w:t>
            </w:r>
          </w:p>
        </w:tc>
        <w:tc>
          <w:tcPr>
            <w:tcW w:w="6478" w:type="dxa"/>
          </w:tcPr>
          <w:p w:rsidR="00DF18AB" w:rsidRPr="00DF18AB" w:rsidRDefault="00DF18AB" w:rsidP="00DF18AB">
            <w:pPr>
              <w:spacing w:after="120"/>
            </w:pPr>
            <w:r w:rsidRPr="00DF18AB">
              <w:t>More than half of the population live with long term conditions and 5% of these people account for more than 75% of unscheduled hospital admissions. Many of these people (35%) indicate they have low or very low levels of knowledge, skills and confidence to self-care, in order to manage their health and wellbeing and live independently. These people have a poorer quality of life, make more unwarranted use of public services and cost more to public services.</w:t>
            </w:r>
          </w:p>
          <w:p w:rsidR="00DF18AB" w:rsidRPr="00DF18AB" w:rsidRDefault="00DF18AB" w:rsidP="00DF18AB">
            <w:pPr>
              <w:spacing w:after="120"/>
            </w:pPr>
            <w:r w:rsidRPr="00DF18AB">
              <w:t xml:space="preserve">Changing this situation is not a short-term fix. However there are steps we can take, supported by the CQUIN scheme to incentivise the change in behaviours and methodologies that allow patients to take greater control over their health and wellbeing. A core component is personalised care and support planning which is; a) an intervention that supports people to develop the knowledge, skills and confidence to manage their own health and wellbeing and that leads to the development of a care plan and b) an enabler that supports patients to understand the local support mechanisms that are available to them. </w:t>
            </w:r>
          </w:p>
          <w:p w:rsidR="00DF18AB" w:rsidRPr="00DF18AB" w:rsidRDefault="00DF18AB" w:rsidP="00DF18AB">
            <w:pPr>
              <w:spacing w:after="120"/>
            </w:pPr>
            <w:r w:rsidRPr="00DF18AB">
              <w:t>We envisage that the first year of the CQUIN is an opportunity to introduce the requirement of high quality personalised care and support planning, whilst recognising that not all health systems will have the technological means nor the workforce capabilities of making these happen. In future years there will be a need to increase the expected levels of achievement so that by 2020/21 personalised care and support planning is fully embedded across the service as the norm.</w:t>
            </w:r>
          </w:p>
          <w:p w:rsidR="00DF18AB" w:rsidRPr="00DF18AB" w:rsidRDefault="00DF18AB" w:rsidP="00DF18AB">
            <w:r w:rsidRPr="00DF18AB">
              <w:t>The Realising the Value report ‘At the heart of health’ describes how personalised care and support planning is a key enabler to allow the proliferation of self-care support packages such as health coaching, peer support and self-management education. In this context it can be seen as the foundation for the behaviour change needed to support improvements in self-care.</w:t>
            </w:r>
          </w:p>
        </w:tc>
      </w:tr>
      <w:tr w:rsidR="00DF18AB" w:rsidRPr="00DF18AB" w:rsidTr="00593B8C">
        <w:trPr>
          <w:trHeight w:val="152"/>
        </w:trPr>
        <w:tc>
          <w:tcPr>
            <w:tcW w:w="2802" w:type="dxa"/>
          </w:tcPr>
          <w:p w:rsidR="00DF18AB" w:rsidRPr="00DF18AB" w:rsidRDefault="00DF18AB" w:rsidP="00DF18AB">
            <w:pPr>
              <w:rPr>
                <w:rFonts w:cs="Arial"/>
                <w:b/>
                <w:bCs w:val="0"/>
                <w:color w:val="000000"/>
              </w:rPr>
            </w:pPr>
            <w:r w:rsidRPr="00DF18AB">
              <w:rPr>
                <w:rFonts w:cs="Arial"/>
                <w:b/>
                <w:color w:val="000000"/>
              </w:rPr>
              <w:t>Description of indicator</w:t>
            </w:r>
          </w:p>
          <w:p w:rsidR="00DF18AB" w:rsidRPr="00DF18AB" w:rsidRDefault="00DF18AB" w:rsidP="00DF18AB">
            <w:pPr>
              <w:rPr>
                <w:rFonts w:cs="Arial"/>
                <w:b/>
                <w:bCs w:val="0"/>
                <w:color w:val="000000"/>
              </w:rPr>
            </w:pPr>
          </w:p>
          <w:p w:rsidR="00DF18AB" w:rsidRPr="00DF18AB" w:rsidRDefault="00DF18AB" w:rsidP="00DF18AB">
            <w:pPr>
              <w:rPr>
                <w:b/>
              </w:rPr>
            </w:pPr>
          </w:p>
        </w:tc>
        <w:tc>
          <w:tcPr>
            <w:tcW w:w="6478" w:type="dxa"/>
          </w:tcPr>
          <w:p w:rsidR="00DF18AB" w:rsidRPr="00DF18AB" w:rsidRDefault="00DF18AB" w:rsidP="00DF18AB">
            <w:pPr>
              <w:rPr>
                <w:rFonts w:cs="Calibri"/>
                <w:szCs w:val="24"/>
              </w:rPr>
            </w:pPr>
            <w:r w:rsidRPr="00DF18AB">
              <w:rPr>
                <w:szCs w:val="24"/>
              </w:rPr>
              <w:t>T</w:t>
            </w:r>
            <w:r w:rsidRPr="00DF18AB">
              <w:rPr>
                <w:rFonts w:cstheme="minorBidi"/>
                <w:szCs w:val="24"/>
              </w:rPr>
              <w:t xml:space="preserve">his CQUIN is to be delivered over two years with an aim of embedding personalised care and support planning for people with long-term conditions. In the first year, activity will be focused on agreeing and putting in place systems </w:t>
            </w:r>
            <w:r w:rsidRPr="00DF18AB">
              <w:rPr>
                <w:rFonts w:cstheme="minorBidi"/>
                <w:szCs w:val="24"/>
              </w:rPr>
              <w:lastRenderedPageBreak/>
              <w:t xml:space="preserve">and processes to ensure that the relevant patient population can be identified, the relevant workforce receive appropriate training, and that personalised care and support planning conversations can be incorporated into consultations with patients and carers. The second year will focus more on delivery of personalised care and support planning, the quality of conversations and the impact on individual levels of knowledge, skills </w:t>
            </w:r>
            <w:r w:rsidRPr="00DF18AB">
              <w:rPr>
                <w:rFonts w:cs="Calibri"/>
                <w:szCs w:val="24"/>
              </w:rPr>
              <w:t xml:space="preserve">and confidence. </w:t>
            </w:r>
          </w:p>
          <w:p w:rsidR="00DF18AB" w:rsidRPr="00DF18AB" w:rsidRDefault="00DF18AB" w:rsidP="00DF18AB">
            <w:pPr>
              <w:rPr>
                <w:rFonts w:cs="Calibri"/>
                <w:sz w:val="20"/>
                <w:szCs w:val="20"/>
              </w:rPr>
            </w:pPr>
          </w:p>
          <w:p w:rsidR="00DF18AB" w:rsidRPr="00DF18AB" w:rsidRDefault="00DF18AB" w:rsidP="00DF18AB">
            <w:r w:rsidRPr="00DF18AB">
              <w:t>In year one there are three components:</w:t>
            </w:r>
          </w:p>
          <w:p w:rsidR="00DF18AB" w:rsidRPr="00DF18AB" w:rsidRDefault="00DF18AB" w:rsidP="00DF18AB"/>
          <w:p w:rsidR="00DF18AB" w:rsidRPr="00DF18AB" w:rsidRDefault="00DF18AB" w:rsidP="00DF18AB">
            <w:r w:rsidRPr="00DF18AB">
              <w:rPr>
                <w:b/>
              </w:rPr>
              <w:t>Establishing provider systems</w:t>
            </w:r>
            <w:r w:rsidRPr="00DF18AB">
              <w:t xml:space="preserve"> to ensure that personalised care and support planning conversations can be incorporated into care delivery and can be recorded as an activity. Also to ensure relevant cohorts of patients who would benefit most from the delivery of personalised care and support planning can be identified on IT systems. </w:t>
            </w:r>
          </w:p>
          <w:p w:rsidR="00DF18AB" w:rsidRPr="00DF18AB" w:rsidRDefault="00DF18AB" w:rsidP="00DF18AB">
            <w:pPr>
              <w:rPr>
                <w:b/>
              </w:rPr>
            </w:pPr>
          </w:p>
          <w:p w:rsidR="00DF18AB" w:rsidRPr="00DF18AB" w:rsidRDefault="00DF18AB" w:rsidP="00DF18AB">
            <w:pPr>
              <w:rPr>
                <w:color w:val="0072C6" w:themeColor="text2"/>
              </w:rPr>
            </w:pPr>
            <w:r w:rsidRPr="00DF18AB">
              <w:t>For the purpose of the CQUIN, personalised care and support planning conversations are defined as:</w:t>
            </w:r>
            <w:r w:rsidRPr="00DF18AB">
              <w:br/>
            </w:r>
          </w:p>
          <w:p w:rsidR="00DF18AB" w:rsidRPr="00DF18AB" w:rsidRDefault="00DF18AB" w:rsidP="00DF18AB">
            <w:pPr>
              <w:numPr>
                <w:ilvl w:val="0"/>
                <w:numId w:val="92"/>
              </w:numPr>
              <w:contextualSpacing/>
              <w:rPr>
                <w:rFonts w:eastAsia="HGSMinchoE"/>
                <w:i/>
                <w:sz w:val="22"/>
              </w:rPr>
            </w:pPr>
            <w:r w:rsidRPr="00DF18AB">
              <w:rPr>
                <w:rFonts w:eastAsia="HGSMinchoE"/>
                <w:i/>
                <w:sz w:val="22"/>
              </w:rPr>
              <w:t>Conversations between a care professional, a person with long-term conditions and their carer (if applicable) to understand what is important to that individual and what support they need in order to help build their knowledge, skills and confidence to manage their health and wellbeing.</w:t>
            </w:r>
          </w:p>
          <w:p w:rsidR="00DF18AB" w:rsidRPr="00DF18AB" w:rsidRDefault="00DF18AB" w:rsidP="00DF18AB">
            <w:pPr>
              <w:numPr>
                <w:ilvl w:val="0"/>
                <w:numId w:val="92"/>
              </w:numPr>
              <w:contextualSpacing/>
              <w:rPr>
                <w:rFonts w:eastAsia="HGSMinchoE"/>
                <w:i/>
                <w:sz w:val="22"/>
              </w:rPr>
            </w:pPr>
            <w:r w:rsidRPr="00DF18AB">
              <w:rPr>
                <w:rFonts w:eastAsia="HGSMinchoE"/>
                <w:i/>
                <w:sz w:val="22"/>
              </w:rPr>
              <w:t>Follow a process of sharing information, identifying support needs, discussing options, contingency planning, setting goals, developing an action plan, and monitoring progress.</w:t>
            </w:r>
          </w:p>
          <w:p w:rsidR="00DF18AB" w:rsidRPr="00DF18AB" w:rsidRDefault="00DF18AB" w:rsidP="00DF18AB">
            <w:pPr>
              <w:numPr>
                <w:ilvl w:val="0"/>
                <w:numId w:val="92"/>
              </w:numPr>
              <w:contextualSpacing/>
              <w:rPr>
                <w:rFonts w:eastAsia="HGSMinchoE"/>
                <w:i/>
                <w:sz w:val="22"/>
              </w:rPr>
            </w:pPr>
            <w:r w:rsidRPr="00DF18AB">
              <w:rPr>
                <w:rFonts w:eastAsia="HGSMinchoE"/>
                <w:i/>
                <w:sz w:val="22"/>
              </w:rPr>
              <w:t>Consider how to co-ordinate the individual’s care across a number of different care settings, linking to other existing care plans, particularly for people with multiple conditions.</w:t>
            </w:r>
          </w:p>
          <w:p w:rsidR="00DF18AB" w:rsidRPr="00DF18AB" w:rsidRDefault="00DF18AB" w:rsidP="00DF18AB">
            <w:pPr>
              <w:numPr>
                <w:ilvl w:val="0"/>
                <w:numId w:val="92"/>
              </w:numPr>
              <w:contextualSpacing/>
              <w:rPr>
                <w:rFonts w:eastAsia="HGSMinchoE"/>
                <w:i/>
                <w:sz w:val="22"/>
              </w:rPr>
            </w:pPr>
            <w:r w:rsidRPr="00DF18AB">
              <w:rPr>
                <w:rFonts w:eastAsia="HGSMinchoE"/>
                <w:i/>
                <w:sz w:val="22"/>
              </w:rPr>
              <w:t>Consider physical and mental health as well as wider holistic wellbeing.</w:t>
            </w:r>
          </w:p>
          <w:p w:rsidR="00DF18AB" w:rsidRPr="00DF18AB" w:rsidRDefault="00DF18AB" w:rsidP="00DF18AB">
            <w:pPr>
              <w:numPr>
                <w:ilvl w:val="0"/>
                <w:numId w:val="92"/>
              </w:numPr>
              <w:contextualSpacing/>
              <w:rPr>
                <w:i/>
                <w:sz w:val="22"/>
              </w:rPr>
            </w:pPr>
            <w:r w:rsidRPr="00DF18AB">
              <w:rPr>
                <w:i/>
                <w:sz w:val="22"/>
              </w:rPr>
              <w:t xml:space="preserve">Resulting in an agreed, recorded, document that the patient and carer </w:t>
            </w:r>
            <w:r w:rsidRPr="00DF18AB">
              <w:rPr>
                <w:rFonts w:eastAsia="HGSMinchoE"/>
                <w:i/>
                <w:sz w:val="22"/>
              </w:rPr>
              <w:t>owns</w:t>
            </w:r>
          </w:p>
          <w:p w:rsidR="00DF18AB" w:rsidRPr="00DF18AB" w:rsidRDefault="00DF18AB" w:rsidP="00DF18AB"/>
          <w:p w:rsidR="00DF18AB" w:rsidRPr="00DF18AB" w:rsidRDefault="00DF18AB" w:rsidP="00DF18AB">
            <w:r w:rsidRPr="00DF18AB">
              <w:t>Providers should submit a plan outlining their approach to delivering personalised care and support planning and how this will be recorded as an activity, taking account of the pioneering work of the national Integrated Personal Commissioning team,  the latest iteration of the TLAP personalised care and support planning tool</w:t>
            </w:r>
            <w:r w:rsidRPr="00DF18AB">
              <w:rPr>
                <w:rFonts w:cs="Calibri"/>
                <w:szCs w:val="24"/>
                <w:vertAlign w:val="superscript"/>
              </w:rPr>
              <w:footnoteReference w:id="37"/>
            </w:r>
            <w:r w:rsidRPr="00DF18AB">
              <w:t xml:space="preserve"> and the </w:t>
            </w:r>
            <w:r w:rsidRPr="00DF18AB">
              <w:lastRenderedPageBreak/>
              <w:t>NHS England handbook on personalised care and support planning</w:t>
            </w:r>
            <w:r w:rsidRPr="00DF18AB">
              <w:rPr>
                <w:rFonts w:cs="Calibri"/>
                <w:szCs w:val="24"/>
                <w:vertAlign w:val="superscript"/>
              </w:rPr>
              <w:footnoteReference w:id="38"/>
            </w:r>
            <w:r w:rsidRPr="00DF18AB">
              <w:t>.</w:t>
            </w:r>
          </w:p>
          <w:p w:rsidR="00DF18AB" w:rsidRPr="00DF18AB" w:rsidRDefault="00DF18AB" w:rsidP="00DF18AB"/>
          <w:p w:rsidR="00DF18AB" w:rsidRPr="00DF18AB" w:rsidRDefault="00DF18AB" w:rsidP="00DF18AB">
            <w:r w:rsidRPr="00DF18AB">
              <w:rPr>
                <w:b/>
              </w:rPr>
              <w:t>Identifying relevant patient populations</w:t>
            </w:r>
            <w:r w:rsidRPr="00DF18AB">
              <w:t>. Providers should submit a plan outlining how they will identify the relevant patient population with one or more long-term conditions and with low levels of knowledge, skills and confidence (activation) to manage their health and wellbeing who would benefit from personalised care and support planning. They will need to take into consideration cohorts of patients who may already be participating in personalised care and support planning, for example people with learning disabilities, people with severe mental health issues who are part of the Care Programme Approach, people with complex needs who have personal health budgets or are part of the Integrated Personal Commissioning programme. This may require planning with commissioners and other providers to agree who will lead the care planning process, and also how multi-disciplinary teams can work together.</w:t>
            </w:r>
            <w:r w:rsidRPr="00DF18AB">
              <w:br/>
            </w:r>
          </w:p>
          <w:p w:rsidR="00DF18AB" w:rsidRPr="00DF18AB" w:rsidRDefault="00DF18AB" w:rsidP="00DF18AB">
            <w:r w:rsidRPr="00DF18AB">
              <w:t xml:space="preserve">To identify the cohort providers should: </w:t>
            </w:r>
          </w:p>
          <w:p w:rsidR="00DF18AB" w:rsidRPr="00DF18AB" w:rsidRDefault="00DF18AB" w:rsidP="00DF18AB">
            <w:pPr>
              <w:numPr>
                <w:ilvl w:val="0"/>
                <w:numId w:val="122"/>
              </w:numPr>
              <w:contextualSpacing/>
            </w:pPr>
            <w:r w:rsidRPr="00DF18AB">
              <w:t>Identify those patients with one or more long-term conditions as defined by the GP patient survey.  People may be identified on clinical IT systems, for example using ICD10 codes or using risk stratification tools. People may be additionally identified through contact with care professionals as someone who would benefit from personalised support</w:t>
            </w:r>
            <w:r w:rsidRPr="00DF18AB">
              <w:rPr>
                <w:rFonts w:cs="Calibri"/>
                <w:szCs w:val="24"/>
                <w:vertAlign w:val="superscript"/>
              </w:rPr>
              <w:footnoteReference w:id="39"/>
            </w:r>
            <w:r w:rsidRPr="00DF18AB">
              <w:t>.</w:t>
            </w:r>
          </w:p>
          <w:p w:rsidR="00DF18AB" w:rsidRPr="00DF18AB" w:rsidRDefault="00DF18AB" w:rsidP="00DF18AB"/>
          <w:p w:rsidR="00DF18AB" w:rsidRPr="00DF18AB" w:rsidRDefault="00DF18AB" w:rsidP="00DF18AB">
            <w:r w:rsidRPr="00DF18AB">
              <w:t xml:space="preserve">Then </w:t>
            </w:r>
            <w:r w:rsidRPr="00DF18AB">
              <w:rPr>
                <w:b/>
              </w:rPr>
              <w:t>conduct a baseline review of patient activation</w:t>
            </w:r>
            <w:r w:rsidRPr="00DF18AB">
              <w:t xml:space="preserve"> for those patients with long term conditions identified above. This means:</w:t>
            </w:r>
          </w:p>
          <w:p w:rsidR="00DF18AB" w:rsidRPr="00DF18AB" w:rsidRDefault="00DF18AB" w:rsidP="00DF18AB">
            <w:pPr>
              <w:numPr>
                <w:ilvl w:val="0"/>
                <w:numId w:val="122"/>
              </w:numPr>
              <w:contextualSpacing/>
            </w:pPr>
            <w:r w:rsidRPr="00DF18AB">
              <w:t>For those organisations already using the Patient Activation Measure, ensuring that all identified patients and carers have their activation levels recorded</w:t>
            </w:r>
            <w:r w:rsidRPr="00DF18AB">
              <w:rPr>
                <w:rFonts w:cs="Calibri"/>
                <w:szCs w:val="24"/>
                <w:vertAlign w:val="superscript"/>
              </w:rPr>
              <w:footnoteReference w:id="40"/>
            </w:r>
            <w:r w:rsidRPr="00DF18AB">
              <w:t>; this can be combined to create an organisational score, or</w:t>
            </w:r>
          </w:p>
          <w:p w:rsidR="00DF18AB" w:rsidRPr="00DF18AB" w:rsidRDefault="00DF18AB" w:rsidP="00DF18AB">
            <w:pPr>
              <w:numPr>
                <w:ilvl w:val="0"/>
                <w:numId w:val="122"/>
              </w:numPr>
              <w:contextualSpacing/>
            </w:pPr>
            <w:r w:rsidRPr="00DF18AB">
              <w:t xml:space="preserve">For those organisations not using the Patient Activation Measure, ensuring that all identified patients and carers are asked a local survey using two key questions from the existing GP patient survey (GPPS). Answers to these questions will use the same criteria as the GPPS and be given scores </w:t>
            </w:r>
            <w:r w:rsidRPr="00DF18AB">
              <w:lastRenderedPageBreak/>
              <w:t>as described below to allow production of an organisational score. These are:</w:t>
            </w:r>
          </w:p>
          <w:p w:rsidR="00DF18AB" w:rsidRPr="00DF18AB" w:rsidRDefault="00DF18AB" w:rsidP="00DF18AB">
            <w:pPr>
              <w:numPr>
                <w:ilvl w:val="1"/>
                <w:numId w:val="122"/>
              </w:numPr>
              <w:contextualSpacing/>
            </w:pPr>
            <w:r w:rsidRPr="00DF18AB">
              <w:rPr>
                <w:b/>
              </w:rPr>
              <w:t xml:space="preserve">Q32 </w:t>
            </w:r>
            <w:r w:rsidRPr="00DF18AB">
              <w:t xml:space="preserve">– </w:t>
            </w:r>
            <w:r w:rsidRPr="00DF18AB">
              <w:rPr>
                <w:i/>
              </w:rPr>
              <w:t>In the last six months, have you had enough support from local services or organisations to help you to manage your long-term health condition(s)?</w:t>
            </w:r>
            <w:r w:rsidRPr="00DF18AB">
              <w:br/>
            </w:r>
            <w:r w:rsidRPr="00DF18AB">
              <w:br/>
              <w:t>Answering ‘yes, definitely’ = 1 point, ‘yes, to some extent’ = 0.5 points. Other answers = 0 points</w:t>
            </w:r>
          </w:p>
          <w:p w:rsidR="00DF18AB" w:rsidRPr="00DF18AB" w:rsidRDefault="00DF18AB" w:rsidP="00DF18AB">
            <w:pPr>
              <w:numPr>
                <w:ilvl w:val="1"/>
                <w:numId w:val="122"/>
              </w:numPr>
              <w:contextualSpacing/>
            </w:pPr>
            <w:r w:rsidRPr="00DF18AB">
              <w:rPr>
                <w:b/>
              </w:rPr>
              <w:t xml:space="preserve">Q33 </w:t>
            </w:r>
            <w:r w:rsidRPr="00DF18AB">
              <w:t xml:space="preserve">– </w:t>
            </w:r>
            <w:r w:rsidRPr="00DF18AB">
              <w:rPr>
                <w:i/>
              </w:rPr>
              <w:t>How confident are you that you can manage your own health?</w:t>
            </w:r>
          </w:p>
          <w:p w:rsidR="00DF18AB" w:rsidRPr="00DF18AB" w:rsidRDefault="00DF18AB" w:rsidP="00DF18AB">
            <w:pPr>
              <w:rPr>
                <w:rFonts w:cs="Calibri"/>
              </w:rPr>
            </w:pPr>
          </w:p>
          <w:p w:rsidR="00DF18AB" w:rsidRPr="00DF18AB" w:rsidRDefault="00DF18AB" w:rsidP="00DF18AB">
            <w:pPr>
              <w:rPr>
                <w:rFonts w:cs="Calibri"/>
                <w:b/>
              </w:rPr>
            </w:pPr>
            <w:r w:rsidRPr="00DF18AB">
              <w:rPr>
                <w:rFonts w:cs="Calibri"/>
              </w:rPr>
              <w:t>Answering ‘very confident’ = 1 point, ‘fairly confident’ = 0.5 points. Other answers = 0 points.</w:t>
            </w:r>
            <w:r w:rsidRPr="00DF18AB">
              <w:rPr>
                <w:rFonts w:cs="Calibri"/>
              </w:rPr>
              <w:br/>
            </w:r>
          </w:p>
          <w:p w:rsidR="00DF18AB" w:rsidRPr="00DF18AB" w:rsidRDefault="00DF18AB" w:rsidP="00DF18AB">
            <w:pPr>
              <w:rPr>
                <w:rFonts w:cs="Calibri"/>
                <w:b/>
              </w:rPr>
            </w:pPr>
            <w:r w:rsidRPr="00DF18AB">
              <w:rPr>
                <w:rFonts w:cs="Calibri"/>
                <w:b/>
              </w:rPr>
              <w:t>Following this review of patient activation, the relevant population to be prioritised for personalised care and support planning will be defined as:</w:t>
            </w:r>
          </w:p>
          <w:p w:rsidR="00DF18AB" w:rsidRPr="00DF18AB" w:rsidRDefault="00DF18AB" w:rsidP="00DF18AB">
            <w:pPr>
              <w:numPr>
                <w:ilvl w:val="0"/>
                <w:numId w:val="123"/>
              </w:numPr>
              <w:contextualSpacing/>
              <w:rPr>
                <w:rFonts w:cs="Calibri"/>
              </w:rPr>
            </w:pPr>
            <w:r w:rsidRPr="00DF18AB">
              <w:t>Those with one or more long-term conditions as defined by the GP patient survey</w:t>
            </w:r>
            <w:r w:rsidRPr="00DF18AB">
              <w:rPr>
                <w:vertAlign w:val="superscript"/>
              </w:rPr>
              <w:footnoteReference w:id="41"/>
            </w:r>
            <w:r w:rsidRPr="00DF18AB">
              <w:t>; AND</w:t>
            </w:r>
          </w:p>
          <w:p w:rsidR="00DF18AB" w:rsidRPr="00DF18AB" w:rsidRDefault="00DF18AB" w:rsidP="00DF18AB">
            <w:pPr>
              <w:numPr>
                <w:ilvl w:val="0"/>
                <w:numId w:val="123"/>
              </w:numPr>
              <w:contextualSpacing/>
              <w:rPr>
                <w:rFonts w:cs="Calibri"/>
              </w:rPr>
            </w:pPr>
            <w:r w:rsidRPr="00DF18AB">
              <w:rPr>
                <w:rFonts w:cs="Calibri"/>
              </w:rPr>
              <w:t xml:space="preserve">For those organisations already using the Patient Activation Measure those patients assessed at Level 1 or 2 in their activation level; </w:t>
            </w:r>
            <w:r w:rsidRPr="00DF18AB">
              <w:rPr>
                <w:rFonts w:cs="Calibri"/>
                <w:b/>
              </w:rPr>
              <w:t>or</w:t>
            </w:r>
          </w:p>
          <w:p w:rsidR="00DF18AB" w:rsidRPr="00DF18AB" w:rsidRDefault="00DF18AB" w:rsidP="00DF18AB">
            <w:pPr>
              <w:numPr>
                <w:ilvl w:val="0"/>
                <w:numId w:val="123"/>
              </w:numPr>
              <w:contextualSpacing/>
              <w:rPr>
                <w:rFonts w:cs="Calibri"/>
              </w:rPr>
            </w:pPr>
            <w:r w:rsidRPr="00DF18AB">
              <w:rPr>
                <w:rFonts w:cs="Calibri"/>
              </w:rPr>
              <w:t>For those organisations not using the Patient Activation Measure, those patients who score 0 points on the GPPS questions.</w:t>
            </w:r>
          </w:p>
          <w:p w:rsidR="00DF18AB" w:rsidRPr="00DF18AB" w:rsidRDefault="00DF18AB" w:rsidP="00DF18AB">
            <w:pPr>
              <w:rPr>
                <w:rFonts w:cs="Calibri"/>
              </w:rPr>
            </w:pPr>
          </w:p>
          <w:p w:rsidR="00DF18AB" w:rsidRPr="00DF18AB" w:rsidRDefault="00DF18AB" w:rsidP="00DF18AB">
            <w:r w:rsidRPr="00DF18AB">
              <w:rPr>
                <w:b/>
              </w:rPr>
              <w:t>Ensuring that all relevant provider staff are sufficiently competent</w:t>
            </w:r>
            <w:r w:rsidRPr="00DF18AB">
              <w:t xml:space="preserve"> in holding care and support planning discussions with patients and carers, through appropriate training. For the purpose of the CQUIN ‘relevant provider staff’ can be defined as:</w:t>
            </w:r>
          </w:p>
          <w:p w:rsidR="00DF18AB" w:rsidRPr="00DF18AB" w:rsidRDefault="00DF18AB" w:rsidP="00DF18AB">
            <w:pPr>
              <w:numPr>
                <w:ilvl w:val="0"/>
                <w:numId w:val="124"/>
              </w:numPr>
              <w:contextualSpacing/>
              <w:rPr>
                <w:i/>
                <w:sz w:val="22"/>
              </w:rPr>
            </w:pPr>
            <w:r w:rsidRPr="00DF18AB">
              <w:rPr>
                <w:i/>
                <w:sz w:val="22"/>
              </w:rPr>
              <w:t>Those who have allocated time to support the patient and carer to develop their care and support plan; and</w:t>
            </w:r>
          </w:p>
          <w:p w:rsidR="00DF18AB" w:rsidRPr="00DF18AB" w:rsidRDefault="00DF18AB" w:rsidP="00DF18AB">
            <w:pPr>
              <w:numPr>
                <w:ilvl w:val="0"/>
                <w:numId w:val="124"/>
              </w:numPr>
              <w:contextualSpacing/>
              <w:rPr>
                <w:i/>
                <w:sz w:val="22"/>
              </w:rPr>
            </w:pPr>
            <w:r w:rsidRPr="00DF18AB">
              <w:rPr>
                <w:i/>
                <w:sz w:val="22"/>
              </w:rPr>
              <w:t>Have specific expertise or training in support for people with long-term conditions; and</w:t>
            </w:r>
          </w:p>
          <w:p w:rsidR="00DF18AB" w:rsidRPr="00DF18AB" w:rsidRDefault="00DF18AB" w:rsidP="00DF18AB">
            <w:pPr>
              <w:numPr>
                <w:ilvl w:val="0"/>
                <w:numId w:val="124"/>
              </w:numPr>
              <w:contextualSpacing/>
              <w:rPr>
                <w:i/>
                <w:sz w:val="22"/>
              </w:rPr>
            </w:pPr>
            <w:r w:rsidRPr="00DF18AB">
              <w:rPr>
                <w:i/>
                <w:sz w:val="22"/>
              </w:rPr>
              <w:t>Are in a position to be able to liaise with multidisciplinary teams as required to gather information pertinent to the care planning discussion, and to raise issues that are impacting on an individual’s care or that need to be considered at an organisational level</w:t>
            </w:r>
          </w:p>
          <w:p w:rsidR="00DF18AB" w:rsidRPr="00DF18AB" w:rsidRDefault="00DF18AB" w:rsidP="00DF18AB">
            <w:pPr>
              <w:numPr>
                <w:ilvl w:val="0"/>
                <w:numId w:val="124"/>
              </w:numPr>
              <w:contextualSpacing/>
              <w:rPr>
                <w:i/>
                <w:sz w:val="22"/>
              </w:rPr>
            </w:pPr>
            <w:r w:rsidRPr="00DF18AB">
              <w:rPr>
                <w:i/>
                <w:sz w:val="22"/>
              </w:rPr>
              <w:t>Are a regular (at least annual) point of contact for the patient and carer</w:t>
            </w:r>
          </w:p>
          <w:p w:rsidR="00DF18AB" w:rsidRPr="00DF18AB" w:rsidRDefault="00DF18AB" w:rsidP="00DF18AB"/>
          <w:p w:rsidR="00DF18AB" w:rsidRPr="00DF18AB" w:rsidRDefault="00DF18AB" w:rsidP="00DF18AB">
            <w:r w:rsidRPr="00DF18AB">
              <w:lastRenderedPageBreak/>
              <w:t>Appropriate training is defined as training that:</w:t>
            </w:r>
          </w:p>
          <w:p w:rsidR="00DF18AB" w:rsidRPr="00DF18AB" w:rsidRDefault="00DF18AB" w:rsidP="00DF18AB">
            <w:pPr>
              <w:numPr>
                <w:ilvl w:val="0"/>
                <w:numId w:val="125"/>
              </w:numPr>
              <w:contextualSpacing/>
              <w:rPr>
                <w:i/>
                <w:sz w:val="22"/>
              </w:rPr>
            </w:pPr>
            <w:r w:rsidRPr="00DF18AB">
              <w:rPr>
                <w:i/>
                <w:sz w:val="22"/>
              </w:rPr>
              <w:t>Explores the role of care &amp; support planning in empowering patients and carers;</w:t>
            </w:r>
          </w:p>
          <w:p w:rsidR="00DF18AB" w:rsidRPr="00DF18AB" w:rsidRDefault="00DF18AB" w:rsidP="00DF18AB">
            <w:pPr>
              <w:numPr>
                <w:ilvl w:val="0"/>
                <w:numId w:val="125"/>
              </w:numPr>
              <w:contextualSpacing/>
              <w:rPr>
                <w:i/>
                <w:sz w:val="22"/>
              </w:rPr>
            </w:pPr>
            <w:r w:rsidRPr="00DF18AB">
              <w:rPr>
                <w:i/>
                <w:sz w:val="22"/>
              </w:rPr>
              <w:t>Clearly defines the role and expectations of the member of staff and the patient and/or carer;</w:t>
            </w:r>
          </w:p>
          <w:p w:rsidR="00DF18AB" w:rsidRPr="00DF18AB" w:rsidRDefault="00DF18AB" w:rsidP="00DF18AB">
            <w:pPr>
              <w:numPr>
                <w:ilvl w:val="0"/>
                <w:numId w:val="125"/>
              </w:numPr>
              <w:contextualSpacing/>
              <w:rPr>
                <w:i/>
                <w:sz w:val="22"/>
              </w:rPr>
            </w:pPr>
            <w:r w:rsidRPr="00DF18AB">
              <w:rPr>
                <w:i/>
                <w:sz w:val="22"/>
              </w:rPr>
              <w:t>Provides a framework for staff to follow in having structured care and support planning conversations based around what is important to the person living with a long-term condition and their holistic needs, not just their medical needs;</w:t>
            </w:r>
          </w:p>
          <w:p w:rsidR="00DF18AB" w:rsidRPr="00DF18AB" w:rsidRDefault="00DF18AB" w:rsidP="00DF18AB">
            <w:pPr>
              <w:numPr>
                <w:ilvl w:val="0"/>
                <w:numId w:val="125"/>
              </w:numPr>
              <w:contextualSpacing/>
            </w:pPr>
            <w:r w:rsidRPr="00DF18AB">
              <w:rPr>
                <w:i/>
                <w:sz w:val="22"/>
              </w:rPr>
              <w:t>Helps staff develop skills in motivational interviewing to help them in encouraging patients and carers to actively participate in planning discussions, and how to tailor their approach based on the individual’s levels of knowledge, skills and confidence, and their communication needs; and</w:t>
            </w:r>
          </w:p>
          <w:p w:rsidR="00DF18AB" w:rsidRPr="00DF18AB" w:rsidRDefault="00DF18AB" w:rsidP="00DF18AB">
            <w:pPr>
              <w:numPr>
                <w:ilvl w:val="0"/>
                <w:numId w:val="125"/>
              </w:numPr>
              <w:contextualSpacing/>
            </w:pPr>
            <w:r w:rsidRPr="00DF18AB">
              <w:rPr>
                <w:i/>
                <w:sz w:val="22"/>
              </w:rPr>
              <w:t>Helps staff deal with sensitive discussions such as consent, mental capacity, and end of life care</w:t>
            </w:r>
            <w:r w:rsidRPr="00DF18AB">
              <w:t>.</w:t>
            </w:r>
            <w:r w:rsidRPr="00DF18AB">
              <w:br/>
            </w:r>
          </w:p>
          <w:p w:rsidR="00DF18AB" w:rsidRPr="00DF18AB" w:rsidRDefault="00DF18AB" w:rsidP="00DF18AB">
            <w:r w:rsidRPr="00DF18AB">
              <w:t>In year two there are two components:</w:t>
            </w:r>
            <w:r w:rsidRPr="00DF18AB">
              <w:br/>
            </w:r>
          </w:p>
          <w:p w:rsidR="00DF18AB" w:rsidRPr="00DF18AB" w:rsidRDefault="00DF18AB" w:rsidP="00DF18AB">
            <w:pPr>
              <w:rPr>
                <w:rFonts w:cs="Calibri"/>
              </w:rPr>
            </w:pPr>
            <w:r w:rsidRPr="00DF18AB">
              <w:rPr>
                <w:rFonts w:cs="Calibri"/>
                <w:b/>
              </w:rPr>
              <w:t>Reporting on the number of care and support planning conversations</w:t>
            </w:r>
            <w:r w:rsidRPr="00DF18AB">
              <w:rPr>
                <w:rFonts w:cs="Calibri"/>
              </w:rPr>
              <w:t xml:space="preserve"> that take place (with the expectation that at least one conversation takes place for each patient but the number of conversations will vary depending on individual’s needs and levels of knowledge, skills and confidence).</w:t>
            </w:r>
            <w:r w:rsidRPr="00DF18AB">
              <w:rPr>
                <w:rFonts w:cs="Calibri"/>
              </w:rPr>
              <w:br/>
            </w:r>
          </w:p>
          <w:p w:rsidR="00DF18AB" w:rsidRPr="00DF18AB" w:rsidRDefault="00DF18AB" w:rsidP="00DF18AB">
            <w:pPr>
              <w:rPr>
                <w:rFonts w:cs="Calibri"/>
                <w:szCs w:val="24"/>
              </w:rPr>
            </w:pPr>
            <w:r w:rsidRPr="00DF18AB">
              <w:rPr>
                <w:rFonts w:cs="Calibri"/>
                <w:b/>
              </w:rPr>
              <w:t xml:space="preserve">Conducting a follow up review of patient’s knowledge, skills and </w:t>
            </w:r>
            <w:r w:rsidRPr="00DF18AB">
              <w:rPr>
                <w:rFonts w:cs="Calibri"/>
                <w:b/>
                <w:szCs w:val="24"/>
              </w:rPr>
              <w:t>confidence</w:t>
            </w:r>
            <w:r w:rsidRPr="00DF18AB">
              <w:rPr>
                <w:rFonts w:cs="Calibri"/>
                <w:szCs w:val="24"/>
              </w:rPr>
              <w:t xml:space="preserve"> for the identified patient population.</w:t>
            </w:r>
          </w:p>
          <w:p w:rsidR="00DF18AB" w:rsidRPr="00DF18AB" w:rsidRDefault="00DF18AB" w:rsidP="00DF18AB">
            <w:pPr>
              <w:rPr>
                <w:rFonts w:cs="Calibri"/>
                <w:szCs w:val="24"/>
              </w:rPr>
            </w:pPr>
          </w:p>
          <w:p w:rsidR="00DF18AB" w:rsidRPr="00DF18AB" w:rsidRDefault="00DF18AB" w:rsidP="00DF18AB">
            <w:pPr>
              <w:rPr>
                <w:rFonts w:cs="Arial"/>
              </w:rPr>
            </w:pPr>
            <w:r w:rsidRPr="00DF18AB">
              <w:rPr>
                <w:rFonts w:cs="Calibri"/>
                <w:szCs w:val="24"/>
              </w:rPr>
              <w:t>As above, organisations will either need to repeat the process of collecting individual Patient Activation scores using the Patient Activation Measure, or using the questions from the GP patient survey to ascertain levels of confidence and feelings of support.</w:t>
            </w:r>
          </w:p>
        </w:tc>
      </w:tr>
      <w:tr w:rsidR="00DF18AB" w:rsidRPr="00DF18AB" w:rsidTr="00593B8C">
        <w:trPr>
          <w:trHeight w:val="152"/>
        </w:trPr>
        <w:tc>
          <w:tcPr>
            <w:tcW w:w="2802" w:type="dxa"/>
          </w:tcPr>
          <w:p w:rsidR="00DF18AB" w:rsidRPr="00DF18AB" w:rsidRDefault="00DF18AB" w:rsidP="00DF18AB">
            <w:pPr>
              <w:rPr>
                <w:rFonts w:cs="Arial"/>
                <w:b/>
                <w:bCs w:val="0"/>
                <w:color w:val="000000"/>
              </w:rPr>
            </w:pPr>
            <w:r w:rsidRPr="00DF18AB">
              <w:rPr>
                <w:rFonts w:cs="Arial"/>
                <w:b/>
                <w:color w:val="000000"/>
              </w:rPr>
              <w:lastRenderedPageBreak/>
              <w:t>Numerator</w:t>
            </w:r>
          </w:p>
          <w:p w:rsidR="00DF18AB" w:rsidRPr="00DF18AB" w:rsidRDefault="00DF18AB" w:rsidP="00DF18AB">
            <w:r w:rsidRPr="00DF18AB">
              <w:rPr>
                <w:rFonts w:cs="Arial"/>
                <w:b/>
                <w:color w:val="000000"/>
              </w:rPr>
              <w:t>Denominator</w:t>
            </w:r>
          </w:p>
        </w:tc>
        <w:tc>
          <w:tcPr>
            <w:tcW w:w="6478" w:type="dxa"/>
          </w:tcPr>
          <w:p w:rsidR="00DF18AB" w:rsidRPr="00DF18AB" w:rsidRDefault="00DF18AB" w:rsidP="00DF18AB">
            <w:pPr>
              <w:rPr>
                <w:rFonts w:cs="Calibri"/>
                <w:b/>
                <w:szCs w:val="24"/>
              </w:rPr>
            </w:pPr>
            <w:r w:rsidRPr="00DF18AB">
              <w:rPr>
                <w:rFonts w:cs="Calibri"/>
                <w:b/>
                <w:szCs w:val="24"/>
              </w:rPr>
              <w:t>In year one:</w:t>
            </w:r>
          </w:p>
          <w:p w:rsidR="00DF18AB" w:rsidRPr="00DF18AB" w:rsidRDefault="00DF18AB" w:rsidP="00DF18AB">
            <w:pPr>
              <w:rPr>
                <w:rFonts w:cs="Calibri"/>
                <w:b/>
                <w:szCs w:val="24"/>
              </w:rPr>
            </w:pPr>
          </w:p>
          <w:p w:rsidR="00DF18AB" w:rsidRPr="00DF18AB" w:rsidRDefault="00DF18AB" w:rsidP="00DF18AB">
            <w:pPr>
              <w:numPr>
                <w:ilvl w:val="0"/>
                <w:numId w:val="57"/>
              </w:numPr>
              <w:contextualSpacing/>
              <w:rPr>
                <w:rFonts w:cs="Calibri"/>
                <w:szCs w:val="24"/>
              </w:rPr>
            </w:pPr>
            <w:r w:rsidRPr="00DF18AB">
              <w:rPr>
                <w:rFonts w:cs="Calibri"/>
                <w:szCs w:val="24"/>
              </w:rPr>
              <w:t>Submission of a plan to ensure care &amp; support planning is recorded by providers and how patients will be identified will be a yes/no requirement. Likewise local commissioners will need to confirm whether the plan has been received and accepted.</w:t>
            </w:r>
            <w:r w:rsidRPr="00DF18AB">
              <w:rPr>
                <w:rFonts w:cs="Calibri"/>
                <w:szCs w:val="24"/>
              </w:rPr>
              <w:br/>
            </w:r>
          </w:p>
          <w:p w:rsidR="00DF18AB" w:rsidRPr="00DF18AB" w:rsidRDefault="00DF18AB" w:rsidP="00DF18AB">
            <w:pPr>
              <w:numPr>
                <w:ilvl w:val="0"/>
                <w:numId w:val="57"/>
              </w:numPr>
              <w:contextualSpacing/>
              <w:rPr>
                <w:rFonts w:cs="Calibri"/>
                <w:szCs w:val="24"/>
              </w:rPr>
            </w:pPr>
            <w:r w:rsidRPr="00DF18AB">
              <w:rPr>
                <w:rFonts w:cs="Calibri"/>
                <w:szCs w:val="24"/>
              </w:rPr>
              <w:t>The provider to identify the number of patients as having one or more LTCs compared to the total number of patients served.</w:t>
            </w:r>
            <w:r w:rsidRPr="00DF18AB">
              <w:rPr>
                <w:rFonts w:cs="Calibri"/>
                <w:szCs w:val="24"/>
              </w:rPr>
              <w:br/>
            </w:r>
            <w:r w:rsidRPr="00DF18AB">
              <w:rPr>
                <w:rFonts w:cs="Calibri"/>
                <w:szCs w:val="24"/>
              </w:rPr>
              <w:br/>
            </w:r>
            <w:r w:rsidRPr="00DF18AB">
              <w:rPr>
                <w:rFonts w:cs="Calibri"/>
                <w:b/>
                <w:szCs w:val="24"/>
              </w:rPr>
              <w:t>AND</w:t>
            </w:r>
            <w:r w:rsidRPr="00DF18AB">
              <w:rPr>
                <w:rFonts w:cs="Calibri"/>
                <w:szCs w:val="24"/>
              </w:rPr>
              <w:br/>
            </w:r>
            <w:r w:rsidRPr="00DF18AB">
              <w:rPr>
                <w:rFonts w:cs="Calibri"/>
                <w:szCs w:val="24"/>
              </w:rPr>
              <w:br/>
            </w:r>
            <w:r w:rsidRPr="00DF18AB">
              <w:rPr>
                <w:rFonts w:cs="Calibri"/>
                <w:szCs w:val="24"/>
              </w:rPr>
              <w:lastRenderedPageBreak/>
              <w:t>For all patients identified as having one or more LTCs, all patients to have a patient activation score recorded.</w:t>
            </w:r>
            <w:r w:rsidRPr="00DF18AB">
              <w:rPr>
                <w:rFonts w:cs="Calibri"/>
                <w:szCs w:val="24"/>
              </w:rPr>
              <w:br/>
            </w:r>
            <w:r w:rsidRPr="00DF18AB">
              <w:rPr>
                <w:rFonts w:cs="Calibri"/>
                <w:szCs w:val="24"/>
              </w:rPr>
              <w:br/>
            </w:r>
            <w:r w:rsidRPr="00DF18AB">
              <w:rPr>
                <w:rFonts w:cs="Calibri"/>
                <w:b/>
                <w:szCs w:val="24"/>
              </w:rPr>
              <w:t xml:space="preserve">AND </w:t>
            </w:r>
            <w:r w:rsidRPr="00DF18AB">
              <w:rPr>
                <w:rFonts w:cs="Calibri"/>
                <w:szCs w:val="24"/>
              </w:rPr>
              <w:br/>
            </w:r>
            <w:r w:rsidRPr="00DF18AB">
              <w:rPr>
                <w:rFonts w:cs="Calibri"/>
                <w:szCs w:val="24"/>
              </w:rPr>
              <w:br/>
              <w:t>To confirm the final cohort as the number of patients with one more LTCs and who have a low activation level (as described above)</w:t>
            </w:r>
            <w:r w:rsidRPr="00DF18AB">
              <w:rPr>
                <w:rFonts w:cs="Calibri"/>
                <w:szCs w:val="24"/>
              </w:rPr>
              <w:br/>
            </w:r>
          </w:p>
          <w:p w:rsidR="00DF18AB" w:rsidRPr="00DF18AB" w:rsidRDefault="00DF18AB" w:rsidP="00DF18AB">
            <w:pPr>
              <w:numPr>
                <w:ilvl w:val="0"/>
                <w:numId w:val="57"/>
              </w:numPr>
              <w:contextualSpacing/>
              <w:rPr>
                <w:rFonts w:cs="Calibri"/>
                <w:szCs w:val="24"/>
              </w:rPr>
            </w:pPr>
            <w:r w:rsidRPr="00DF18AB">
              <w:rPr>
                <w:rFonts w:cs="Calibri"/>
                <w:szCs w:val="24"/>
              </w:rPr>
              <w:t>The provider to identify the number of staff who have undertaken training in personalised care and support planning</w:t>
            </w:r>
          </w:p>
          <w:p w:rsidR="00DF18AB" w:rsidRPr="00DF18AB" w:rsidRDefault="00DF18AB" w:rsidP="00DF18AB">
            <w:pPr>
              <w:ind w:left="720"/>
              <w:contextualSpacing/>
              <w:rPr>
                <w:rFonts w:cs="Calibri"/>
                <w:szCs w:val="24"/>
              </w:rPr>
            </w:pPr>
          </w:p>
          <w:p w:rsidR="00DF18AB" w:rsidRPr="00DF18AB" w:rsidRDefault="00DF18AB" w:rsidP="00DF18AB">
            <w:pPr>
              <w:rPr>
                <w:rFonts w:cs="Arial"/>
                <w:color w:val="95B3D7"/>
                <w:sz w:val="20"/>
                <w:szCs w:val="20"/>
              </w:rPr>
            </w:pPr>
            <m:oMathPara>
              <m:oMath>
                <m:r>
                  <w:rPr>
                    <w:rFonts w:ascii="Cambria Math" w:hAnsi="Cambria Math" w:cs="Arial"/>
                    <w:sz w:val="20"/>
                    <w:szCs w:val="20"/>
                  </w:rPr>
                  <m:t xml:space="preserve">Indicator= </m:t>
                </m:r>
                <m:d>
                  <m:dPr>
                    <m:begChr m:val="["/>
                    <m:endChr m:val="]"/>
                    <m:ctrlPr>
                      <w:rPr>
                        <w:rFonts w:ascii="Cambria Math" w:hAnsi="Cambria Math" w:cs="Arial"/>
                        <w:i/>
                        <w:sz w:val="20"/>
                        <w:szCs w:val="20"/>
                      </w:rPr>
                    </m:ctrlPr>
                  </m:dPr>
                  <m:e>
                    <m:f>
                      <m:fPr>
                        <m:ctrlPr>
                          <w:rPr>
                            <w:rFonts w:ascii="Cambria Math" w:hAnsi="Cambria Math" w:cs="Arial"/>
                            <w:i/>
                            <w:sz w:val="20"/>
                            <w:szCs w:val="20"/>
                          </w:rPr>
                        </m:ctrlPr>
                      </m:fPr>
                      <m:num>
                        <m:eqArr>
                          <m:eqArrPr>
                            <m:ctrlPr>
                              <w:rPr>
                                <w:rFonts w:ascii="Cambria Math" w:hAnsi="Cambria Math" w:cs="Arial"/>
                                <w:i/>
                                <w:sz w:val="20"/>
                                <w:szCs w:val="20"/>
                              </w:rPr>
                            </m:ctrlPr>
                          </m:eqArrPr>
                          <m:e>
                            <m:r>
                              <w:rPr>
                                <w:rFonts w:ascii="Cambria Math" w:hAnsi="Cambria Math" w:cs="Arial"/>
                                <w:sz w:val="20"/>
                                <w:szCs w:val="20"/>
                              </w:rPr>
                              <m:t>Number of staff who have been</m:t>
                            </m:r>
                          </m:e>
                          <m:e>
                            <m:r>
                              <w:rPr>
                                <w:rFonts w:ascii="Cambria Math" w:hAnsi="Cambria Math" w:cs="Arial"/>
                                <w:sz w:val="20"/>
                                <w:szCs w:val="20"/>
                              </w:rPr>
                              <m:t>recorded as undertaking care and</m:t>
                            </m:r>
                            <m:ctrlPr>
                              <w:rPr>
                                <w:rFonts w:ascii="Cambria Math" w:eastAsia="Cambria Math" w:hAnsi="Cambria Math" w:cs="Arial"/>
                                <w:i/>
                                <w:sz w:val="20"/>
                                <w:szCs w:val="20"/>
                              </w:rPr>
                            </m:ctrlPr>
                          </m:e>
                          <m:e>
                            <m:r>
                              <w:rPr>
                                <w:rFonts w:ascii="Cambria Math" w:eastAsia="Cambria Math" w:hAnsi="Cambria Math" w:cs="Arial"/>
                                <w:sz w:val="20"/>
                                <w:szCs w:val="20"/>
                              </w:rPr>
                              <m:t>support p</m:t>
                            </m:r>
                            <m:r>
                              <w:rPr>
                                <w:rFonts w:ascii="Cambria Math" w:eastAsia="Cambria Math" w:hAnsi="Cambria Math" w:cs="Arial"/>
                                <w:sz w:val="20"/>
                                <w:szCs w:val="20"/>
                              </w:rPr>
                              <m:t>lanning training</m:t>
                            </m:r>
                          </m:e>
                        </m:eqArr>
                      </m:num>
                      <m:den>
                        <m:eqArr>
                          <m:eqArrPr>
                            <m:ctrlPr>
                              <w:rPr>
                                <w:rFonts w:ascii="Cambria Math" w:hAnsi="Cambria Math" w:cs="Arial"/>
                                <w:i/>
                                <w:sz w:val="20"/>
                                <w:szCs w:val="20"/>
                              </w:rPr>
                            </m:ctrlPr>
                          </m:eqArrPr>
                          <m:e>
                            <m:r>
                              <w:rPr>
                                <w:rFonts w:ascii="Cambria Math" w:hAnsi="Cambria Math" w:cs="Arial"/>
                                <w:sz w:val="20"/>
                                <w:szCs w:val="20"/>
                              </w:rPr>
                              <m:t>Total number of staff identified by</m:t>
                            </m:r>
                          </m:e>
                          <m:e>
                            <m:r>
                              <w:rPr>
                                <w:rFonts w:ascii="Cambria Math" w:hAnsi="Cambria Math" w:cs="Arial"/>
                                <w:sz w:val="20"/>
                                <w:szCs w:val="20"/>
                              </w:rPr>
                              <m:t>the provider as caring for the</m:t>
                            </m:r>
                            <m:ctrlPr>
                              <w:rPr>
                                <w:rFonts w:ascii="Cambria Math" w:eastAsia="Cambria Math" w:hAnsi="Cambria Math" w:cs="Arial"/>
                                <w:i/>
                                <w:sz w:val="20"/>
                                <w:szCs w:val="20"/>
                              </w:rPr>
                            </m:ctrlPr>
                          </m:e>
                          <m:e>
                            <m:r>
                              <w:rPr>
                                <w:rFonts w:ascii="Cambria Math" w:eastAsia="Cambria Math" w:hAnsi="Cambria Math" w:cs="Arial"/>
                                <w:sz w:val="20"/>
                                <w:szCs w:val="20"/>
                              </w:rPr>
                              <m:t>identified patient cohort</m:t>
                            </m:r>
                          </m:e>
                        </m:eqArr>
                      </m:den>
                    </m:f>
                  </m:e>
                </m:d>
                <m:r>
                  <w:rPr>
                    <w:rFonts w:ascii="Cambria Math" w:hAnsi="Cambria Math" w:cs="Arial"/>
                    <w:sz w:val="20"/>
                    <w:szCs w:val="20"/>
                  </w:rPr>
                  <m:t xml:space="preserve"> ×100%</m:t>
                </m:r>
              </m:oMath>
            </m:oMathPara>
          </w:p>
          <w:p w:rsidR="00DF18AB" w:rsidRPr="00DF18AB" w:rsidRDefault="00DF18AB" w:rsidP="00DF18AB">
            <w:pPr>
              <w:rPr>
                <w:rFonts w:cs="Calibri"/>
                <w:szCs w:val="24"/>
              </w:rPr>
            </w:pPr>
          </w:p>
          <w:p w:rsidR="00DF18AB" w:rsidRPr="00DF18AB" w:rsidRDefault="00DF18AB" w:rsidP="00DF18AB">
            <w:pPr>
              <w:rPr>
                <w:rFonts w:cs="Calibri"/>
                <w:b/>
                <w:szCs w:val="24"/>
              </w:rPr>
            </w:pPr>
            <w:r w:rsidRPr="00DF18AB">
              <w:rPr>
                <w:rFonts w:cs="Calibri"/>
                <w:b/>
                <w:szCs w:val="24"/>
              </w:rPr>
              <w:t>In year two:</w:t>
            </w:r>
          </w:p>
          <w:p w:rsidR="00DF18AB" w:rsidRPr="00DF18AB" w:rsidRDefault="00DF18AB" w:rsidP="00DF18AB">
            <w:pPr>
              <w:rPr>
                <w:rFonts w:cs="Calibri"/>
                <w:color w:val="95B3D7"/>
                <w:szCs w:val="24"/>
              </w:rPr>
            </w:pPr>
          </w:p>
          <w:p w:rsidR="00DF18AB" w:rsidRPr="00DF18AB" w:rsidRDefault="00DF18AB" w:rsidP="00DF18AB">
            <w:pPr>
              <w:numPr>
                <w:ilvl w:val="0"/>
                <w:numId w:val="58"/>
              </w:numPr>
              <w:contextualSpacing/>
              <w:rPr>
                <w:rFonts w:cs="Calibri"/>
                <w:szCs w:val="24"/>
              </w:rPr>
            </w:pPr>
            <w:r w:rsidRPr="00DF18AB">
              <w:rPr>
                <w:rFonts w:cs="Calibri"/>
                <w:szCs w:val="24"/>
              </w:rPr>
              <w:t>The number of patients from the identified cohort who have undertaken personalised care and support planning conversations</w:t>
            </w:r>
          </w:p>
          <w:p w:rsidR="00DF18AB" w:rsidRPr="00DF18AB" w:rsidRDefault="00DF18AB" w:rsidP="00DF18AB">
            <w:pPr>
              <w:ind w:left="720"/>
              <w:contextualSpacing/>
              <w:rPr>
                <w:rFonts w:cs="Calibri"/>
                <w:color w:val="95B3D7"/>
                <w:szCs w:val="24"/>
              </w:rPr>
            </w:pPr>
          </w:p>
          <w:p w:rsidR="00DF18AB" w:rsidRPr="00DF18AB" w:rsidRDefault="00DF18AB" w:rsidP="00DF18AB">
            <w:pPr>
              <w:rPr>
                <w:rFonts w:cs="Calibri"/>
                <w:sz w:val="20"/>
                <w:szCs w:val="20"/>
              </w:rPr>
            </w:pPr>
            <m:oMathPara>
              <m:oMath>
                <m:r>
                  <w:rPr>
                    <w:rFonts w:ascii="Cambria Math" w:hAnsi="Cambria Math" w:cs="Calibri"/>
                    <w:sz w:val="20"/>
                    <w:szCs w:val="20"/>
                  </w:rPr>
                  <m:t xml:space="preserve">Indicator= </m:t>
                </m:r>
                <m:d>
                  <m:dPr>
                    <m:begChr m:val="["/>
                    <m:endChr m:val="]"/>
                    <m:ctrlPr>
                      <w:rPr>
                        <w:rFonts w:ascii="Cambria Math" w:hAnsi="Cambria Math" w:cs="Calibri"/>
                        <w:i/>
                        <w:sz w:val="20"/>
                        <w:szCs w:val="20"/>
                      </w:rPr>
                    </m:ctrlPr>
                  </m:dPr>
                  <m:e>
                    <m:f>
                      <m:fPr>
                        <m:ctrlPr>
                          <w:rPr>
                            <w:rFonts w:ascii="Cambria Math" w:hAnsi="Cambria Math" w:cs="Calibri"/>
                            <w:i/>
                            <w:sz w:val="20"/>
                            <w:szCs w:val="20"/>
                          </w:rPr>
                        </m:ctrlPr>
                      </m:fPr>
                      <m:num>
                        <m:eqArr>
                          <m:eqArrPr>
                            <m:ctrlPr>
                              <w:rPr>
                                <w:rFonts w:ascii="Cambria Math" w:hAnsi="Cambria Math" w:cs="Calibri"/>
                                <w:i/>
                                <w:sz w:val="20"/>
                                <w:szCs w:val="20"/>
                              </w:rPr>
                            </m:ctrlPr>
                          </m:eqArrPr>
                          <m:e>
                            <m:r>
                              <w:rPr>
                                <w:rFonts w:ascii="Cambria Math" w:hAnsi="Cambria Math" w:cs="Calibri"/>
                                <w:sz w:val="20"/>
                                <w:szCs w:val="20"/>
                              </w:rPr>
                              <m:t xml:space="preserve">Number of patients who have had a </m:t>
                            </m:r>
                          </m:e>
                          <m:e>
                            <m:r>
                              <w:rPr>
                                <w:rFonts w:ascii="Cambria Math" w:hAnsi="Cambria Math" w:cs="Calibri"/>
                                <w:sz w:val="20"/>
                                <w:szCs w:val="20"/>
                              </w:rPr>
                              <m:t xml:space="preserve">record of care and support planning </m:t>
                            </m:r>
                            <m:ctrlPr>
                              <w:rPr>
                                <w:rFonts w:ascii="Cambria Math" w:eastAsia="Cambria Math" w:hAnsi="Cambria Math" w:cs="Cambria Math"/>
                                <w:i/>
                                <w:sz w:val="20"/>
                                <w:szCs w:val="20"/>
                              </w:rPr>
                            </m:ctrlPr>
                          </m:e>
                          <m:e>
                            <m:r>
                              <w:rPr>
                                <w:rFonts w:ascii="Cambria Math" w:eastAsia="Cambria Math" w:hAnsi="Cambria Math" w:cs="Cambria Math"/>
                                <w:sz w:val="20"/>
                                <w:szCs w:val="20"/>
                              </w:rPr>
                              <m:t>conversations</m:t>
                            </m:r>
                          </m:e>
                        </m:eqArr>
                      </m:num>
                      <m:den>
                        <m:eqArr>
                          <m:eqArrPr>
                            <m:ctrlPr>
                              <w:rPr>
                                <w:rFonts w:ascii="Cambria Math" w:hAnsi="Cambria Math" w:cs="Calibri"/>
                                <w:i/>
                                <w:sz w:val="20"/>
                                <w:szCs w:val="20"/>
                              </w:rPr>
                            </m:ctrlPr>
                          </m:eqArrPr>
                          <m:e>
                            <m:r>
                              <w:rPr>
                                <w:rFonts w:ascii="Cambria Math" w:hAnsi="Cambria Math" w:cs="Calibri"/>
                                <w:sz w:val="20"/>
                                <w:szCs w:val="20"/>
                              </w:rPr>
                              <m:t xml:space="preserve">Total number of patients who </m:t>
                            </m:r>
                          </m:e>
                          <m:e>
                            <m:r>
                              <w:rPr>
                                <w:rFonts w:ascii="Cambria Math" w:hAnsi="Cambria Math" w:cs="Calibri"/>
                                <w:sz w:val="20"/>
                                <w:szCs w:val="20"/>
                              </w:rPr>
                              <m:t>should have had a care and support</m:t>
                            </m:r>
                            <m:ctrlPr>
                              <w:rPr>
                                <w:rFonts w:ascii="Cambria Math" w:eastAsia="Cambria Math" w:hAnsi="Cambria Math" w:cs="Cambria Math"/>
                                <w:i/>
                                <w:sz w:val="20"/>
                                <w:szCs w:val="20"/>
                              </w:rPr>
                            </m:ctrlPr>
                          </m:e>
                          <m:e>
                            <m:r>
                              <w:rPr>
                                <w:rFonts w:ascii="Cambria Math" w:eastAsia="Cambria Math" w:hAnsi="Cambria Math" w:cs="Cambria Math"/>
                                <w:sz w:val="20"/>
                                <w:szCs w:val="20"/>
                              </w:rPr>
                              <m:t>planning conversation in accordance</m:t>
                            </m:r>
                            <m:ctrlPr>
                              <w:rPr>
                                <w:rFonts w:ascii="Cambria Math" w:eastAsia="Cambria Math" w:hAnsi="Cambria Math" w:cs="Cambria Math"/>
                                <w:i/>
                                <w:sz w:val="20"/>
                                <w:szCs w:val="20"/>
                              </w:rPr>
                            </m:ctrlPr>
                          </m:e>
                          <m:e>
                            <m:r>
                              <w:rPr>
                                <w:rFonts w:ascii="Cambria Math" w:eastAsia="Cambria Math" w:hAnsi="Cambria Math" w:cs="Cambria Math"/>
                                <w:sz w:val="20"/>
                                <w:szCs w:val="20"/>
                              </w:rPr>
                              <m:t>with the agreed local plan</m:t>
                            </m:r>
                          </m:e>
                        </m:eqArr>
                      </m:den>
                    </m:f>
                  </m:e>
                </m:d>
                <m:r>
                  <w:rPr>
                    <w:rFonts w:ascii="Cambria Math" w:hAnsi="Cambria Math" w:cs="Calibri"/>
                    <w:sz w:val="20"/>
                    <w:szCs w:val="20"/>
                  </w:rPr>
                  <m:t xml:space="preserve"> </m:t>
                </m:r>
                <m:r>
                  <w:rPr>
                    <w:rFonts w:ascii="Cambria Math" w:hAnsi="Cambria Math" w:cs="Calibri" w:hint="eastAsia"/>
                    <w:sz w:val="20"/>
                    <w:szCs w:val="20"/>
                  </w:rPr>
                  <m:t>×</m:t>
                </m:r>
                <m:r>
                  <w:rPr>
                    <w:rFonts w:ascii="Cambria Math" w:hAnsi="Cambria Math" w:cs="Calibri"/>
                    <w:sz w:val="20"/>
                    <w:szCs w:val="20"/>
                  </w:rPr>
                  <m:t>100%</m:t>
                </m:r>
              </m:oMath>
            </m:oMathPara>
          </w:p>
          <w:p w:rsidR="00DF18AB" w:rsidRPr="00DF18AB" w:rsidRDefault="00DF18AB" w:rsidP="00DF18AB">
            <w:pPr>
              <w:rPr>
                <w:rFonts w:cs="Calibri"/>
                <w:color w:val="95B3D7"/>
                <w:sz w:val="20"/>
                <w:szCs w:val="20"/>
              </w:rPr>
            </w:pPr>
          </w:p>
          <w:p w:rsidR="00DF18AB" w:rsidRPr="00DF18AB" w:rsidRDefault="00DF18AB" w:rsidP="00DF18AB">
            <w:pPr>
              <w:numPr>
                <w:ilvl w:val="0"/>
                <w:numId w:val="58"/>
              </w:numPr>
              <w:contextualSpacing/>
              <w:rPr>
                <w:rFonts w:cs="Calibri"/>
                <w:color w:val="95B3D7"/>
                <w:sz w:val="20"/>
                <w:szCs w:val="20"/>
              </w:rPr>
            </w:pPr>
            <w:r w:rsidRPr="00DF18AB">
              <w:rPr>
                <w:rFonts w:cs="Calibri"/>
                <w:szCs w:val="24"/>
              </w:rPr>
              <w:t>Whether there has been an improvement in individual activation levels following personalised care and support planning</w:t>
            </w:r>
            <w:r w:rsidRPr="00DF18AB">
              <w:rPr>
                <w:rFonts w:cs="Calibri"/>
                <w:color w:val="95B3D7"/>
                <w:sz w:val="20"/>
                <w:szCs w:val="20"/>
              </w:rPr>
              <w:br/>
            </w:r>
          </w:p>
          <w:p w:rsidR="00DF18AB" w:rsidRPr="00DF18AB" w:rsidRDefault="00DF18AB" w:rsidP="00DF18AB">
            <w:pPr>
              <w:rPr>
                <w:rFonts w:cs="Calibri"/>
                <w:color w:val="95B3D7"/>
                <w:sz w:val="20"/>
                <w:szCs w:val="20"/>
              </w:rPr>
            </w:pPr>
            <m:oMathPara>
              <m:oMath>
                <m:r>
                  <w:rPr>
                    <w:rFonts w:ascii="Cambria Math" w:hAnsi="Cambria Math" w:cs="Calibri"/>
                    <w:sz w:val="20"/>
                    <w:szCs w:val="20"/>
                  </w:rPr>
                  <m:t xml:space="preserve">Indicator= </m:t>
                </m:r>
                <m:d>
                  <m:dPr>
                    <m:begChr m:val="["/>
                    <m:endChr m:val="]"/>
                    <m:ctrlPr>
                      <w:rPr>
                        <w:rFonts w:ascii="Cambria Math" w:hAnsi="Cambria Math" w:cs="Calibri"/>
                        <w:i/>
                        <w:sz w:val="20"/>
                        <w:szCs w:val="20"/>
                      </w:rPr>
                    </m:ctrlPr>
                  </m:dPr>
                  <m:e>
                    <m:f>
                      <m:fPr>
                        <m:ctrlPr>
                          <w:rPr>
                            <w:rFonts w:ascii="Cambria Math" w:hAnsi="Cambria Math" w:cs="Calibri"/>
                            <w:i/>
                            <w:sz w:val="20"/>
                            <w:szCs w:val="20"/>
                          </w:rPr>
                        </m:ctrlPr>
                      </m:fPr>
                      <m:num>
                        <m:eqArr>
                          <m:eqArrPr>
                            <m:ctrlPr>
                              <w:rPr>
                                <w:rFonts w:ascii="Cambria Math" w:hAnsi="Cambria Math" w:cs="Calibri"/>
                                <w:i/>
                                <w:sz w:val="20"/>
                                <w:szCs w:val="20"/>
                              </w:rPr>
                            </m:ctrlPr>
                          </m:eqArrPr>
                          <m:e>
                            <m:r>
                              <w:rPr>
                                <w:rFonts w:ascii="Cambria Math" w:hAnsi="Cambria Math" w:cs="Calibri"/>
                                <w:sz w:val="20"/>
                                <w:szCs w:val="20"/>
                              </w:rPr>
                              <m:t xml:space="preserve">Difference in score of patient activation </m:t>
                            </m:r>
                          </m:e>
                          <m:e>
                            <m:d>
                              <m:dPr>
                                <m:ctrlPr>
                                  <w:rPr>
                                    <w:rFonts w:ascii="Cambria Math" w:hAnsi="Cambria Math" w:cs="Calibri"/>
                                    <w:i/>
                                    <w:sz w:val="20"/>
                                    <w:szCs w:val="20"/>
                                  </w:rPr>
                                </m:ctrlPr>
                              </m:dPr>
                              <m:e>
                                <m:eqArr>
                                  <m:eqArrPr>
                                    <m:ctrlPr>
                                      <w:rPr>
                                        <w:rFonts w:ascii="Cambria Math" w:hAnsi="Cambria Math" w:cs="Calibri"/>
                                        <w:i/>
                                        <w:sz w:val="20"/>
                                        <w:szCs w:val="20"/>
                                      </w:rPr>
                                    </m:ctrlPr>
                                  </m:eqArrPr>
                                  <m:e>
                                    <m:r>
                                      <w:rPr>
                                        <w:rFonts w:ascii="Cambria Math" w:hAnsi="Cambria Math" w:cs="Calibri"/>
                                        <w:sz w:val="20"/>
                                        <w:szCs w:val="20"/>
                                      </w:rPr>
                                      <m:t>Score of patient activation in Year 2-</m:t>
                                    </m:r>
                                  </m:e>
                                  <m:e>
                                    <m:r>
                                      <w:rPr>
                                        <w:rFonts w:ascii="Cambria Math" w:hAnsi="Cambria Math" w:cs="Calibri"/>
                                        <w:sz w:val="20"/>
                                        <w:szCs w:val="20"/>
                                      </w:rPr>
                                      <m:t>Score of patient activation in Year 1</m:t>
                                    </m:r>
                                  </m:e>
                                </m:eqArr>
                              </m:e>
                            </m:d>
                          </m:e>
                        </m:eqArr>
                      </m:num>
                      <m:den>
                        <m:r>
                          <w:rPr>
                            <w:rFonts w:ascii="Cambria Math" w:hAnsi="Cambria Math" w:cs="Calibri"/>
                            <w:sz w:val="20"/>
                            <w:szCs w:val="20"/>
                          </w:rPr>
                          <m:t>Score of patient activation in Year 1</m:t>
                        </m:r>
                      </m:den>
                    </m:f>
                  </m:e>
                </m:d>
                <m:r>
                  <w:rPr>
                    <w:rFonts w:ascii="Cambria Math" w:hAnsi="Cambria Math" w:cs="Calibri"/>
                    <w:sz w:val="20"/>
                    <w:szCs w:val="20"/>
                  </w:rPr>
                  <m:t xml:space="preserve"> </m:t>
                </m:r>
                <m:r>
                  <w:rPr>
                    <w:rFonts w:ascii="Cambria Math" w:hAnsi="Cambria Math" w:cs="Calibri" w:hint="eastAsia"/>
                    <w:sz w:val="20"/>
                    <w:szCs w:val="20"/>
                  </w:rPr>
                  <m:t>×</m:t>
                </m:r>
                <m:r>
                  <w:rPr>
                    <w:rFonts w:ascii="Cambria Math" w:hAnsi="Cambria Math" w:cs="Calibri"/>
                    <w:sz w:val="20"/>
                    <w:szCs w:val="20"/>
                  </w:rPr>
                  <m:t>100%</m:t>
                </m:r>
              </m:oMath>
            </m:oMathPara>
          </w:p>
        </w:tc>
      </w:tr>
      <w:tr w:rsidR="00DF18AB" w:rsidRPr="00DF18AB" w:rsidTr="00593B8C">
        <w:trPr>
          <w:trHeight w:val="152"/>
        </w:trPr>
        <w:tc>
          <w:tcPr>
            <w:tcW w:w="2802" w:type="dxa"/>
          </w:tcPr>
          <w:p w:rsidR="00DF18AB" w:rsidRPr="00DF18AB" w:rsidRDefault="00DF18AB" w:rsidP="00DF18AB">
            <w:pPr>
              <w:rPr>
                <w:b/>
              </w:rPr>
            </w:pPr>
            <w:r w:rsidRPr="00DF18AB">
              <w:rPr>
                <w:rFonts w:cs="Arial"/>
                <w:b/>
                <w:color w:val="000000"/>
              </w:rPr>
              <w:lastRenderedPageBreak/>
              <w:t>Data source</w:t>
            </w:r>
          </w:p>
        </w:tc>
        <w:tc>
          <w:tcPr>
            <w:tcW w:w="6478" w:type="dxa"/>
          </w:tcPr>
          <w:p w:rsidR="00DF18AB" w:rsidRPr="00DF18AB" w:rsidRDefault="00DF18AB" w:rsidP="00DF18AB">
            <w:pPr>
              <w:rPr>
                <w:rFonts w:cs="Calibri"/>
                <w:b/>
                <w:szCs w:val="24"/>
              </w:rPr>
            </w:pPr>
            <w:r w:rsidRPr="00DF18AB">
              <w:rPr>
                <w:rFonts w:cs="Calibri"/>
                <w:b/>
                <w:szCs w:val="24"/>
              </w:rPr>
              <w:t>Year One:</w:t>
            </w:r>
          </w:p>
          <w:p w:rsidR="00DF18AB" w:rsidRPr="00DF18AB" w:rsidRDefault="00DF18AB" w:rsidP="00DF18AB">
            <w:pPr>
              <w:numPr>
                <w:ilvl w:val="0"/>
                <w:numId w:val="59"/>
              </w:numPr>
              <w:ind w:left="360"/>
              <w:contextualSpacing/>
              <w:rPr>
                <w:rFonts w:cs="Calibri"/>
                <w:szCs w:val="24"/>
              </w:rPr>
            </w:pPr>
            <w:r w:rsidRPr="00DF18AB">
              <w:rPr>
                <w:rFonts w:cs="Calibri"/>
                <w:szCs w:val="24"/>
              </w:rPr>
              <w:t xml:space="preserve">Community based providers would need to submit a plan via UNIFY outlining their approach to delivering personalised care and support planning to an identified cohort of patients and how they will record this activity in a format that can be aggregated at organisation level  </w:t>
            </w:r>
            <w:r w:rsidRPr="00DF18AB">
              <w:rPr>
                <w:rFonts w:cs="Calibri"/>
                <w:szCs w:val="24"/>
              </w:rPr>
              <w:lastRenderedPageBreak/>
              <w:t>(</w:t>
            </w:r>
            <w:proofErr w:type="spellStart"/>
            <w:r w:rsidRPr="00DF18AB">
              <w:rPr>
                <w:rFonts w:cs="Calibri"/>
                <w:szCs w:val="24"/>
              </w:rPr>
              <w:t>ie</w:t>
            </w:r>
            <w:proofErr w:type="spellEnd"/>
            <w:r w:rsidRPr="00DF18AB">
              <w:rPr>
                <w:rFonts w:cs="Calibri"/>
                <w:szCs w:val="24"/>
              </w:rPr>
              <w:t xml:space="preserve"> local, operational collection can vary, but organisational submission to UNIFY must be consistent) following locally agreed sign off processes by the commissioner </w:t>
            </w:r>
            <w:r w:rsidRPr="00DF18AB">
              <w:rPr>
                <w:rFonts w:cs="Calibri"/>
                <w:szCs w:val="24"/>
              </w:rPr>
              <w:br/>
            </w:r>
          </w:p>
          <w:p w:rsidR="00DF18AB" w:rsidRPr="00DF18AB" w:rsidRDefault="00DF18AB" w:rsidP="00DF18AB">
            <w:pPr>
              <w:numPr>
                <w:ilvl w:val="0"/>
                <w:numId w:val="59"/>
              </w:numPr>
              <w:ind w:left="360"/>
              <w:contextualSpacing/>
              <w:rPr>
                <w:rFonts w:cs="Calibri"/>
                <w:szCs w:val="24"/>
              </w:rPr>
            </w:pPr>
            <w:r w:rsidRPr="00DF18AB">
              <w:rPr>
                <w:rFonts w:cs="Calibri"/>
                <w:szCs w:val="24"/>
              </w:rPr>
              <w:t>Providers would need to identify which patient populations would benefit from personalised care and support planning and should be prioritised, using the list of long term conditions outlined in the GP Patient Survey and the Patient Activation Measure or GP patient survey criteria to assess their level of confidence and perceived support.</w:t>
            </w:r>
          </w:p>
          <w:p w:rsidR="00DF18AB" w:rsidRPr="00DF18AB" w:rsidRDefault="00DF18AB" w:rsidP="00DF18AB">
            <w:pPr>
              <w:rPr>
                <w:rFonts w:cs="Calibri"/>
                <w:szCs w:val="24"/>
              </w:rPr>
            </w:pPr>
          </w:p>
          <w:p w:rsidR="00DF18AB" w:rsidRPr="00DF18AB" w:rsidRDefault="00DF18AB" w:rsidP="00DF18AB">
            <w:pPr>
              <w:numPr>
                <w:ilvl w:val="0"/>
                <w:numId w:val="59"/>
              </w:numPr>
              <w:ind w:left="360"/>
              <w:contextualSpacing/>
              <w:rPr>
                <w:rFonts w:cs="Calibri"/>
                <w:szCs w:val="24"/>
              </w:rPr>
            </w:pPr>
            <w:r w:rsidRPr="00DF18AB">
              <w:rPr>
                <w:rFonts w:cs="Calibri"/>
                <w:szCs w:val="24"/>
              </w:rPr>
              <w:t xml:space="preserve">Providers would need to identify relevant staff (as defined above) and record that they have undertaken training in personalised care and support planning (as defined above). To be submitted via UNIFY following locally agreed sign off processes by the commissioner </w:t>
            </w:r>
            <w:r w:rsidRPr="00DF18AB">
              <w:rPr>
                <w:rFonts w:cs="Calibri"/>
                <w:szCs w:val="24"/>
              </w:rPr>
              <w:br/>
            </w:r>
          </w:p>
          <w:p w:rsidR="00DF18AB" w:rsidRPr="00DF18AB" w:rsidRDefault="00DF18AB" w:rsidP="00DF18AB">
            <w:pPr>
              <w:rPr>
                <w:rFonts w:cs="Calibri"/>
                <w:b/>
                <w:szCs w:val="24"/>
              </w:rPr>
            </w:pPr>
            <w:r w:rsidRPr="00DF18AB">
              <w:rPr>
                <w:rFonts w:cs="Calibri"/>
                <w:b/>
                <w:szCs w:val="24"/>
              </w:rPr>
              <w:t>Year Two:</w:t>
            </w:r>
          </w:p>
          <w:p w:rsidR="00DF18AB" w:rsidRPr="00DF18AB" w:rsidRDefault="00DF18AB" w:rsidP="00DF18AB">
            <w:pPr>
              <w:numPr>
                <w:ilvl w:val="0"/>
                <w:numId w:val="60"/>
              </w:numPr>
              <w:contextualSpacing/>
              <w:rPr>
                <w:rFonts w:cs="Calibri"/>
                <w:szCs w:val="24"/>
              </w:rPr>
            </w:pPr>
            <w:r w:rsidRPr="00DF18AB">
              <w:rPr>
                <w:rFonts w:cs="Calibri"/>
                <w:szCs w:val="24"/>
              </w:rPr>
              <w:t xml:space="preserve">Identify the number of care planning conversations taking place for each of the identified cohort from the previously identified local system. </w:t>
            </w:r>
            <w:r w:rsidRPr="00DF18AB">
              <w:rPr>
                <w:rFonts w:cs="Calibri"/>
                <w:szCs w:val="24"/>
              </w:rPr>
              <w:br/>
            </w:r>
          </w:p>
          <w:p w:rsidR="00DF18AB" w:rsidRPr="00DF18AB" w:rsidRDefault="00DF18AB" w:rsidP="00DF18AB">
            <w:pPr>
              <w:numPr>
                <w:ilvl w:val="0"/>
                <w:numId w:val="60"/>
              </w:numPr>
              <w:contextualSpacing/>
              <w:rPr>
                <w:szCs w:val="24"/>
              </w:rPr>
            </w:pPr>
            <w:r w:rsidRPr="00DF18AB">
              <w:rPr>
                <w:rFonts w:cs="Calibri"/>
                <w:szCs w:val="24"/>
              </w:rPr>
              <w:t>Follow-up use of a survey instrument (the Patient Activation Measure or questions from the GP patient survey) to assess whether the level of patients’ skills, knowledge and confidence to self-manage has improved.</w:t>
            </w:r>
            <w:r w:rsidRPr="00DF18AB" w:rsidDel="0030697E">
              <w:rPr>
                <w:rFonts w:cs="Calibri"/>
                <w:szCs w:val="24"/>
              </w:rPr>
              <w:t xml:space="preserve"> </w:t>
            </w:r>
          </w:p>
        </w:tc>
      </w:tr>
      <w:tr w:rsidR="00DF18AB" w:rsidRPr="00DF18AB" w:rsidTr="00593B8C">
        <w:trPr>
          <w:trHeight w:val="584"/>
        </w:trPr>
        <w:tc>
          <w:tcPr>
            <w:tcW w:w="2802" w:type="dxa"/>
          </w:tcPr>
          <w:p w:rsidR="00DF18AB" w:rsidRPr="00DF18AB" w:rsidRDefault="00DF18AB" w:rsidP="00DF18AB">
            <w:pPr>
              <w:rPr>
                <w:b/>
              </w:rPr>
            </w:pPr>
            <w:r w:rsidRPr="00DF18AB">
              <w:rPr>
                <w:rFonts w:cs="Arial"/>
                <w:b/>
                <w:color w:val="000000"/>
              </w:rPr>
              <w:lastRenderedPageBreak/>
              <w:t>Frequency of data collection</w:t>
            </w:r>
          </w:p>
        </w:tc>
        <w:tc>
          <w:tcPr>
            <w:tcW w:w="6478" w:type="dxa"/>
          </w:tcPr>
          <w:p w:rsidR="00DF18AB" w:rsidRPr="00DF18AB" w:rsidRDefault="00DF18AB" w:rsidP="00DF18AB">
            <w:pPr>
              <w:rPr>
                <w:szCs w:val="24"/>
              </w:rPr>
            </w:pPr>
            <w:r w:rsidRPr="00DF18AB">
              <w:rPr>
                <w:szCs w:val="24"/>
              </w:rPr>
              <w:t>Annual, noting in-year milestones for year 1</w:t>
            </w:r>
          </w:p>
        </w:tc>
      </w:tr>
      <w:tr w:rsidR="00DF18AB" w:rsidRPr="00DF18AB" w:rsidTr="00593B8C">
        <w:trPr>
          <w:trHeight w:val="152"/>
        </w:trPr>
        <w:tc>
          <w:tcPr>
            <w:tcW w:w="2802" w:type="dxa"/>
          </w:tcPr>
          <w:p w:rsidR="00DF18AB" w:rsidRPr="00DF18AB" w:rsidRDefault="00DF18AB" w:rsidP="00DF18AB">
            <w:pPr>
              <w:rPr>
                <w:b/>
              </w:rPr>
            </w:pPr>
            <w:r w:rsidRPr="00DF18AB">
              <w:rPr>
                <w:rFonts w:cs="Arial"/>
                <w:b/>
                <w:color w:val="000000"/>
              </w:rPr>
              <w:t>Organisation responsible for data collection</w:t>
            </w:r>
          </w:p>
        </w:tc>
        <w:tc>
          <w:tcPr>
            <w:tcW w:w="6478" w:type="dxa"/>
          </w:tcPr>
          <w:p w:rsidR="00DF18AB" w:rsidRPr="00DF18AB" w:rsidRDefault="00DF18AB" w:rsidP="00DF18AB">
            <w:pPr>
              <w:rPr>
                <w:szCs w:val="24"/>
              </w:rPr>
            </w:pPr>
            <w:r w:rsidRPr="00DF18AB">
              <w:rPr>
                <w:szCs w:val="24"/>
              </w:rPr>
              <w:t xml:space="preserve">This will be the responsibility of individual community providers collecting data via UNIFY </w:t>
            </w:r>
          </w:p>
        </w:tc>
      </w:tr>
      <w:tr w:rsidR="00DF18AB" w:rsidRPr="00DF18AB" w:rsidTr="00593B8C">
        <w:trPr>
          <w:trHeight w:val="152"/>
        </w:trPr>
        <w:tc>
          <w:tcPr>
            <w:tcW w:w="2802" w:type="dxa"/>
          </w:tcPr>
          <w:p w:rsidR="00DF18AB" w:rsidRPr="00DF18AB" w:rsidRDefault="00DF18AB" w:rsidP="00DF18AB">
            <w:pPr>
              <w:rPr>
                <w:b/>
              </w:rPr>
            </w:pPr>
            <w:r w:rsidRPr="00DF18AB">
              <w:rPr>
                <w:rFonts w:cs="Arial"/>
                <w:b/>
                <w:color w:val="000000"/>
              </w:rPr>
              <w:t>Frequency of reporting to commissioner</w:t>
            </w:r>
          </w:p>
        </w:tc>
        <w:tc>
          <w:tcPr>
            <w:tcW w:w="6478" w:type="dxa"/>
          </w:tcPr>
          <w:p w:rsidR="00DF18AB" w:rsidRPr="00DF18AB" w:rsidRDefault="00DF18AB" w:rsidP="00DF18AB">
            <w:pPr>
              <w:rPr>
                <w:b/>
                <w:szCs w:val="24"/>
              </w:rPr>
            </w:pPr>
            <w:r w:rsidRPr="00DF18AB">
              <w:rPr>
                <w:szCs w:val="24"/>
              </w:rPr>
              <w:t>Annual, noting in-year milestones for year 1</w:t>
            </w:r>
          </w:p>
        </w:tc>
      </w:tr>
      <w:tr w:rsidR="00DF18AB" w:rsidRPr="00DF18AB" w:rsidTr="00593B8C">
        <w:trPr>
          <w:trHeight w:val="152"/>
        </w:trPr>
        <w:tc>
          <w:tcPr>
            <w:tcW w:w="2802" w:type="dxa"/>
          </w:tcPr>
          <w:p w:rsidR="00DF18AB" w:rsidRPr="00DF18AB" w:rsidRDefault="00DF18AB" w:rsidP="00DF18AB">
            <w:pPr>
              <w:rPr>
                <w:b/>
              </w:rPr>
            </w:pPr>
            <w:r w:rsidRPr="00DF18AB">
              <w:rPr>
                <w:rFonts w:cs="Arial"/>
                <w:b/>
                <w:color w:val="000000"/>
              </w:rPr>
              <w:t>Baseline period/date</w:t>
            </w:r>
          </w:p>
        </w:tc>
        <w:tc>
          <w:tcPr>
            <w:tcW w:w="6478" w:type="dxa"/>
            <w:vMerge w:val="restart"/>
          </w:tcPr>
          <w:p w:rsidR="00DF18AB" w:rsidRPr="00DF18AB" w:rsidRDefault="00DF18AB" w:rsidP="00DF18AB">
            <w:pPr>
              <w:rPr>
                <w:szCs w:val="24"/>
              </w:rPr>
            </w:pPr>
            <w:r w:rsidRPr="00DF18AB">
              <w:rPr>
                <w:szCs w:val="24"/>
              </w:rPr>
              <w:t>The requirements described are new and baselines to inform Year 2 will be collected during Year 1.</w:t>
            </w:r>
          </w:p>
          <w:p w:rsidR="00DF18AB" w:rsidRPr="00DF18AB" w:rsidRDefault="00DF18AB" w:rsidP="00DF18AB">
            <w:pPr>
              <w:rPr>
                <w:szCs w:val="24"/>
              </w:rPr>
            </w:pPr>
          </w:p>
        </w:tc>
      </w:tr>
      <w:tr w:rsidR="00DF18AB" w:rsidRPr="00DF18AB" w:rsidTr="00593B8C">
        <w:trPr>
          <w:trHeight w:val="152"/>
        </w:trPr>
        <w:tc>
          <w:tcPr>
            <w:tcW w:w="2802" w:type="dxa"/>
          </w:tcPr>
          <w:p w:rsidR="00DF18AB" w:rsidRPr="00DF18AB" w:rsidRDefault="00DF18AB" w:rsidP="00DF18AB">
            <w:pPr>
              <w:rPr>
                <w:b/>
              </w:rPr>
            </w:pPr>
            <w:r w:rsidRPr="00DF18AB">
              <w:rPr>
                <w:rFonts w:cs="Arial"/>
                <w:b/>
                <w:color w:val="000000"/>
              </w:rPr>
              <w:t>Baseline value</w:t>
            </w:r>
          </w:p>
        </w:tc>
        <w:tc>
          <w:tcPr>
            <w:tcW w:w="6478" w:type="dxa"/>
            <w:vMerge/>
          </w:tcPr>
          <w:p w:rsidR="00DF18AB" w:rsidRPr="00DF18AB" w:rsidRDefault="00DF18AB" w:rsidP="00DF18AB">
            <w:pPr>
              <w:rPr>
                <w:szCs w:val="24"/>
              </w:rPr>
            </w:pPr>
          </w:p>
        </w:tc>
      </w:tr>
      <w:tr w:rsidR="00DF18AB" w:rsidRPr="00DF18AB" w:rsidTr="00593B8C">
        <w:trPr>
          <w:trHeight w:val="152"/>
        </w:trPr>
        <w:tc>
          <w:tcPr>
            <w:tcW w:w="2802" w:type="dxa"/>
          </w:tcPr>
          <w:p w:rsidR="00DF18AB" w:rsidRPr="00DF18AB" w:rsidRDefault="00DF18AB" w:rsidP="00DF18AB">
            <w:pPr>
              <w:rPr>
                <w:b/>
              </w:rPr>
            </w:pPr>
            <w:r w:rsidRPr="00DF18AB">
              <w:rPr>
                <w:rFonts w:cs="Arial"/>
                <w:b/>
                <w:color w:val="000000"/>
              </w:rPr>
              <w:t>Final indicator period/date (on which payment is based)</w:t>
            </w:r>
          </w:p>
        </w:tc>
        <w:tc>
          <w:tcPr>
            <w:tcW w:w="6478" w:type="dxa"/>
          </w:tcPr>
          <w:p w:rsidR="00DF18AB" w:rsidRPr="00DF18AB" w:rsidRDefault="00DF18AB" w:rsidP="00DF18AB">
            <w:pPr>
              <w:rPr>
                <w:szCs w:val="24"/>
              </w:rPr>
            </w:pPr>
            <w:r w:rsidRPr="00DF18AB">
              <w:rPr>
                <w:szCs w:val="24"/>
              </w:rPr>
              <w:t>31 March 2018 (Year 1) and 31 March 2019 (Year 2)</w:t>
            </w:r>
          </w:p>
        </w:tc>
      </w:tr>
      <w:tr w:rsidR="00DF18AB" w:rsidRPr="00DF18AB" w:rsidTr="00593B8C">
        <w:trPr>
          <w:trHeight w:val="152"/>
        </w:trPr>
        <w:tc>
          <w:tcPr>
            <w:tcW w:w="2802" w:type="dxa"/>
          </w:tcPr>
          <w:p w:rsidR="00DF18AB" w:rsidRPr="00DF18AB" w:rsidRDefault="00DF18AB" w:rsidP="00DF18AB">
            <w:pPr>
              <w:rPr>
                <w:b/>
              </w:rPr>
            </w:pPr>
            <w:r w:rsidRPr="00DF18AB">
              <w:rPr>
                <w:rFonts w:cs="Arial"/>
                <w:b/>
                <w:color w:val="000000"/>
              </w:rPr>
              <w:t>Final indicator value (payment threshold)</w:t>
            </w:r>
          </w:p>
        </w:tc>
        <w:tc>
          <w:tcPr>
            <w:tcW w:w="6478" w:type="dxa"/>
          </w:tcPr>
          <w:p w:rsidR="00DF18AB" w:rsidRPr="00DF18AB" w:rsidRDefault="00DF18AB" w:rsidP="00DF18AB">
            <w:pPr>
              <w:rPr>
                <w:rFonts w:cs="Calibri"/>
                <w:b/>
                <w:szCs w:val="24"/>
              </w:rPr>
            </w:pPr>
            <w:r w:rsidRPr="00DF18AB">
              <w:rPr>
                <w:rFonts w:cs="Calibri"/>
                <w:b/>
                <w:szCs w:val="24"/>
              </w:rPr>
              <w:t>In Year One:</w:t>
            </w:r>
          </w:p>
          <w:p w:rsidR="00DF18AB" w:rsidRPr="00DF18AB" w:rsidRDefault="00DF18AB" w:rsidP="00DF18AB">
            <w:pPr>
              <w:rPr>
                <w:rFonts w:cs="Calibri"/>
                <w:b/>
                <w:szCs w:val="24"/>
              </w:rPr>
            </w:pPr>
          </w:p>
          <w:p w:rsidR="00DF18AB" w:rsidRPr="00DF18AB" w:rsidRDefault="00DF18AB" w:rsidP="00DF18AB">
            <w:pPr>
              <w:numPr>
                <w:ilvl w:val="0"/>
                <w:numId w:val="61"/>
              </w:numPr>
              <w:contextualSpacing/>
              <w:rPr>
                <w:rFonts w:cs="Calibri"/>
                <w:szCs w:val="24"/>
              </w:rPr>
            </w:pPr>
            <w:r w:rsidRPr="00DF18AB">
              <w:rPr>
                <w:rFonts w:cs="Calibri"/>
                <w:szCs w:val="24"/>
              </w:rPr>
              <w:t>25% of Year One CQUIN value</w:t>
            </w:r>
            <w:r w:rsidRPr="00DF18AB">
              <w:rPr>
                <w:rFonts w:cs="Calibri"/>
                <w:szCs w:val="24"/>
              </w:rPr>
              <w:br/>
            </w:r>
          </w:p>
          <w:p w:rsidR="00DF18AB" w:rsidRPr="00DF18AB" w:rsidRDefault="00DF18AB" w:rsidP="00DF18AB">
            <w:pPr>
              <w:numPr>
                <w:ilvl w:val="1"/>
                <w:numId w:val="61"/>
              </w:numPr>
              <w:ind w:left="754" w:hanging="357"/>
              <w:contextualSpacing/>
              <w:rPr>
                <w:rFonts w:cs="Calibri"/>
                <w:szCs w:val="24"/>
              </w:rPr>
            </w:pPr>
            <w:r w:rsidRPr="00DF18AB">
              <w:rPr>
                <w:rFonts w:cs="Calibri"/>
                <w:szCs w:val="24"/>
              </w:rPr>
              <w:t>No plan produced = 0% of proportion of CQUIN value</w:t>
            </w:r>
          </w:p>
          <w:p w:rsidR="00DF18AB" w:rsidRPr="00DF18AB" w:rsidRDefault="00DF18AB" w:rsidP="00DF18AB">
            <w:pPr>
              <w:numPr>
                <w:ilvl w:val="1"/>
                <w:numId w:val="61"/>
              </w:numPr>
              <w:ind w:left="754" w:hanging="357"/>
              <w:contextualSpacing/>
              <w:rPr>
                <w:rFonts w:cs="Calibri"/>
                <w:szCs w:val="24"/>
              </w:rPr>
            </w:pPr>
            <w:r w:rsidRPr="00DF18AB">
              <w:rPr>
                <w:rFonts w:cs="Calibri"/>
                <w:szCs w:val="24"/>
              </w:rPr>
              <w:lastRenderedPageBreak/>
              <w:t>Plan produced but recording system not in place = 50% of proportion of CQUIN value</w:t>
            </w:r>
          </w:p>
          <w:p w:rsidR="00DF18AB" w:rsidRPr="00DF18AB" w:rsidRDefault="00DF18AB" w:rsidP="00DF18AB">
            <w:pPr>
              <w:numPr>
                <w:ilvl w:val="1"/>
                <w:numId w:val="61"/>
              </w:numPr>
              <w:ind w:left="754" w:hanging="357"/>
              <w:contextualSpacing/>
              <w:rPr>
                <w:rFonts w:cs="Calibri"/>
                <w:szCs w:val="24"/>
              </w:rPr>
            </w:pPr>
            <w:r w:rsidRPr="00DF18AB">
              <w:rPr>
                <w:rFonts w:cs="Calibri"/>
                <w:szCs w:val="24"/>
              </w:rPr>
              <w:t xml:space="preserve">Plan produced and recording system put in place = 100% of proportion of CQUIN value </w:t>
            </w:r>
            <w:r w:rsidRPr="00DF18AB">
              <w:rPr>
                <w:rFonts w:cs="Calibri"/>
                <w:szCs w:val="24"/>
              </w:rPr>
              <w:br/>
            </w:r>
          </w:p>
          <w:p w:rsidR="00DF18AB" w:rsidRPr="00DF18AB" w:rsidRDefault="00DF18AB" w:rsidP="00DF18AB">
            <w:pPr>
              <w:numPr>
                <w:ilvl w:val="0"/>
                <w:numId w:val="61"/>
              </w:numPr>
              <w:contextualSpacing/>
              <w:rPr>
                <w:rFonts w:cs="Calibri"/>
                <w:szCs w:val="24"/>
              </w:rPr>
            </w:pPr>
            <w:r w:rsidRPr="00DF18AB">
              <w:rPr>
                <w:rFonts w:cs="Calibri"/>
                <w:szCs w:val="24"/>
              </w:rPr>
              <w:t>45% of Year One CQUIN value. Comprised of:</w:t>
            </w:r>
            <w:r w:rsidRPr="00DF18AB">
              <w:rPr>
                <w:rFonts w:cs="Calibri"/>
                <w:szCs w:val="24"/>
              </w:rPr>
              <w:br/>
            </w:r>
          </w:p>
          <w:p w:rsidR="00DF18AB" w:rsidRPr="00DF18AB" w:rsidRDefault="00DF18AB" w:rsidP="00DF18AB">
            <w:pPr>
              <w:ind w:left="1080"/>
              <w:contextualSpacing/>
              <w:rPr>
                <w:rFonts w:cs="Calibri"/>
                <w:szCs w:val="24"/>
              </w:rPr>
            </w:pPr>
            <w:r w:rsidRPr="00DF18AB">
              <w:rPr>
                <w:rFonts w:cs="Calibri"/>
                <w:b/>
                <w:szCs w:val="24"/>
              </w:rPr>
              <w:t>Identifying long term conditions (15% of Year One CQUIN value)</w:t>
            </w:r>
            <w:r w:rsidRPr="00DF18AB">
              <w:rPr>
                <w:rFonts w:cs="Calibri"/>
                <w:szCs w:val="24"/>
              </w:rPr>
              <w:br/>
            </w:r>
          </w:p>
          <w:p w:rsidR="00DF18AB" w:rsidRPr="00DF18AB" w:rsidRDefault="00DF18AB" w:rsidP="00DF18AB">
            <w:pPr>
              <w:numPr>
                <w:ilvl w:val="1"/>
                <w:numId w:val="61"/>
              </w:numPr>
              <w:ind w:left="754" w:hanging="357"/>
              <w:contextualSpacing/>
              <w:rPr>
                <w:rFonts w:cs="Calibri"/>
                <w:szCs w:val="24"/>
              </w:rPr>
            </w:pPr>
            <w:r w:rsidRPr="00DF18AB">
              <w:rPr>
                <w:rFonts w:cs="Calibri"/>
                <w:szCs w:val="24"/>
              </w:rPr>
              <w:t>Relevant patient cohort not identified or submitted = 0% of proportion of CQUIN value</w:t>
            </w:r>
          </w:p>
          <w:p w:rsidR="00DF18AB" w:rsidRPr="00DF18AB" w:rsidRDefault="00DF18AB" w:rsidP="00DF18AB">
            <w:pPr>
              <w:numPr>
                <w:ilvl w:val="1"/>
                <w:numId w:val="61"/>
              </w:numPr>
              <w:ind w:left="754" w:hanging="357"/>
              <w:contextualSpacing/>
              <w:rPr>
                <w:rFonts w:cs="Calibri"/>
                <w:szCs w:val="24"/>
              </w:rPr>
            </w:pPr>
            <w:r w:rsidRPr="00DF18AB">
              <w:rPr>
                <w:rFonts w:cs="Calibri"/>
                <w:szCs w:val="24"/>
              </w:rPr>
              <w:t>Relevant patient cohort identified and submitted to commissioner = 100% of proportion of CQUIN value</w:t>
            </w:r>
            <w:r w:rsidRPr="00DF18AB">
              <w:rPr>
                <w:rFonts w:cs="Calibri"/>
                <w:szCs w:val="24"/>
              </w:rPr>
              <w:br/>
            </w:r>
            <w:r w:rsidRPr="00DF18AB">
              <w:rPr>
                <w:rFonts w:cs="Calibri"/>
                <w:szCs w:val="24"/>
              </w:rPr>
              <w:br/>
            </w:r>
            <w:r w:rsidRPr="00DF18AB">
              <w:rPr>
                <w:rFonts w:cs="Calibri"/>
                <w:b/>
                <w:szCs w:val="24"/>
              </w:rPr>
              <w:t>Undertaking patient activation assessment (30% of Year One CQUIN value)</w:t>
            </w:r>
            <w:r w:rsidRPr="00DF18AB">
              <w:rPr>
                <w:rFonts w:cs="Calibri"/>
                <w:b/>
                <w:szCs w:val="24"/>
              </w:rPr>
              <w:br/>
            </w:r>
          </w:p>
          <w:p w:rsidR="00DF18AB" w:rsidRPr="00DF18AB" w:rsidRDefault="00DF18AB" w:rsidP="00DF18AB">
            <w:pPr>
              <w:numPr>
                <w:ilvl w:val="1"/>
                <w:numId w:val="61"/>
              </w:numPr>
              <w:ind w:left="754" w:hanging="357"/>
              <w:contextualSpacing/>
              <w:rPr>
                <w:rFonts w:cs="Calibri"/>
                <w:szCs w:val="24"/>
              </w:rPr>
            </w:pPr>
            <w:r w:rsidRPr="00DF18AB">
              <w:rPr>
                <w:rFonts w:cs="Calibri"/>
                <w:szCs w:val="24"/>
              </w:rPr>
              <w:t>&lt; 50% of identified cohort have a patient activation assessment = 0% of proportion of CQUIN value</w:t>
            </w:r>
          </w:p>
          <w:p w:rsidR="00DF18AB" w:rsidRPr="00DF18AB" w:rsidRDefault="00DF18AB" w:rsidP="00DF18AB">
            <w:pPr>
              <w:numPr>
                <w:ilvl w:val="1"/>
                <w:numId w:val="61"/>
              </w:numPr>
              <w:ind w:left="754" w:hanging="357"/>
              <w:contextualSpacing/>
              <w:rPr>
                <w:rFonts w:cs="Calibri"/>
                <w:szCs w:val="24"/>
              </w:rPr>
            </w:pPr>
            <w:r w:rsidRPr="00DF18AB">
              <w:rPr>
                <w:rFonts w:cs="Calibri"/>
                <w:szCs w:val="24"/>
              </w:rPr>
              <w:t>50 to 75% of identified cohort have a patient activation assessment = 50% of proportion of CQUIN value</w:t>
            </w:r>
          </w:p>
          <w:p w:rsidR="00DF18AB" w:rsidRPr="00DF18AB" w:rsidRDefault="00DF18AB" w:rsidP="00DF18AB">
            <w:pPr>
              <w:numPr>
                <w:ilvl w:val="1"/>
                <w:numId w:val="61"/>
              </w:numPr>
              <w:ind w:left="754" w:hanging="357"/>
              <w:contextualSpacing/>
              <w:rPr>
                <w:rFonts w:cs="Calibri"/>
                <w:szCs w:val="24"/>
              </w:rPr>
            </w:pPr>
            <w:r w:rsidRPr="00DF18AB">
              <w:rPr>
                <w:rFonts w:cs="Calibri"/>
                <w:szCs w:val="24"/>
              </w:rPr>
              <w:t>75% &gt; of identified cohort have a patient activation assessment = 100% of proportion of CQUIN value</w:t>
            </w:r>
            <w:r w:rsidRPr="00DF18AB">
              <w:rPr>
                <w:rFonts w:cs="Calibri"/>
                <w:szCs w:val="24"/>
              </w:rPr>
              <w:br/>
            </w:r>
          </w:p>
          <w:p w:rsidR="00DF18AB" w:rsidRPr="00DF18AB" w:rsidRDefault="00DF18AB" w:rsidP="00DF18AB">
            <w:pPr>
              <w:numPr>
                <w:ilvl w:val="0"/>
                <w:numId w:val="61"/>
              </w:numPr>
              <w:contextualSpacing/>
              <w:rPr>
                <w:rFonts w:cs="Calibri"/>
                <w:szCs w:val="24"/>
              </w:rPr>
            </w:pPr>
            <w:r w:rsidRPr="00DF18AB">
              <w:rPr>
                <w:rFonts w:cs="Calibri"/>
                <w:szCs w:val="24"/>
              </w:rPr>
              <w:t>30% of Year One CQUIN value</w:t>
            </w:r>
            <w:r w:rsidRPr="00DF18AB">
              <w:rPr>
                <w:rFonts w:cs="Calibri"/>
                <w:szCs w:val="24"/>
              </w:rPr>
              <w:br/>
            </w:r>
          </w:p>
          <w:p w:rsidR="00DF18AB" w:rsidRPr="00DF18AB" w:rsidRDefault="00DF18AB" w:rsidP="00DF18AB">
            <w:pPr>
              <w:numPr>
                <w:ilvl w:val="1"/>
                <w:numId w:val="61"/>
              </w:numPr>
              <w:ind w:left="754" w:hanging="357"/>
              <w:contextualSpacing/>
              <w:rPr>
                <w:rFonts w:cs="Calibri"/>
                <w:szCs w:val="24"/>
              </w:rPr>
            </w:pPr>
            <w:r w:rsidRPr="00DF18AB">
              <w:rPr>
                <w:rFonts w:cs="Calibri"/>
                <w:szCs w:val="24"/>
              </w:rPr>
              <w:t>No staff identified for training = 0% of proportion of CQUIN value</w:t>
            </w:r>
          </w:p>
          <w:p w:rsidR="00DF18AB" w:rsidRPr="00DF18AB" w:rsidRDefault="00DF18AB" w:rsidP="00DF18AB">
            <w:pPr>
              <w:numPr>
                <w:ilvl w:val="1"/>
                <w:numId w:val="61"/>
              </w:numPr>
              <w:ind w:left="754" w:hanging="357"/>
              <w:contextualSpacing/>
              <w:rPr>
                <w:rFonts w:cs="Calibri"/>
                <w:szCs w:val="24"/>
              </w:rPr>
            </w:pPr>
            <w:r w:rsidRPr="00DF18AB">
              <w:rPr>
                <w:rFonts w:cs="Calibri"/>
                <w:szCs w:val="24"/>
              </w:rPr>
              <w:t>Cohort of staff identified and list submitted to commissioner = 10% of proportion of CQUIN value</w:t>
            </w:r>
          </w:p>
          <w:p w:rsidR="00DF18AB" w:rsidRPr="00DF18AB" w:rsidRDefault="00DF18AB" w:rsidP="00DF18AB">
            <w:pPr>
              <w:numPr>
                <w:ilvl w:val="1"/>
                <w:numId w:val="61"/>
              </w:numPr>
              <w:ind w:left="754" w:hanging="357"/>
              <w:contextualSpacing/>
              <w:rPr>
                <w:rFonts w:cs="Calibri"/>
                <w:szCs w:val="24"/>
              </w:rPr>
            </w:pPr>
            <w:r w:rsidRPr="00DF18AB">
              <w:rPr>
                <w:rFonts w:cs="Calibri"/>
                <w:szCs w:val="24"/>
              </w:rPr>
              <w:t>33% to 66% of identified staff trained by end of year (including submitted staff list in ‘b’) = 40% of proportion of CQUIN value</w:t>
            </w:r>
          </w:p>
          <w:p w:rsidR="00DF18AB" w:rsidRPr="00DF18AB" w:rsidRDefault="00DF18AB" w:rsidP="00DF18AB">
            <w:pPr>
              <w:numPr>
                <w:ilvl w:val="1"/>
                <w:numId w:val="61"/>
              </w:numPr>
              <w:ind w:left="754" w:hanging="357"/>
              <w:contextualSpacing/>
              <w:rPr>
                <w:rFonts w:cs="Calibri"/>
                <w:szCs w:val="24"/>
              </w:rPr>
            </w:pPr>
            <w:r w:rsidRPr="00DF18AB">
              <w:rPr>
                <w:rFonts w:cs="Calibri"/>
                <w:szCs w:val="24"/>
              </w:rPr>
              <w:t>66 to 85% of identified staff trained by end of year (including submitted staff list in ‘b’) = 70% of proportion of CQUIN value</w:t>
            </w:r>
          </w:p>
          <w:p w:rsidR="00DF18AB" w:rsidRPr="00DF18AB" w:rsidRDefault="00DF18AB" w:rsidP="00DF18AB">
            <w:pPr>
              <w:numPr>
                <w:ilvl w:val="1"/>
                <w:numId w:val="61"/>
              </w:numPr>
              <w:ind w:left="754" w:hanging="357"/>
              <w:contextualSpacing/>
              <w:rPr>
                <w:rFonts w:cs="Calibri"/>
                <w:szCs w:val="24"/>
              </w:rPr>
            </w:pPr>
            <w:r w:rsidRPr="00DF18AB">
              <w:rPr>
                <w:rFonts w:cs="Calibri"/>
                <w:szCs w:val="24"/>
              </w:rPr>
              <w:t>85% &gt; of identified staff trained by end of year (including submitted staff list in ‘b’) = 100% of proportion of CQUIN value</w:t>
            </w:r>
          </w:p>
          <w:p w:rsidR="00DF18AB" w:rsidRPr="00DF18AB" w:rsidRDefault="00DF18AB" w:rsidP="00DF18AB">
            <w:pPr>
              <w:rPr>
                <w:rFonts w:cs="Calibri"/>
                <w:szCs w:val="24"/>
              </w:rPr>
            </w:pPr>
          </w:p>
          <w:p w:rsidR="00DF18AB" w:rsidRPr="00DF18AB" w:rsidRDefault="00DF18AB" w:rsidP="00DF18AB">
            <w:pPr>
              <w:rPr>
                <w:rFonts w:cs="Calibri"/>
                <w:b/>
                <w:szCs w:val="24"/>
              </w:rPr>
            </w:pPr>
            <w:r w:rsidRPr="00DF18AB">
              <w:rPr>
                <w:rFonts w:cs="Calibri"/>
                <w:b/>
                <w:szCs w:val="24"/>
              </w:rPr>
              <w:t>In Year Two:</w:t>
            </w:r>
          </w:p>
          <w:p w:rsidR="00DF18AB" w:rsidRPr="00DF18AB" w:rsidRDefault="00DF18AB" w:rsidP="00DF18AB">
            <w:pPr>
              <w:rPr>
                <w:rFonts w:cs="Calibri"/>
                <w:szCs w:val="24"/>
              </w:rPr>
            </w:pPr>
          </w:p>
          <w:p w:rsidR="00DF18AB" w:rsidRPr="00DF18AB" w:rsidRDefault="00DF18AB" w:rsidP="00DF18AB">
            <w:pPr>
              <w:numPr>
                <w:ilvl w:val="0"/>
                <w:numId w:val="62"/>
              </w:numPr>
              <w:contextualSpacing/>
              <w:rPr>
                <w:rFonts w:cs="Calibri"/>
                <w:szCs w:val="24"/>
              </w:rPr>
            </w:pPr>
            <w:r w:rsidRPr="00DF18AB">
              <w:rPr>
                <w:rFonts w:cs="Calibri"/>
                <w:szCs w:val="24"/>
              </w:rPr>
              <w:t>50% of Year Two CQUIN value</w:t>
            </w:r>
            <w:r w:rsidRPr="00DF18AB">
              <w:rPr>
                <w:rFonts w:cs="Calibri"/>
                <w:szCs w:val="24"/>
              </w:rPr>
              <w:br/>
            </w:r>
          </w:p>
          <w:p w:rsidR="00DF18AB" w:rsidRPr="00DF18AB" w:rsidRDefault="00DF18AB" w:rsidP="00DF18AB">
            <w:pPr>
              <w:numPr>
                <w:ilvl w:val="1"/>
                <w:numId w:val="62"/>
              </w:numPr>
              <w:ind w:left="754" w:hanging="357"/>
              <w:contextualSpacing/>
              <w:rPr>
                <w:rFonts w:cs="Calibri"/>
                <w:szCs w:val="24"/>
              </w:rPr>
            </w:pPr>
            <w:r w:rsidRPr="00DF18AB">
              <w:rPr>
                <w:rFonts w:cs="Calibri"/>
                <w:szCs w:val="24"/>
              </w:rPr>
              <w:t xml:space="preserve">&lt; 50% of identified cohort have evidence of care and support planning conversations as recorded by </w:t>
            </w:r>
            <w:r w:rsidRPr="00DF18AB">
              <w:rPr>
                <w:rFonts w:cs="Calibri"/>
                <w:szCs w:val="24"/>
              </w:rPr>
              <w:lastRenderedPageBreak/>
              <w:t>provider = 0% of proportion of CQUIN value</w:t>
            </w:r>
          </w:p>
          <w:p w:rsidR="00DF18AB" w:rsidRPr="00DF18AB" w:rsidRDefault="00DF18AB" w:rsidP="00DF18AB">
            <w:pPr>
              <w:numPr>
                <w:ilvl w:val="1"/>
                <w:numId w:val="62"/>
              </w:numPr>
              <w:ind w:left="754" w:hanging="357"/>
              <w:contextualSpacing/>
              <w:rPr>
                <w:rFonts w:cs="Calibri"/>
                <w:szCs w:val="24"/>
              </w:rPr>
            </w:pPr>
            <w:r w:rsidRPr="00DF18AB">
              <w:rPr>
                <w:rFonts w:cs="Calibri"/>
                <w:szCs w:val="24"/>
              </w:rPr>
              <w:t>50 to 75% of identified cohort have evidence of care and support planning conversations as recorded by provider= 50% of CQUIN value</w:t>
            </w:r>
          </w:p>
          <w:p w:rsidR="00DF18AB" w:rsidRPr="00DF18AB" w:rsidRDefault="00DF18AB" w:rsidP="00DF18AB">
            <w:pPr>
              <w:numPr>
                <w:ilvl w:val="1"/>
                <w:numId w:val="62"/>
              </w:numPr>
              <w:ind w:left="754" w:hanging="357"/>
              <w:contextualSpacing/>
              <w:rPr>
                <w:rFonts w:cs="Calibri"/>
                <w:szCs w:val="24"/>
              </w:rPr>
            </w:pPr>
            <w:r w:rsidRPr="00DF18AB">
              <w:rPr>
                <w:rFonts w:cs="Calibri"/>
                <w:szCs w:val="24"/>
              </w:rPr>
              <w:t>75% &gt; of identified cohort have evidence of care and support planning conversations as recorded by provider = 100% of CQUIN value</w:t>
            </w:r>
            <w:r w:rsidRPr="00DF18AB">
              <w:rPr>
                <w:rFonts w:cs="Calibri"/>
                <w:szCs w:val="24"/>
              </w:rPr>
              <w:br/>
            </w:r>
          </w:p>
          <w:p w:rsidR="00DF18AB" w:rsidRPr="00DF18AB" w:rsidRDefault="00DF18AB" w:rsidP="00DF18AB">
            <w:pPr>
              <w:numPr>
                <w:ilvl w:val="0"/>
                <w:numId w:val="62"/>
              </w:numPr>
              <w:contextualSpacing/>
              <w:rPr>
                <w:rFonts w:cs="Calibri"/>
                <w:szCs w:val="24"/>
              </w:rPr>
            </w:pPr>
            <w:r w:rsidRPr="00DF18AB">
              <w:rPr>
                <w:rFonts w:cs="Calibri"/>
                <w:szCs w:val="24"/>
              </w:rPr>
              <w:t>50% of Year Two CQUIN value</w:t>
            </w:r>
            <w:r w:rsidRPr="00DF18AB">
              <w:rPr>
                <w:rFonts w:cs="Calibri"/>
                <w:szCs w:val="24"/>
              </w:rPr>
              <w:br/>
            </w:r>
          </w:p>
          <w:p w:rsidR="00DF18AB" w:rsidRPr="00DF18AB" w:rsidRDefault="00DF18AB" w:rsidP="00DF18AB">
            <w:pPr>
              <w:numPr>
                <w:ilvl w:val="1"/>
                <w:numId w:val="62"/>
              </w:numPr>
              <w:ind w:left="754" w:hanging="357"/>
              <w:contextualSpacing/>
              <w:rPr>
                <w:rFonts w:cs="Calibri"/>
                <w:szCs w:val="24"/>
              </w:rPr>
            </w:pPr>
            <w:r w:rsidRPr="00DF18AB">
              <w:rPr>
                <w:rFonts w:cs="Calibri"/>
                <w:szCs w:val="24"/>
              </w:rPr>
              <w:t>&lt; 25% of identified cohort demonstrate an improvement in their patient activation assessment = 0% of proportion of CQUIN value</w:t>
            </w:r>
          </w:p>
          <w:p w:rsidR="00DF18AB" w:rsidRPr="00DF18AB" w:rsidRDefault="00DF18AB" w:rsidP="00DF18AB">
            <w:pPr>
              <w:numPr>
                <w:ilvl w:val="1"/>
                <w:numId w:val="62"/>
              </w:numPr>
              <w:ind w:left="754" w:hanging="357"/>
              <w:contextualSpacing/>
              <w:rPr>
                <w:rFonts w:cs="Calibri"/>
                <w:szCs w:val="24"/>
              </w:rPr>
            </w:pPr>
            <w:r w:rsidRPr="00DF18AB">
              <w:rPr>
                <w:rFonts w:cs="Calibri"/>
                <w:szCs w:val="24"/>
              </w:rPr>
              <w:t>25 to 50% of identified cohort demonstrate an improvement in their patient activation assessment = 50% proportion of CQUIN value</w:t>
            </w:r>
          </w:p>
          <w:p w:rsidR="00DF18AB" w:rsidRPr="00DF18AB" w:rsidRDefault="00DF18AB" w:rsidP="00DF18AB">
            <w:pPr>
              <w:numPr>
                <w:ilvl w:val="1"/>
                <w:numId w:val="62"/>
              </w:numPr>
              <w:ind w:left="754" w:hanging="357"/>
              <w:contextualSpacing/>
              <w:rPr>
                <w:rFonts w:cs="Calibri"/>
                <w:szCs w:val="24"/>
              </w:rPr>
            </w:pPr>
            <w:r w:rsidRPr="00DF18AB">
              <w:rPr>
                <w:rFonts w:cs="Calibri"/>
                <w:szCs w:val="24"/>
              </w:rPr>
              <w:t>50% &gt; of identified cohort demonstrate an improvement in their patient activation assessment = 10</w:t>
            </w:r>
            <w:r w:rsidR="00E31F94">
              <w:rPr>
                <w:rFonts w:cs="Calibri"/>
                <w:szCs w:val="24"/>
              </w:rPr>
              <w:t>0% of proportion of CQUIN value</w:t>
            </w:r>
          </w:p>
        </w:tc>
      </w:tr>
      <w:tr w:rsidR="00DF18AB" w:rsidRPr="00DF18AB" w:rsidTr="00593B8C">
        <w:trPr>
          <w:trHeight w:val="152"/>
        </w:trPr>
        <w:tc>
          <w:tcPr>
            <w:tcW w:w="2802" w:type="dxa"/>
          </w:tcPr>
          <w:p w:rsidR="00DF18AB" w:rsidRPr="00DF18AB" w:rsidRDefault="00DF18AB" w:rsidP="00DF18AB">
            <w:pPr>
              <w:rPr>
                <w:b/>
              </w:rPr>
            </w:pPr>
            <w:r w:rsidRPr="00DF18AB">
              <w:rPr>
                <w:rFonts w:cs="Arial"/>
                <w:b/>
                <w:color w:val="000000"/>
              </w:rPr>
              <w:lastRenderedPageBreak/>
              <w:t>Final indicator reporting date</w:t>
            </w:r>
          </w:p>
        </w:tc>
        <w:tc>
          <w:tcPr>
            <w:tcW w:w="6478" w:type="dxa"/>
          </w:tcPr>
          <w:p w:rsidR="00DF18AB" w:rsidRPr="00DF18AB" w:rsidRDefault="00DF18AB" w:rsidP="00DF18AB">
            <w:r w:rsidRPr="00DF18AB">
              <w:t>April 2018/19</w:t>
            </w:r>
          </w:p>
        </w:tc>
      </w:tr>
      <w:tr w:rsidR="00DF18AB" w:rsidRPr="00DF18AB" w:rsidTr="00593B8C">
        <w:trPr>
          <w:trHeight w:val="152"/>
        </w:trPr>
        <w:tc>
          <w:tcPr>
            <w:tcW w:w="2802" w:type="dxa"/>
          </w:tcPr>
          <w:p w:rsidR="00DF18AB" w:rsidRPr="00DF18AB" w:rsidRDefault="00DF18AB" w:rsidP="00DF18AB">
            <w:pPr>
              <w:rPr>
                <w:b/>
              </w:rPr>
            </w:pPr>
            <w:r w:rsidRPr="00DF18AB">
              <w:rPr>
                <w:rFonts w:cs="Arial"/>
                <w:b/>
                <w:color w:val="000000"/>
              </w:rPr>
              <w:t>Are there rules for any agreed in-year milestones that result in payment?</w:t>
            </w:r>
          </w:p>
        </w:tc>
        <w:tc>
          <w:tcPr>
            <w:tcW w:w="6478" w:type="dxa"/>
          </w:tcPr>
          <w:p w:rsidR="00DF18AB" w:rsidRPr="00DF18AB" w:rsidRDefault="00DF18AB" w:rsidP="00DF18AB">
            <w:pPr>
              <w:rPr>
                <w:szCs w:val="24"/>
              </w:rPr>
            </w:pPr>
            <w:r w:rsidRPr="00DF18AB">
              <w:rPr>
                <w:szCs w:val="24"/>
              </w:rPr>
              <w:t xml:space="preserve">In-year milestones for Year 1 will be as follows: </w:t>
            </w:r>
          </w:p>
          <w:p w:rsidR="00DF18AB" w:rsidRPr="00DF18AB" w:rsidRDefault="00DF18AB" w:rsidP="00DF18AB">
            <w:pPr>
              <w:rPr>
                <w:szCs w:val="24"/>
              </w:rPr>
            </w:pPr>
          </w:p>
          <w:p w:rsidR="00DF18AB" w:rsidRPr="00DF18AB" w:rsidRDefault="00DF18AB" w:rsidP="00DF18AB">
            <w:pPr>
              <w:rPr>
                <w:rFonts w:cs="Calibri"/>
                <w:b/>
                <w:szCs w:val="24"/>
              </w:rPr>
            </w:pPr>
            <w:r w:rsidRPr="00DF18AB">
              <w:rPr>
                <w:rFonts w:cs="Calibri"/>
                <w:b/>
                <w:szCs w:val="24"/>
              </w:rPr>
              <w:t>By end of Q2:</w:t>
            </w:r>
          </w:p>
          <w:p w:rsidR="00DF18AB" w:rsidRPr="00DF18AB" w:rsidRDefault="00DF18AB" w:rsidP="00DF18AB">
            <w:pPr>
              <w:rPr>
                <w:rFonts w:cs="Calibri"/>
                <w:szCs w:val="24"/>
              </w:rPr>
            </w:pPr>
            <w:r w:rsidRPr="00DF18AB">
              <w:rPr>
                <w:rFonts w:cs="Calibri"/>
                <w:szCs w:val="24"/>
              </w:rPr>
              <w:t>Submission of a plan to ensure care &amp; support planning is recorded by providers will be a yes/no requirement. Likewise local commissioners will need to confirm whether the plan has been received and accepted by the end of the year (yes/no).</w:t>
            </w:r>
          </w:p>
          <w:p w:rsidR="00DF18AB" w:rsidRPr="00DF18AB" w:rsidRDefault="00DF18AB" w:rsidP="00DF18AB">
            <w:pPr>
              <w:rPr>
                <w:rFonts w:cs="Calibri"/>
                <w:szCs w:val="24"/>
              </w:rPr>
            </w:pPr>
          </w:p>
          <w:p w:rsidR="00DF18AB" w:rsidRDefault="00DF18AB" w:rsidP="00DF18AB">
            <w:pPr>
              <w:rPr>
                <w:rFonts w:cs="Calibri"/>
                <w:b/>
                <w:szCs w:val="24"/>
              </w:rPr>
            </w:pPr>
            <w:r w:rsidRPr="00DF18AB">
              <w:rPr>
                <w:rFonts w:cs="Calibri"/>
                <w:b/>
                <w:szCs w:val="24"/>
              </w:rPr>
              <w:t>By end of Q3:</w:t>
            </w:r>
          </w:p>
          <w:p w:rsidR="00E31F94" w:rsidRPr="00DF18AB" w:rsidRDefault="00E31F94" w:rsidP="00DF18AB">
            <w:pPr>
              <w:rPr>
                <w:rFonts w:cs="Calibri"/>
                <w:b/>
                <w:szCs w:val="24"/>
              </w:rPr>
            </w:pPr>
          </w:p>
          <w:p w:rsidR="00DF18AB" w:rsidRPr="00DF18AB" w:rsidRDefault="00DF18AB" w:rsidP="00DF18AB">
            <w:pPr>
              <w:ind w:left="34"/>
              <w:rPr>
                <w:rFonts w:cs="Calibri"/>
                <w:szCs w:val="24"/>
              </w:rPr>
            </w:pPr>
            <w:r w:rsidRPr="00DF18AB">
              <w:rPr>
                <w:rFonts w:cs="Calibri"/>
                <w:szCs w:val="24"/>
              </w:rPr>
              <w:t>The provider to identify the number of patients as having multiple LTCs and who will be prioritised for personalised care and support planning (establishment of cohort) compared to the total number of patients served</w:t>
            </w:r>
          </w:p>
          <w:p w:rsidR="00DF18AB" w:rsidRPr="00DF18AB" w:rsidRDefault="00DF18AB" w:rsidP="00DF18AB">
            <w:pPr>
              <w:rPr>
                <w:szCs w:val="24"/>
              </w:rPr>
            </w:pPr>
          </w:p>
          <w:p w:rsidR="00DF18AB" w:rsidRDefault="00DF18AB" w:rsidP="00DF18AB">
            <w:pPr>
              <w:rPr>
                <w:b/>
                <w:szCs w:val="24"/>
              </w:rPr>
            </w:pPr>
            <w:r w:rsidRPr="00DF18AB">
              <w:rPr>
                <w:b/>
                <w:szCs w:val="24"/>
              </w:rPr>
              <w:t>By end of Q4:</w:t>
            </w:r>
          </w:p>
          <w:p w:rsidR="00E31F94" w:rsidRPr="00DF18AB" w:rsidRDefault="00E31F94" w:rsidP="00DF18AB">
            <w:pPr>
              <w:rPr>
                <w:b/>
                <w:szCs w:val="24"/>
              </w:rPr>
            </w:pPr>
          </w:p>
          <w:p w:rsidR="00DF18AB" w:rsidRPr="00DF18AB" w:rsidRDefault="00DF18AB" w:rsidP="00DF18AB">
            <w:pPr>
              <w:numPr>
                <w:ilvl w:val="0"/>
                <w:numId w:val="63"/>
              </w:numPr>
              <w:contextualSpacing/>
              <w:rPr>
                <w:rFonts w:eastAsia="HGSMinchoE"/>
                <w:szCs w:val="24"/>
              </w:rPr>
            </w:pPr>
            <w:r w:rsidRPr="00DF18AB">
              <w:rPr>
                <w:rFonts w:eastAsia="HGSMinchoE"/>
                <w:szCs w:val="24"/>
              </w:rPr>
              <w:t>The provider to confirm what proportion of relevant staff have undertaken training in personalised care and support planning.</w:t>
            </w:r>
          </w:p>
          <w:p w:rsidR="00DF18AB" w:rsidRPr="00DF18AB" w:rsidRDefault="00DF18AB" w:rsidP="00DF18AB">
            <w:pPr>
              <w:ind w:left="360"/>
              <w:contextualSpacing/>
              <w:rPr>
                <w:rFonts w:eastAsia="HGSMinchoE"/>
                <w:szCs w:val="24"/>
              </w:rPr>
            </w:pPr>
          </w:p>
          <w:p w:rsidR="00DF18AB" w:rsidRPr="00DF18AB" w:rsidRDefault="00DF18AB" w:rsidP="00DF18AB">
            <w:pPr>
              <w:numPr>
                <w:ilvl w:val="0"/>
                <w:numId w:val="63"/>
              </w:numPr>
              <w:contextualSpacing/>
              <w:rPr>
                <w:rFonts w:eastAsia="HGSMinchoE"/>
                <w:szCs w:val="24"/>
              </w:rPr>
            </w:pPr>
            <w:r w:rsidRPr="00DF18AB">
              <w:rPr>
                <w:szCs w:val="24"/>
              </w:rPr>
              <w:t xml:space="preserve">The provider to confirm the number of patients identified for the cohort who have one or more LTCs and have been assessed as having a low activation level (as described above) </w:t>
            </w:r>
          </w:p>
          <w:p w:rsidR="00DF18AB" w:rsidRPr="00DF18AB" w:rsidRDefault="00DF18AB" w:rsidP="00DF18AB">
            <w:pPr>
              <w:ind w:left="720"/>
              <w:contextualSpacing/>
              <w:rPr>
                <w:b/>
                <w:szCs w:val="24"/>
              </w:rPr>
            </w:pPr>
          </w:p>
          <w:p w:rsidR="00DF18AB" w:rsidRPr="00DF18AB" w:rsidRDefault="00DF18AB" w:rsidP="00DF18AB">
            <w:pPr>
              <w:rPr>
                <w:szCs w:val="24"/>
              </w:rPr>
            </w:pPr>
            <w:r w:rsidRPr="00DF18AB">
              <w:rPr>
                <w:szCs w:val="24"/>
              </w:rPr>
              <w:t>There are no in-year milestones for Year 2</w:t>
            </w:r>
          </w:p>
        </w:tc>
      </w:tr>
      <w:tr w:rsidR="00DF18AB" w:rsidRPr="00DF18AB" w:rsidTr="00593B8C">
        <w:trPr>
          <w:trHeight w:val="152"/>
        </w:trPr>
        <w:tc>
          <w:tcPr>
            <w:tcW w:w="2802" w:type="dxa"/>
          </w:tcPr>
          <w:p w:rsidR="00DF18AB" w:rsidRPr="00DF18AB" w:rsidRDefault="00DF18AB" w:rsidP="00DF18AB">
            <w:pPr>
              <w:rPr>
                <w:rFonts w:cs="Arial"/>
                <w:b/>
                <w:bCs w:val="0"/>
                <w:color w:val="000000"/>
              </w:rPr>
            </w:pPr>
            <w:r w:rsidRPr="00DF18AB">
              <w:rPr>
                <w:rFonts w:cs="Arial"/>
                <w:b/>
                <w:color w:val="000000"/>
              </w:rPr>
              <w:lastRenderedPageBreak/>
              <w:t>Are there any rules for partial achievement of the indicator at the final indicator period/date?</w:t>
            </w:r>
          </w:p>
        </w:tc>
        <w:tc>
          <w:tcPr>
            <w:tcW w:w="6478" w:type="dxa"/>
          </w:tcPr>
          <w:p w:rsidR="00DF18AB" w:rsidRPr="00DF18AB" w:rsidRDefault="00DF18AB" w:rsidP="00DF18AB">
            <w:pPr>
              <w:rPr>
                <w:rFonts w:eastAsia="Calibri" w:cs="Arial"/>
                <w:bCs w:val="0"/>
                <w:szCs w:val="24"/>
              </w:rPr>
            </w:pPr>
            <w:r w:rsidRPr="00DF18AB">
              <w:rPr>
                <w:rFonts w:eastAsia="Calibri" w:cs="Arial"/>
                <w:szCs w:val="24"/>
              </w:rPr>
              <w:t>Partial achievement of indicators is covered in the differing percentages of achievement within the ‘final indicator value’ section above.</w:t>
            </w:r>
          </w:p>
        </w:tc>
      </w:tr>
    </w:tbl>
    <w:p w:rsidR="00DF18AB" w:rsidRPr="00DF18AB" w:rsidRDefault="00DF18AB" w:rsidP="00DF18AB">
      <w:pPr>
        <w:rPr>
          <w:lang w:eastAsia="en-GB"/>
        </w:rPr>
      </w:pPr>
    </w:p>
    <w:p w:rsidR="00DF18AB" w:rsidRPr="00DF18AB" w:rsidRDefault="00DF18AB" w:rsidP="00DF18AB">
      <w:pPr>
        <w:keepNext/>
        <w:keepLines/>
        <w:outlineLvl w:val="3"/>
        <w:rPr>
          <w:rFonts w:eastAsiaTheme="majorEastAsia" w:cstheme="majorBidi"/>
          <w:b/>
          <w:bCs w:val="0"/>
          <w:iCs/>
          <w:color w:val="A00054" w:themeColor="accent2"/>
          <w:lang w:eastAsia="en-GB"/>
        </w:rPr>
      </w:pPr>
      <w:r w:rsidRPr="00DF18AB">
        <w:rPr>
          <w:rFonts w:eastAsiaTheme="majorEastAsia" w:cstheme="majorBidi"/>
          <w:b/>
          <w:bCs w:val="0"/>
          <w:iCs/>
          <w:color w:val="A00054" w:themeColor="accent2"/>
          <w:lang w:eastAsia="en-GB"/>
        </w:rPr>
        <w:t>Milestones for indicator 11</w:t>
      </w:r>
    </w:p>
    <w:p w:rsidR="00DF18AB" w:rsidRPr="00DF18AB" w:rsidRDefault="00DF18AB" w:rsidP="00DF18AB">
      <w:pPr>
        <w:rPr>
          <w:lang w:eastAsia="en-GB"/>
        </w:rPr>
      </w:pPr>
    </w:p>
    <w:tbl>
      <w:tblPr>
        <w:tblW w:w="90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23"/>
        <w:gridCol w:w="3588"/>
        <w:gridCol w:w="1418"/>
        <w:gridCol w:w="2430"/>
      </w:tblGrid>
      <w:tr w:rsidR="00DF18AB" w:rsidRPr="00DF18AB" w:rsidTr="00593B8C">
        <w:trPr>
          <w:cantSplit/>
          <w:trHeight w:val="792"/>
          <w:tblHeader/>
        </w:trPr>
        <w:tc>
          <w:tcPr>
            <w:tcW w:w="1623" w:type="dxa"/>
            <w:shd w:val="clear" w:color="auto" w:fill="0070C0"/>
            <w:noWrap/>
          </w:tcPr>
          <w:p w:rsidR="00DF18AB" w:rsidRPr="00DF18AB" w:rsidRDefault="00DF18AB" w:rsidP="00DF18AB">
            <w:pPr>
              <w:rPr>
                <w:rFonts w:cs="Arial"/>
                <w:b/>
                <w:bCs w:val="0"/>
                <w:color w:val="FFFFFF" w:themeColor="background1"/>
                <w:lang w:eastAsia="en-GB"/>
              </w:rPr>
            </w:pPr>
            <w:r w:rsidRPr="00DF18AB">
              <w:rPr>
                <w:rFonts w:cs="Arial"/>
                <w:b/>
                <w:color w:val="FFFFFF" w:themeColor="background1"/>
                <w:lang w:eastAsia="en-GB"/>
              </w:rPr>
              <w:t>Date/period milestone relates to</w:t>
            </w:r>
          </w:p>
        </w:tc>
        <w:tc>
          <w:tcPr>
            <w:tcW w:w="3588" w:type="dxa"/>
            <w:shd w:val="clear" w:color="auto" w:fill="0070C0"/>
          </w:tcPr>
          <w:p w:rsidR="00DF18AB" w:rsidRPr="00DF18AB" w:rsidRDefault="00DF18AB" w:rsidP="00DF18AB">
            <w:pPr>
              <w:rPr>
                <w:rFonts w:cs="Arial"/>
                <w:b/>
                <w:bCs w:val="0"/>
                <w:color w:val="FFFFFF" w:themeColor="background1"/>
                <w:lang w:eastAsia="en-GB"/>
              </w:rPr>
            </w:pPr>
            <w:r w:rsidRPr="00DF18AB">
              <w:rPr>
                <w:rFonts w:cs="Arial"/>
                <w:b/>
                <w:color w:val="FFFFFF" w:themeColor="background1"/>
                <w:lang w:eastAsia="en-GB"/>
              </w:rPr>
              <w:t>Rules for achievement of milestones (including evidence to be supplied to commissioner)</w:t>
            </w:r>
          </w:p>
        </w:tc>
        <w:tc>
          <w:tcPr>
            <w:tcW w:w="1418" w:type="dxa"/>
            <w:shd w:val="clear" w:color="auto" w:fill="0070C0"/>
          </w:tcPr>
          <w:p w:rsidR="00DF18AB" w:rsidRPr="00DF18AB" w:rsidRDefault="00DF18AB" w:rsidP="00DF18AB">
            <w:pPr>
              <w:rPr>
                <w:rFonts w:cs="Arial"/>
                <w:b/>
                <w:bCs w:val="0"/>
                <w:color w:val="FFFFFF" w:themeColor="background1"/>
                <w:lang w:eastAsia="en-GB"/>
              </w:rPr>
            </w:pPr>
            <w:r w:rsidRPr="00DF18AB">
              <w:rPr>
                <w:rFonts w:cs="Arial"/>
                <w:b/>
                <w:color w:val="FFFFFF" w:themeColor="background1"/>
                <w:lang w:eastAsia="en-GB"/>
              </w:rPr>
              <w:t>Date milestone to be reported</w:t>
            </w:r>
          </w:p>
        </w:tc>
        <w:tc>
          <w:tcPr>
            <w:tcW w:w="2430" w:type="dxa"/>
            <w:shd w:val="clear" w:color="auto" w:fill="0070C0"/>
          </w:tcPr>
          <w:p w:rsidR="00DF18AB" w:rsidRPr="00DF18AB" w:rsidRDefault="00DF18AB" w:rsidP="00DF18AB">
            <w:pPr>
              <w:rPr>
                <w:rFonts w:cs="Arial"/>
                <w:b/>
                <w:bCs w:val="0"/>
                <w:color w:val="FFFFFF" w:themeColor="background1"/>
                <w:lang w:eastAsia="en-GB"/>
              </w:rPr>
            </w:pPr>
            <w:r w:rsidRPr="00DF18AB">
              <w:rPr>
                <w:rFonts w:cs="Arial"/>
                <w:b/>
                <w:color w:val="FFFFFF" w:themeColor="background1"/>
                <w:lang w:eastAsia="en-GB"/>
              </w:rPr>
              <w:t>Milestone weighting (% of CQUIN scheme available)</w:t>
            </w:r>
          </w:p>
        </w:tc>
      </w:tr>
      <w:tr w:rsidR="00DF18AB" w:rsidRPr="00DF18AB" w:rsidTr="00593B8C">
        <w:trPr>
          <w:cantSplit/>
          <w:trHeight w:val="303"/>
        </w:trPr>
        <w:tc>
          <w:tcPr>
            <w:tcW w:w="1623" w:type="dxa"/>
          </w:tcPr>
          <w:p w:rsidR="00DF18AB" w:rsidRPr="00DF18AB" w:rsidRDefault="00DF18AB" w:rsidP="00DF18AB">
            <w:pPr>
              <w:rPr>
                <w:rFonts w:cs="Arial"/>
                <w:b/>
                <w:bCs w:val="0"/>
              </w:rPr>
            </w:pPr>
            <w:r w:rsidRPr="00DF18AB">
              <w:rPr>
                <w:rFonts w:cs="Arial"/>
                <w:b/>
                <w:bCs w:val="0"/>
              </w:rPr>
              <w:t>Year 1</w:t>
            </w:r>
          </w:p>
          <w:p w:rsidR="00DF18AB" w:rsidRPr="00DF18AB" w:rsidRDefault="00DF18AB" w:rsidP="00DF18AB">
            <w:pPr>
              <w:rPr>
                <w:rFonts w:cs="Arial"/>
                <w:bCs w:val="0"/>
              </w:rPr>
            </w:pPr>
            <w:r w:rsidRPr="00DF18AB">
              <w:rPr>
                <w:rFonts w:cs="Arial"/>
                <w:b/>
                <w:bCs w:val="0"/>
              </w:rPr>
              <w:t>2017/18</w:t>
            </w:r>
          </w:p>
        </w:tc>
        <w:tc>
          <w:tcPr>
            <w:tcW w:w="3588" w:type="dxa"/>
          </w:tcPr>
          <w:p w:rsidR="00DF18AB" w:rsidRPr="00DF18AB" w:rsidRDefault="00DF18AB" w:rsidP="00DF18AB">
            <w:pPr>
              <w:rPr>
                <w:rFonts w:cs="Calibri"/>
                <w:szCs w:val="24"/>
              </w:rPr>
            </w:pPr>
            <w:r w:rsidRPr="00DF18AB">
              <w:rPr>
                <w:rFonts w:cs="Calibri"/>
                <w:szCs w:val="24"/>
              </w:rPr>
              <w:t>Submission of a plan to ensure care &amp; support planning is recorded by providers will be a yes/no requirement. Likewise local commissioners will need to confirm whether the plan has been received and accepted (yes/no).</w:t>
            </w:r>
          </w:p>
        </w:tc>
        <w:tc>
          <w:tcPr>
            <w:tcW w:w="1418" w:type="dxa"/>
          </w:tcPr>
          <w:p w:rsidR="00DF18AB" w:rsidRPr="00DF18AB" w:rsidRDefault="00DF18AB" w:rsidP="00DF18AB">
            <w:pPr>
              <w:rPr>
                <w:rFonts w:cs="Arial"/>
                <w:bCs w:val="0"/>
              </w:rPr>
            </w:pPr>
            <w:r w:rsidRPr="00DF18AB">
              <w:rPr>
                <w:rFonts w:cs="Arial"/>
                <w:bCs w:val="0"/>
              </w:rPr>
              <w:t>end of Q2</w:t>
            </w:r>
          </w:p>
        </w:tc>
        <w:tc>
          <w:tcPr>
            <w:tcW w:w="2430" w:type="dxa"/>
          </w:tcPr>
          <w:p w:rsidR="00DF18AB" w:rsidRPr="00DF18AB" w:rsidRDefault="00DF18AB" w:rsidP="00DF18AB">
            <w:pPr>
              <w:rPr>
                <w:rFonts w:cs="Arial"/>
                <w:bCs w:val="0"/>
              </w:rPr>
            </w:pPr>
            <w:r w:rsidRPr="00DF18AB">
              <w:rPr>
                <w:rFonts w:cs="Arial"/>
                <w:bCs w:val="0"/>
              </w:rPr>
              <w:t>25%</w:t>
            </w:r>
          </w:p>
        </w:tc>
      </w:tr>
      <w:tr w:rsidR="00DF18AB" w:rsidRPr="00DF18AB" w:rsidTr="00593B8C">
        <w:trPr>
          <w:cantSplit/>
          <w:trHeight w:val="303"/>
        </w:trPr>
        <w:tc>
          <w:tcPr>
            <w:tcW w:w="1623" w:type="dxa"/>
          </w:tcPr>
          <w:p w:rsidR="00DF18AB" w:rsidRPr="00DF18AB" w:rsidRDefault="00DF18AB" w:rsidP="00DF18AB">
            <w:pPr>
              <w:rPr>
                <w:rFonts w:cs="Arial"/>
                <w:b/>
                <w:bCs w:val="0"/>
              </w:rPr>
            </w:pPr>
            <w:r w:rsidRPr="00DF18AB">
              <w:rPr>
                <w:rFonts w:cs="Arial"/>
                <w:b/>
                <w:bCs w:val="0"/>
              </w:rPr>
              <w:t>Year 1</w:t>
            </w:r>
          </w:p>
          <w:p w:rsidR="00DF18AB" w:rsidRPr="00DF18AB" w:rsidRDefault="00DF18AB" w:rsidP="00DF18AB">
            <w:pPr>
              <w:rPr>
                <w:rFonts w:cs="Arial"/>
                <w:bCs w:val="0"/>
              </w:rPr>
            </w:pPr>
            <w:r w:rsidRPr="00DF18AB">
              <w:rPr>
                <w:rFonts w:cs="Arial"/>
                <w:b/>
                <w:bCs w:val="0"/>
              </w:rPr>
              <w:t>2017/18</w:t>
            </w:r>
          </w:p>
        </w:tc>
        <w:tc>
          <w:tcPr>
            <w:tcW w:w="3588" w:type="dxa"/>
          </w:tcPr>
          <w:p w:rsidR="00DF18AB" w:rsidRPr="00DF18AB" w:rsidRDefault="00DF18AB" w:rsidP="00DF18AB">
            <w:pPr>
              <w:ind w:left="34"/>
              <w:rPr>
                <w:rFonts w:cs="Calibri"/>
                <w:szCs w:val="24"/>
              </w:rPr>
            </w:pPr>
            <w:r w:rsidRPr="00DF18AB">
              <w:rPr>
                <w:rFonts w:cs="Calibri"/>
                <w:szCs w:val="24"/>
              </w:rPr>
              <w:t>Provider to identify the number of patients as having multiple LTCs and who will be prioritised for personalised care and support planning (establishment of cohort) compared to the total number of patients served</w:t>
            </w:r>
          </w:p>
        </w:tc>
        <w:tc>
          <w:tcPr>
            <w:tcW w:w="1418" w:type="dxa"/>
          </w:tcPr>
          <w:p w:rsidR="00DF18AB" w:rsidRPr="00DF18AB" w:rsidRDefault="00DF18AB" w:rsidP="00DF18AB">
            <w:pPr>
              <w:rPr>
                <w:rFonts w:cs="Arial"/>
                <w:bCs w:val="0"/>
              </w:rPr>
            </w:pPr>
            <w:r w:rsidRPr="00DF18AB">
              <w:rPr>
                <w:rFonts w:cs="Calibri"/>
                <w:szCs w:val="24"/>
              </w:rPr>
              <w:t>end of Q3</w:t>
            </w:r>
          </w:p>
        </w:tc>
        <w:tc>
          <w:tcPr>
            <w:tcW w:w="2430" w:type="dxa"/>
          </w:tcPr>
          <w:p w:rsidR="00DF18AB" w:rsidRPr="00DF18AB" w:rsidRDefault="00DF18AB" w:rsidP="00DF18AB">
            <w:pPr>
              <w:rPr>
                <w:rFonts w:cs="Arial"/>
                <w:bCs w:val="0"/>
              </w:rPr>
            </w:pPr>
            <w:r w:rsidRPr="00DF18AB">
              <w:rPr>
                <w:rFonts w:cs="Arial"/>
                <w:bCs w:val="0"/>
              </w:rPr>
              <w:t>15%</w:t>
            </w:r>
          </w:p>
        </w:tc>
      </w:tr>
      <w:tr w:rsidR="00DF18AB" w:rsidRPr="00DF18AB" w:rsidTr="00593B8C">
        <w:trPr>
          <w:cantSplit/>
          <w:trHeight w:val="303"/>
        </w:trPr>
        <w:tc>
          <w:tcPr>
            <w:tcW w:w="1623" w:type="dxa"/>
          </w:tcPr>
          <w:p w:rsidR="00DF18AB" w:rsidRPr="00DF18AB" w:rsidRDefault="00DF18AB" w:rsidP="00DF18AB">
            <w:pPr>
              <w:rPr>
                <w:rFonts w:cs="Arial"/>
                <w:b/>
                <w:bCs w:val="0"/>
              </w:rPr>
            </w:pPr>
            <w:r w:rsidRPr="00DF18AB">
              <w:rPr>
                <w:rFonts w:cs="Arial"/>
                <w:b/>
                <w:bCs w:val="0"/>
              </w:rPr>
              <w:t>Year 1</w:t>
            </w:r>
          </w:p>
          <w:p w:rsidR="00DF18AB" w:rsidRPr="00DF18AB" w:rsidRDefault="00DF18AB" w:rsidP="00DF18AB">
            <w:pPr>
              <w:rPr>
                <w:rFonts w:cs="Arial"/>
                <w:bCs w:val="0"/>
              </w:rPr>
            </w:pPr>
            <w:r w:rsidRPr="00DF18AB">
              <w:rPr>
                <w:rFonts w:cs="Arial"/>
                <w:b/>
                <w:bCs w:val="0"/>
              </w:rPr>
              <w:t>2017/18</w:t>
            </w:r>
          </w:p>
        </w:tc>
        <w:tc>
          <w:tcPr>
            <w:tcW w:w="3588" w:type="dxa"/>
          </w:tcPr>
          <w:p w:rsidR="00DF18AB" w:rsidRPr="00DF18AB" w:rsidRDefault="00DF18AB" w:rsidP="00DF18AB">
            <w:pPr>
              <w:rPr>
                <w:rFonts w:eastAsia="HGSMinchoE"/>
                <w:szCs w:val="24"/>
              </w:rPr>
            </w:pPr>
            <w:r w:rsidRPr="00DF18AB">
              <w:rPr>
                <w:rFonts w:eastAsia="HGSMinchoE"/>
                <w:szCs w:val="24"/>
              </w:rPr>
              <w:t>Provider to confirm what proportion of relevant staff have undertaken training in personalised care and support planning.</w:t>
            </w:r>
          </w:p>
        </w:tc>
        <w:tc>
          <w:tcPr>
            <w:tcW w:w="1418" w:type="dxa"/>
          </w:tcPr>
          <w:p w:rsidR="00DF18AB" w:rsidRPr="00DF18AB" w:rsidRDefault="00DF18AB" w:rsidP="00DF18AB">
            <w:pPr>
              <w:rPr>
                <w:rFonts w:cs="Calibri"/>
                <w:szCs w:val="24"/>
              </w:rPr>
            </w:pPr>
            <w:r w:rsidRPr="00DF18AB">
              <w:rPr>
                <w:rFonts w:cs="Calibri"/>
                <w:szCs w:val="24"/>
              </w:rPr>
              <w:t>end of Q4</w:t>
            </w:r>
          </w:p>
        </w:tc>
        <w:tc>
          <w:tcPr>
            <w:tcW w:w="2430" w:type="dxa"/>
          </w:tcPr>
          <w:p w:rsidR="00DF18AB" w:rsidRPr="00DF18AB" w:rsidRDefault="00DF18AB" w:rsidP="00DF18AB">
            <w:pPr>
              <w:rPr>
                <w:rFonts w:cs="Arial"/>
                <w:bCs w:val="0"/>
              </w:rPr>
            </w:pPr>
            <w:r w:rsidRPr="00DF18AB">
              <w:rPr>
                <w:rFonts w:cs="Arial"/>
                <w:bCs w:val="0"/>
              </w:rPr>
              <w:t>30%</w:t>
            </w:r>
          </w:p>
        </w:tc>
      </w:tr>
      <w:tr w:rsidR="00DF18AB" w:rsidRPr="00DF18AB" w:rsidTr="00593B8C">
        <w:trPr>
          <w:cantSplit/>
          <w:trHeight w:val="303"/>
        </w:trPr>
        <w:tc>
          <w:tcPr>
            <w:tcW w:w="1623" w:type="dxa"/>
          </w:tcPr>
          <w:p w:rsidR="00DF18AB" w:rsidRPr="00DF18AB" w:rsidRDefault="00DF18AB" w:rsidP="00DF18AB">
            <w:pPr>
              <w:rPr>
                <w:rFonts w:cs="Arial"/>
                <w:b/>
                <w:bCs w:val="0"/>
              </w:rPr>
            </w:pPr>
            <w:r w:rsidRPr="00DF18AB">
              <w:rPr>
                <w:rFonts w:cs="Arial"/>
                <w:b/>
                <w:bCs w:val="0"/>
              </w:rPr>
              <w:t>Year 1</w:t>
            </w:r>
          </w:p>
          <w:p w:rsidR="00DF18AB" w:rsidRPr="00DF18AB" w:rsidRDefault="00DF18AB" w:rsidP="00DF18AB">
            <w:pPr>
              <w:rPr>
                <w:rFonts w:cs="Arial"/>
                <w:bCs w:val="0"/>
              </w:rPr>
            </w:pPr>
            <w:r w:rsidRPr="00DF18AB">
              <w:rPr>
                <w:rFonts w:cs="Arial"/>
                <w:b/>
                <w:bCs w:val="0"/>
              </w:rPr>
              <w:t>2017/18</w:t>
            </w:r>
          </w:p>
        </w:tc>
        <w:tc>
          <w:tcPr>
            <w:tcW w:w="3588" w:type="dxa"/>
          </w:tcPr>
          <w:p w:rsidR="00DF18AB" w:rsidRPr="00DF18AB" w:rsidRDefault="00DF18AB" w:rsidP="00DF18AB">
            <w:pPr>
              <w:rPr>
                <w:rFonts w:eastAsia="HGSMinchoE"/>
                <w:szCs w:val="24"/>
              </w:rPr>
            </w:pPr>
            <w:r w:rsidRPr="00DF18AB">
              <w:rPr>
                <w:szCs w:val="24"/>
              </w:rPr>
              <w:t xml:space="preserve">Provider to confirm the number of patients identified for the cohort who have one or more LTCs and have been assessed as having a low activation level (as described above) </w:t>
            </w:r>
          </w:p>
        </w:tc>
        <w:tc>
          <w:tcPr>
            <w:tcW w:w="1418" w:type="dxa"/>
          </w:tcPr>
          <w:p w:rsidR="00DF18AB" w:rsidRPr="00DF18AB" w:rsidRDefault="00DF18AB" w:rsidP="00DF18AB">
            <w:pPr>
              <w:rPr>
                <w:rFonts w:cs="Calibri"/>
                <w:szCs w:val="24"/>
              </w:rPr>
            </w:pPr>
            <w:r w:rsidRPr="00DF18AB">
              <w:rPr>
                <w:rFonts w:cs="Calibri"/>
                <w:szCs w:val="24"/>
              </w:rPr>
              <w:t>end of Q4</w:t>
            </w:r>
          </w:p>
        </w:tc>
        <w:tc>
          <w:tcPr>
            <w:tcW w:w="2430" w:type="dxa"/>
          </w:tcPr>
          <w:p w:rsidR="00DF18AB" w:rsidRPr="00DF18AB" w:rsidRDefault="00DF18AB" w:rsidP="00DF18AB">
            <w:pPr>
              <w:rPr>
                <w:rFonts w:cs="Arial"/>
                <w:bCs w:val="0"/>
              </w:rPr>
            </w:pPr>
            <w:r w:rsidRPr="00DF18AB">
              <w:rPr>
                <w:rFonts w:cs="Arial"/>
                <w:bCs w:val="0"/>
              </w:rPr>
              <w:t>30%</w:t>
            </w:r>
          </w:p>
        </w:tc>
      </w:tr>
    </w:tbl>
    <w:p w:rsidR="00DF18AB" w:rsidRPr="00DF18AB" w:rsidRDefault="00DF18AB" w:rsidP="00DF18AB">
      <w:pPr>
        <w:rPr>
          <w:lang w:eastAsia="en-GB"/>
        </w:rPr>
      </w:pPr>
    </w:p>
    <w:p w:rsidR="00DF18AB" w:rsidRPr="00DF18AB" w:rsidRDefault="00DF18AB" w:rsidP="00DF18AB">
      <w:pPr>
        <w:keepNext/>
        <w:keepLines/>
        <w:outlineLvl w:val="3"/>
        <w:rPr>
          <w:rFonts w:eastAsiaTheme="majorEastAsia" w:cstheme="majorBidi"/>
          <w:b/>
          <w:bCs w:val="0"/>
          <w:iCs/>
          <w:color w:val="A00054" w:themeColor="accent2"/>
          <w:lang w:eastAsia="en-GB"/>
        </w:rPr>
      </w:pPr>
      <w:r w:rsidRPr="00DF18AB">
        <w:rPr>
          <w:rFonts w:eastAsiaTheme="majorEastAsia" w:cstheme="majorBidi"/>
          <w:b/>
          <w:bCs w:val="0"/>
          <w:iCs/>
          <w:color w:val="A00054" w:themeColor="accent2"/>
          <w:lang w:eastAsia="en-GB"/>
        </w:rPr>
        <w:t>Rules for partial achievement for indicator 11</w:t>
      </w:r>
    </w:p>
    <w:p w:rsidR="00DF18AB" w:rsidRPr="00DF18AB" w:rsidRDefault="00DF18AB" w:rsidP="00DF18AB">
      <w:pPr>
        <w:rPr>
          <w:lang w:eastAsia="en-GB"/>
        </w:rPr>
      </w:pPr>
    </w:p>
    <w:p w:rsidR="00DF18AB" w:rsidRPr="00DF18AB" w:rsidRDefault="00DF18AB" w:rsidP="00DF18AB">
      <w:pPr>
        <w:rPr>
          <w:lang w:eastAsia="en-GB"/>
        </w:rPr>
      </w:pPr>
      <w:r w:rsidRPr="00DF18AB">
        <w:rPr>
          <w:lang w:eastAsia="en-GB"/>
        </w:rPr>
        <w:t xml:space="preserve">The payment details are described in the final indicator value (payment threshold) in the table above. </w:t>
      </w:r>
    </w:p>
    <w:p w:rsidR="00DF18AB" w:rsidRPr="00DF18AB" w:rsidRDefault="00DF18AB" w:rsidP="00DF18AB">
      <w:pPr>
        <w:rPr>
          <w:lang w:eastAsia="en-GB"/>
        </w:rPr>
      </w:pPr>
    </w:p>
    <w:p w:rsidR="00DF18AB" w:rsidRPr="00DF18AB" w:rsidRDefault="00DF18AB" w:rsidP="00DF18AB">
      <w:pPr>
        <w:rPr>
          <w:rFonts w:cs="Arial"/>
          <w:b/>
          <w:color w:val="0072C6"/>
          <w:kern w:val="32"/>
          <w:sz w:val="32"/>
          <w:szCs w:val="32"/>
          <w:lang w:eastAsia="en-GB"/>
        </w:rPr>
      </w:pPr>
      <w:r w:rsidRPr="00DF18AB">
        <w:rPr>
          <w:lang w:eastAsia="en-GB"/>
        </w:rPr>
        <w:br w:type="page"/>
      </w:r>
    </w:p>
    <w:sectPr w:rsidR="00DF18AB" w:rsidRPr="00DF18AB" w:rsidSect="001B62FE">
      <w:headerReference w:type="default" r:id="rId55"/>
      <w:footerReference w:type="even" r:id="rId56"/>
      <w:footerReference w:type="default" r:id="rId57"/>
      <w:headerReference w:type="first" r:id="rId58"/>
      <w:footerReference w:type="first" r:id="rId59"/>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50" w:rsidRDefault="00437150" w:rsidP="00A716D1">
      <w:r>
        <w:separator/>
      </w:r>
    </w:p>
  </w:endnote>
  <w:endnote w:type="continuationSeparator" w:id="0">
    <w:p w:rsidR="00437150" w:rsidRDefault="00437150"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50" w:rsidRDefault="00437150"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37150" w:rsidRDefault="00437150"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856813"/>
      <w:docPartObj>
        <w:docPartGallery w:val="Page Numbers (Bottom of Page)"/>
        <w:docPartUnique/>
      </w:docPartObj>
    </w:sdtPr>
    <w:sdtEndPr>
      <w:rPr>
        <w:noProof/>
        <w:color w:val="A00054" w:themeColor="accent2"/>
      </w:rPr>
    </w:sdtEndPr>
    <w:sdtContent>
      <w:p w:rsidR="00437150" w:rsidRPr="005E5116" w:rsidRDefault="00437150">
        <w:pPr>
          <w:pStyle w:val="Footer"/>
          <w:jc w:val="right"/>
          <w:rPr>
            <w:color w:val="A00054" w:themeColor="accent2"/>
          </w:rPr>
        </w:pPr>
        <w:r w:rsidRPr="005E5116">
          <w:rPr>
            <w:color w:val="A00054" w:themeColor="accent2"/>
          </w:rPr>
          <w:fldChar w:fldCharType="begin"/>
        </w:r>
        <w:r w:rsidRPr="005E5116">
          <w:rPr>
            <w:color w:val="A00054" w:themeColor="accent2"/>
          </w:rPr>
          <w:instrText xml:space="preserve"> PAGE   \* MERGEFORMAT </w:instrText>
        </w:r>
        <w:r w:rsidRPr="005E5116">
          <w:rPr>
            <w:color w:val="A00054" w:themeColor="accent2"/>
          </w:rPr>
          <w:fldChar w:fldCharType="separate"/>
        </w:r>
        <w:r w:rsidR="0023312F">
          <w:rPr>
            <w:noProof/>
            <w:color w:val="A00054" w:themeColor="accent2"/>
          </w:rPr>
          <w:t>124</w:t>
        </w:r>
        <w:r w:rsidRPr="005E5116">
          <w:rPr>
            <w:noProof/>
            <w:color w:val="A00054" w:themeColor="accent2"/>
          </w:rPr>
          <w:fldChar w:fldCharType="end"/>
        </w:r>
      </w:p>
    </w:sdtContent>
  </w:sdt>
  <w:p w:rsidR="00437150" w:rsidRDefault="004371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471667"/>
      <w:docPartObj>
        <w:docPartGallery w:val="Page Numbers (Bottom of Page)"/>
        <w:docPartUnique/>
      </w:docPartObj>
    </w:sdtPr>
    <w:sdtEndPr>
      <w:rPr>
        <w:noProof/>
      </w:rPr>
    </w:sdtEndPr>
    <w:sdtContent>
      <w:p w:rsidR="00437150" w:rsidRDefault="00437150">
        <w:pPr>
          <w:pStyle w:val="Footer"/>
          <w:jc w:val="right"/>
        </w:pPr>
        <w:r w:rsidRPr="005E5116">
          <w:rPr>
            <w:color w:val="A00054" w:themeColor="accent2"/>
          </w:rPr>
          <w:fldChar w:fldCharType="begin"/>
        </w:r>
        <w:r w:rsidRPr="005E5116">
          <w:rPr>
            <w:color w:val="A00054" w:themeColor="accent2"/>
          </w:rPr>
          <w:instrText xml:space="preserve"> PAGE   \* MERGEFORMAT </w:instrText>
        </w:r>
        <w:r w:rsidRPr="005E5116">
          <w:rPr>
            <w:color w:val="A00054" w:themeColor="accent2"/>
          </w:rPr>
          <w:fldChar w:fldCharType="separate"/>
        </w:r>
        <w:r w:rsidR="0023312F">
          <w:rPr>
            <w:noProof/>
            <w:color w:val="A00054" w:themeColor="accent2"/>
          </w:rPr>
          <w:t>1</w:t>
        </w:r>
        <w:r w:rsidRPr="005E5116">
          <w:rPr>
            <w:noProof/>
            <w:color w:val="A00054" w:themeColor="accent2"/>
          </w:rPr>
          <w:fldChar w:fldCharType="end"/>
        </w:r>
      </w:p>
    </w:sdtContent>
  </w:sdt>
  <w:p w:rsidR="00437150" w:rsidRDefault="00437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50" w:rsidRDefault="00437150" w:rsidP="00A716D1">
      <w:r>
        <w:separator/>
      </w:r>
    </w:p>
  </w:footnote>
  <w:footnote w:type="continuationSeparator" w:id="0">
    <w:p w:rsidR="00437150" w:rsidRDefault="00437150" w:rsidP="00A716D1">
      <w:r>
        <w:continuationSeparator/>
      </w:r>
    </w:p>
  </w:footnote>
  <w:footnote w:id="1">
    <w:p w:rsidR="00437150" w:rsidRDefault="00437150">
      <w:pPr>
        <w:pStyle w:val="FootnoteText"/>
      </w:pPr>
      <w:r>
        <w:rPr>
          <w:rStyle w:val="FootnoteReference"/>
        </w:rPr>
        <w:footnoteRef/>
      </w:r>
      <w:r>
        <w:t xml:space="preserve"> </w:t>
      </w:r>
      <w:r w:rsidRPr="00EB33AA">
        <w:t xml:space="preserve">The Nutrient Profiling Model can be used to differentiate these foods while encouraging the promotion of healthier alternatives. </w:t>
      </w:r>
      <w:hyperlink r:id="rId1" w:history="1">
        <w:r w:rsidRPr="00AA3617">
          <w:rPr>
            <w:rStyle w:val="Hyperlink"/>
          </w:rPr>
          <w:t>https://www.gov.uk/government/publications/the-nutrient-profiling-model</w:t>
        </w:r>
      </w:hyperlink>
    </w:p>
    <w:p w:rsidR="00437150" w:rsidRDefault="00437150">
      <w:pPr>
        <w:pStyle w:val="FootnoteText"/>
      </w:pPr>
    </w:p>
  </w:footnote>
  <w:footnote w:id="2">
    <w:p w:rsidR="00437150" w:rsidRDefault="00437150" w:rsidP="00EC02B9">
      <w:pPr>
        <w:pStyle w:val="FootnoteText"/>
      </w:pPr>
      <w:r>
        <w:rPr>
          <w:rStyle w:val="FootnoteReference"/>
        </w:rPr>
        <w:footnoteRef/>
      </w:r>
      <w:r>
        <w:t xml:space="preserve"> </w:t>
      </w:r>
      <w:r>
        <w:rPr>
          <w:color w:val="1F497D"/>
        </w:rPr>
        <w:t>  </w:t>
      </w:r>
      <w:hyperlink r:id="rId2" w:history="1">
        <w:r>
          <w:rPr>
            <w:rStyle w:val="Hyperlink"/>
          </w:rPr>
          <w:t>https://www.gov.uk/government/uploads/system/uploads/attachment_data/file/419245/balanced-scorecard-annotated-march2015.pdf</w:t>
        </w:r>
      </w:hyperlink>
    </w:p>
  </w:footnote>
  <w:footnote w:id="3">
    <w:p w:rsidR="00437150" w:rsidRDefault="00437150" w:rsidP="00EC02B9">
      <w:pPr>
        <w:pStyle w:val="FootnoteText"/>
      </w:pPr>
      <w:r>
        <w:rPr>
          <w:rStyle w:val="FootnoteReference"/>
        </w:rPr>
        <w:footnoteRef/>
      </w:r>
      <w:r>
        <w:t xml:space="preserve"> </w:t>
      </w:r>
      <w:r>
        <w:rPr>
          <w:color w:val="1F497D"/>
        </w:rPr>
        <w:t>  </w:t>
      </w:r>
      <w:hyperlink r:id="rId3" w:history="1">
        <w:r>
          <w:rPr>
            <w:rStyle w:val="Hyperlink"/>
          </w:rPr>
          <w:t>https://www.gov.uk/government/uploads/system/uploads/attachment_data/file/419245/balanced-scorecard-annotated-march2015.pdf</w:t>
        </w:r>
      </w:hyperlink>
    </w:p>
  </w:footnote>
  <w:footnote w:id="4">
    <w:p w:rsidR="00437150" w:rsidRDefault="00437150" w:rsidP="00C02AC7">
      <w:pPr>
        <w:pStyle w:val="FootnoteText"/>
      </w:pPr>
      <w:r>
        <w:rPr>
          <w:rStyle w:val="FootnoteReference"/>
        </w:rPr>
        <w:footnoteRef/>
      </w:r>
      <w:r>
        <w:t xml:space="preserve"> Please see appendix A for definitions of frontline healthcare workers </w:t>
      </w:r>
      <w:hyperlink r:id="rId4" w:history="1">
        <w:r>
          <w:rPr>
            <w:rStyle w:val="Hyperlink"/>
          </w:rPr>
          <w:t>Seasonal influenza vaccine uptake HCWs 2015-16 Annual Report</w:t>
        </w:r>
      </w:hyperlink>
      <w:r>
        <w:t xml:space="preserve"> </w:t>
      </w:r>
    </w:p>
  </w:footnote>
  <w:footnote w:id="5">
    <w:p w:rsidR="00437150" w:rsidRDefault="00437150" w:rsidP="00992B1B">
      <w:pPr>
        <w:pStyle w:val="FootnoteText"/>
      </w:pPr>
      <w:r>
        <w:rPr>
          <w:rStyle w:val="FootnoteReference"/>
        </w:rPr>
        <w:footnoteRef/>
      </w:r>
      <w:r>
        <w:t xml:space="preserve"> </w:t>
      </w:r>
      <w:hyperlink r:id="rId5" w:history="1">
        <w:r>
          <w:rPr>
            <w:rStyle w:val="Hyperlink"/>
            <w:lang w:eastAsia="en-GB"/>
          </w:rPr>
          <w:t>https://www.gov.uk/government/uploads/system/uploads/attachment_data/file/147882/Green-Book-Chapter-12.pdf</w:t>
        </w:r>
      </w:hyperlink>
    </w:p>
  </w:footnote>
  <w:footnote w:id="6">
    <w:p w:rsidR="00437150" w:rsidRDefault="00437150" w:rsidP="004E2A87">
      <w:pPr>
        <w:pStyle w:val="FootnoteText"/>
      </w:pPr>
      <w:r>
        <w:rPr>
          <w:rStyle w:val="FootnoteReference"/>
        </w:rPr>
        <w:footnoteRef/>
      </w:r>
      <w:r>
        <w:t xml:space="preserve"> </w:t>
      </w:r>
      <w:r>
        <w:rPr>
          <w:rFonts w:ascii="Calibri" w:hAnsi="Calibri"/>
          <w:color w:val="000000"/>
          <w:shd w:val="clear" w:color="auto" w:fill="FFFFFF"/>
        </w:rPr>
        <w:t>The incidence, and thus mortality figures, for sepsis were revised in late 2015 following the publication into the public domain of HES data by junior minister Ben Gummer.  Mortality in England currently sits at approximately 30% according to the 2015 NCEPOD study 'Just say Sepsis' and to ICNARC. This estimated data therefore lead us to a figure of 36,847 lives claimed annually in England.</w:t>
      </w:r>
    </w:p>
  </w:footnote>
  <w:footnote w:id="7">
    <w:p w:rsidR="00437150" w:rsidRDefault="00437150" w:rsidP="000D1DA3">
      <w:pPr>
        <w:pStyle w:val="FootnoteText"/>
      </w:pPr>
      <w:r>
        <w:rPr>
          <w:rStyle w:val="FootnoteReference"/>
          <w:rFonts w:eastAsiaTheme="majorEastAsia"/>
        </w:rPr>
        <w:footnoteRef/>
      </w:r>
      <w:r>
        <w:t xml:space="preserve"> See section below for rules on partial achievement</w:t>
      </w:r>
    </w:p>
  </w:footnote>
  <w:footnote w:id="8">
    <w:p w:rsidR="00437150" w:rsidRDefault="00437150" w:rsidP="000D1DA3">
      <w:pPr>
        <w:pStyle w:val="FootnoteText"/>
      </w:pPr>
      <w:r>
        <w:rPr>
          <w:rStyle w:val="FootnoteReference"/>
          <w:rFonts w:eastAsiaTheme="majorEastAsia"/>
        </w:rPr>
        <w:footnoteRef/>
      </w:r>
      <w:r>
        <w:t xml:space="preserve"> Please see ‘rationale’ section below for further detail about selection and segmentation of this cohort</w:t>
      </w:r>
    </w:p>
  </w:footnote>
  <w:footnote w:id="9">
    <w:p w:rsidR="00437150" w:rsidRDefault="00437150" w:rsidP="000D1DA3">
      <w:pPr>
        <w:pStyle w:val="FootnoteText"/>
      </w:pPr>
      <w:r>
        <w:rPr>
          <w:rStyle w:val="FootnoteReference"/>
          <w:rFonts w:eastAsiaTheme="majorEastAsia"/>
        </w:rPr>
        <w:footnoteRef/>
      </w:r>
      <w:r>
        <w:t xml:space="preserve"> </w:t>
      </w:r>
      <w:proofErr w:type="gramStart"/>
      <w:r>
        <w:t>E.g. due to deaths, relocations out of area etc.</w:t>
      </w:r>
      <w:proofErr w:type="gramEnd"/>
    </w:p>
  </w:footnote>
  <w:footnote w:id="10">
    <w:p w:rsidR="00437150" w:rsidRDefault="00437150" w:rsidP="000D1DA3">
      <w:pPr>
        <w:pStyle w:val="FootnoteText"/>
      </w:pPr>
      <w:r>
        <w:rPr>
          <w:rStyle w:val="FootnoteReference"/>
          <w:rFonts w:eastAsiaTheme="majorEastAsia"/>
        </w:rPr>
        <w:footnoteRef/>
      </w:r>
      <w:r>
        <w:t xml:space="preserve"> The care plan may be known by other names, such as an attendance plan or personal support plan. The purpose of the plan is t</w:t>
      </w:r>
      <w:r w:rsidRPr="00DC6F99">
        <w:t xml:space="preserve">o guide care </w:t>
      </w:r>
      <w:r>
        <w:t xml:space="preserve">delivered by staff </w:t>
      </w:r>
      <w:r w:rsidRPr="00DC6F99">
        <w:t>w</w:t>
      </w:r>
      <w:r>
        <w:t>henever an identified patient attends A&amp;E, promoting consistency of</w:t>
      </w:r>
      <w:r w:rsidRPr="00DC6F99">
        <w:t xml:space="preserve"> care that aim</w:t>
      </w:r>
      <w:r>
        <w:t>s</w:t>
      </w:r>
      <w:r w:rsidRPr="00DC6F99">
        <w:t xml:space="preserve"> to better meet the needs of patients</w:t>
      </w:r>
      <w:r>
        <w:t>. Involvement of patients and carers in their co-production is essential, and other partner agencies including primary care should be aware of the plans, and have access and contribute to their development as necessary. They should include a patient’s key health and care issues and accompanying management plans, and other relevant information such as the different named professionals involved in their care.</w:t>
      </w:r>
    </w:p>
  </w:footnote>
  <w:footnote w:id="11">
    <w:p w:rsidR="00437150" w:rsidRDefault="00437150" w:rsidP="000D1DA3">
      <w:pPr>
        <w:pStyle w:val="FootnoteText"/>
      </w:pPr>
      <w:r>
        <w:rPr>
          <w:rStyle w:val="FootnoteReference"/>
          <w:rFonts w:eastAsiaTheme="majorEastAsia"/>
        </w:rPr>
        <w:footnoteRef/>
      </w:r>
      <w:r>
        <w:t xml:space="preserve"> See section below for rules on partial achievement</w:t>
      </w:r>
    </w:p>
  </w:footnote>
  <w:footnote w:id="12">
    <w:p w:rsidR="00437150" w:rsidRDefault="00437150" w:rsidP="0013071F">
      <w:pPr>
        <w:pStyle w:val="FootnoteText"/>
      </w:pPr>
      <w:r>
        <w:rPr>
          <w:rStyle w:val="FootnoteReference"/>
          <w:rFonts w:eastAsiaTheme="majorEastAsia"/>
        </w:rPr>
        <w:footnoteRef/>
      </w:r>
      <w:r>
        <w:t xml:space="preserve"> </w:t>
      </w:r>
      <w:proofErr w:type="gramStart"/>
      <w:r>
        <w:t>E.g. due to deaths, relocations out of area etc.</w:t>
      </w:r>
      <w:proofErr w:type="gramEnd"/>
    </w:p>
  </w:footnote>
  <w:footnote w:id="13">
    <w:p w:rsidR="00437150" w:rsidRDefault="00437150" w:rsidP="0013071F">
      <w:pPr>
        <w:pStyle w:val="FootnoteText"/>
      </w:pPr>
      <w:r>
        <w:rPr>
          <w:rStyle w:val="FootnoteReference"/>
          <w:rFonts w:eastAsiaTheme="majorEastAsia"/>
        </w:rPr>
        <w:footnoteRef/>
      </w:r>
      <w:r>
        <w:t xml:space="preserve"> See section below for rules on partial achievement</w:t>
      </w:r>
    </w:p>
  </w:footnote>
  <w:footnote w:id="14">
    <w:p w:rsidR="00437150" w:rsidRDefault="00437150" w:rsidP="000D1DA3">
      <w:pPr>
        <w:pStyle w:val="FootnoteText"/>
      </w:pPr>
      <w:r>
        <w:rPr>
          <w:rStyle w:val="FootnoteReference"/>
          <w:rFonts w:eastAsiaTheme="majorEastAsia"/>
        </w:rPr>
        <w:footnoteRef/>
      </w:r>
      <w:r>
        <w:t xml:space="preserve"> </w:t>
      </w:r>
      <w:proofErr w:type="spellStart"/>
      <w:r w:rsidRPr="00CF47CE">
        <w:t>Caldicott</w:t>
      </w:r>
      <w:proofErr w:type="spellEnd"/>
      <w:r w:rsidRPr="00CF47CE">
        <w:t xml:space="preserve"> review: information governance in the health and care system</w:t>
      </w:r>
      <w:r>
        <w:t xml:space="preserve">: </w:t>
      </w:r>
      <w:r w:rsidRPr="00CF47CE">
        <w:t>https://www.gov.uk/government/publications/the-information-governance-review</w:t>
      </w:r>
    </w:p>
  </w:footnote>
  <w:footnote w:id="15">
    <w:p w:rsidR="00437150" w:rsidRDefault="00437150" w:rsidP="000D1DA3">
      <w:pPr>
        <w:pStyle w:val="FootnoteText"/>
      </w:pPr>
      <w:r>
        <w:rPr>
          <w:rStyle w:val="FootnoteReference"/>
          <w:rFonts w:eastAsiaTheme="majorEastAsia"/>
        </w:rPr>
        <w:footnoteRef/>
      </w:r>
      <w:r>
        <w:t xml:space="preserve"> NHS England, A Quick Guide to Sharing Patient Information for Urgent &amp; Emergency Care: </w:t>
      </w:r>
      <w:hyperlink r:id="rId6" w:history="1">
        <w:r>
          <w:rPr>
            <w:rStyle w:val="Hyperlink"/>
            <w:rFonts w:ascii="Calibri" w:hAnsi="Calibri" w:cs="Calibri"/>
            <w:sz w:val="22"/>
            <w:szCs w:val="22"/>
          </w:rPr>
          <w:t>http://www.nhs.uk/NHSEngland/keogh-review/Documents/160203-qucik-guide-Sharing-Patient-Information-for-Urgent-Care.pdf</w:t>
        </w:r>
      </w:hyperlink>
      <w:r>
        <w:rPr>
          <w:rFonts w:ascii="Calibri" w:hAnsi="Calibri" w:cs="Calibri"/>
          <w:color w:val="1F497D"/>
          <w:sz w:val="22"/>
          <w:szCs w:val="22"/>
        </w:rPr>
        <w:t xml:space="preserve"> </w:t>
      </w:r>
    </w:p>
  </w:footnote>
  <w:footnote w:id="16">
    <w:p w:rsidR="00437150" w:rsidRDefault="00437150" w:rsidP="000D1DA3">
      <w:pPr>
        <w:pStyle w:val="FootnoteText"/>
      </w:pPr>
      <w:r>
        <w:rPr>
          <w:rStyle w:val="FootnoteReference"/>
          <w:rFonts w:eastAsiaTheme="majorEastAsia"/>
        </w:rPr>
        <w:footnoteRef/>
      </w:r>
      <w:r>
        <w:t xml:space="preserve"> The Information Governance Alliance (hosted by NHS Digital) and the Centre of Excellence for Information Sharing have produced helpful resources: </w:t>
      </w:r>
      <w:hyperlink r:id="rId7" w:history="1">
        <w:r w:rsidRPr="008C6DE6">
          <w:rPr>
            <w:rStyle w:val="Hyperlink"/>
          </w:rPr>
          <w:t>http://systems.digital.nhs.uk/infogov/iga/resources/infosharing</w:t>
        </w:r>
      </w:hyperlink>
      <w:r>
        <w:t xml:space="preserve"> &amp; </w:t>
      </w:r>
      <w:hyperlink r:id="rId8" w:history="1">
        <w:r w:rsidRPr="008C6DE6">
          <w:rPr>
            <w:rStyle w:val="Hyperlink"/>
          </w:rPr>
          <w:t>http://informationsharing.org.uk/our-work/learning-good-practice/</w:t>
        </w:r>
      </w:hyperlink>
      <w:r>
        <w:t xml:space="preserve"> &amp; </w:t>
      </w:r>
      <w:hyperlink r:id="rId9" w:history="1">
        <w:r w:rsidRPr="008C6DE6">
          <w:rPr>
            <w:rStyle w:val="Hyperlink"/>
          </w:rPr>
          <w:t>http://informationsharing.org.uk/our-work/resources/</w:t>
        </w:r>
      </w:hyperlink>
      <w:r>
        <w:t xml:space="preserve"> </w:t>
      </w:r>
    </w:p>
  </w:footnote>
  <w:footnote w:id="17">
    <w:p w:rsidR="00437150" w:rsidRPr="00ED2F17" w:rsidRDefault="00437150" w:rsidP="00415AC1">
      <w:pPr>
        <w:autoSpaceDE w:val="0"/>
        <w:autoSpaceDN w:val="0"/>
        <w:adjustRightInd w:val="0"/>
        <w:rPr>
          <w:sz w:val="16"/>
          <w:szCs w:val="16"/>
        </w:rPr>
      </w:pPr>
      <w:r w:rsidRPr="00ED2F17">
        <w:rPr>
          <w:rStyle w:val="FootnoteReference"/>
          <w:sz w:val="16"/>
          <w:szCs w:val="16"/>
        </w:rPr>
        <w:footnoteRef/>
      </w:r>
      <w:r w:rsidRPr="00ED2F17">
        <w:rPr>
          <w:sz w:val="16"/>
          <w:szCs w:val="16"/>
        </w:rPr>
        <w:t xml:space="preserve"> ‘</w:t>
      </w:r>
      <w:r w:rsidRPr="00ED2F17">
        <w:rPr>
          <w:rFonts w:cs="Arial"/>
          <w:sz w:val="16"/>
          <w:szCs w:val="16"/>
        </w:rPr>
        <w:t xml:space="preserve">Improving the effectiveness and efficiency of outpatient services: a scoping review of interventions at the primary–secondary care interface’, </w:t>
      </w:r>
      <w:proofErr w:type="spellStart"/>
      <w:r w:rsidRPr="00ED2F17">
        <w:rPr>
          <w:rFonts w:cs="Arial"/>
          <w:sz w:val="16"/>
          <w:szCs w:val="16"/>
        </w:rPr>
        <w:t>Winpenny</w:t>
      </w:r>
      <w:proofErr w:type="spellEnd"/>
      <w:r w:rsidRPr="00ED2F17">
        <w:rPr>
          <w:rFonts w:cs="Arial"/>
          <w:sz w:val="16"/>
          <w:szCs w:val="16"/>
        </w:rPr>
        <w:t xml:space="preserve"> et al. 2016, Journal of Health Services Research and Policy</w:t>
      </w:r>
    </w:p>
  </w:footnote>
  <w:footnote w:id="18">
    <w:p w:rsidR="00437150" w:rsidRPr="002848FE" w:rsidRDefault="00437150" w:rsidP="00415AC1">
      <w:pPr>
        <w:pStyle w:val="FootnoteText"/>
        <w:rPr>
          <w:sz w:val="16"/>
          <w:szCs w:val="16"/>
        </w:rPr>
      </w:pPr>
      <w:r w:rsidRPr="00ED2F17">
        <w:rPr>
          <w:rStyle w:val="FootnoteReference"/>
          <w:sz w:val="16"/>
          <w:szCs w:val="16"/>
        </w:rPr>
        <w:footnoteRef/>
      </w:r>
      <w:r w:rsidRPr="00ED2F17">
        <w:rPr>
          <w:sz w:val="16"/>
          <w:szCs w:val="16"/>
        </w:rPr>
        <w:t xml:space="preserve"> </w:t>
      </w:r>
      <w:proofErr w:type="gramStart"/>
      <w:r w:rsidRPr="00ED2F17">
        <w:rPr>
          <w:rStyle w:val="selectable"/>
          <w:rFonts w:cs="Arial"/>
          <w:color w:val="000000"/>
          <w:sz w:val="16"/>
          <w:szCs w:val="16"/>
          <w:lang w:val="en"/>
        </w:rPr>
        <w:t xml:space="preserve">Oliva, X., </w:t>
      </w:r>
      <w:proofErr w:type="spellStart"/>
      <w:r w:rsidRPr="00ED2F17">
        <w:rPr>
          <w:rStyle w:val="selectable"/>
          <w:rFonts w:cs="Arial"/>
          <w:color w:val="000000"/>
          <w:sz w:val="16"/>
          <w:szCs w:val="16"/>
          <w:lang w:val="en"/>
        </w:rPr>
        <w:t>Micaló</w:t>
      </w:r>
      <w:proofErr w:type="spellEnd"/>
      <w:r w:rsidRPr="00ED2F17">
        <w:rPr>
          <w:rStyle w:val="selectable"/>
          <w:rFonts w:cs="Arial"/>
          <w:color w:val="000000"/>
          <w:sz w:val="16"/>
          <w:szCs w:val="16"/>
          <w:lang w:val="en"/>
        </w:rPr>
        <w:t xml:space="preserve">, T., Pérez, S., Jugo, B., Solana, S., </w:t>
      </w:r>
      <w:proofErr w:type="spellStart"/>
      <w:r w:rsidRPr="00ED2F17">
        <w:rPr>
          <w:rStyle w:val="selectable"/>
          <w:rFonts w:cs="Arial"/>
          <w:color w:val="000000"/>
          <w:sz w:val="16"/>
          <w:szCs w:val="16"/>
          <w:lang w:val="en"/>
        </w:rPr>
        <w:t>Bernades</w:t>
      </w:r>
      <w:proofErr w:type="spellEnd"/>
      <w:r w:rsidRPr="00ED2F17">
        <w:rPr>
          <w:rStyle w:val="selectable"/>
          <w:rFonts w:cs="Arial"/>
          <w:color w:val="000000"/>
          <w:sz w:val="16"/>
          <w:szCs w:val="16"/>
          <w:lang w:val="en"/>
        </w:rPr>
        <w:t xml:space="preserve">, C., </w:t>
      </w:r>
      <w:proofErr w:type="spellStart"/>
      <w:r w:rsidRPr="00ED2F17">
        <w:rPr>
          <w:rStyle w:val="selectable"/>
          <w:rFonts w:cs="Arial"/>
          <w:color w:val="000000"/>
          <w:sz w:val="16"/>
          <w:szCs w:val="16"/>
          <w:lang w:val="en"/>
        </w:rPr>
        <w:t>Sanavia</w:t>
      </w:r>
      <w:proofErr w:type="spellEnd"/>
      <w:r w:rsidRPr="00ED2F17">
        <w:rPr>
          <w:rStyle w:val="selectable"/>
          <w:rFonts w:cs="Arial"/>
          <w:color w:val="000000"/>
          <w:sz w:val="16"/>
          <w:szCs w:val="16"/>
          <w:lang w:val="en"/>
        </w:rPr>
        <w:t>, M. and Delgado, C. (2013).</w:t>
      </w:r>
      <w:proofErr w:type="gramEnd"/>
      <w:r w:rsidRPr="00ED2F17">
        <w:rPr>
          <w:rStyle w:val="selectable"/>
          <w:rFonts w:cs="Arial"/>
          <w:color w:val="000000"/>
          <w:sz w:val="16"/>
          <w:szCs w:val="16"/>
          <w:lang w:val="en"/>
        </w:rPr>
        <w:t xml:space="preserve"> </w:t>
      </w:r>
      <w:proofErr w:type="gramStart"/>
      <w:r w:rsidRPr="00ED2F17">
        <w:rPr>
          <w:rStyle w:val="selectable"/>
          <w:rFonts w:cs="Arial"/>
          <w:color w:val="000000"/>
          <w:sz w:val="16"/>
          <w:szCs w:val="16"/>
          <w:lang w:val="en"/>
        </w:rPr>
        <w:t xml:space="preserve">Virtual referral system between specialized </w:t>
      </w:r>
      <w:proofErr w:type="spellStart"/>
      <w:r w:rsidRPr="00ED2F17">
        <w:rPr>
          <w:rStyle w:val="selectable"/>
          <w:rFonts w:cs="Arial"/>
          <w:color w:val="000000"/>
          <w:sz w:val="16"/>
          <w:szCs w:val="16"/>
          <w:lang w:val="en"/>
        </w:rPr>
        <w:t>endocrinological</w:t>
      </w:r>
      <w:proofErr w:type="spellEnd"/>
      <w:r w:rsidRPr="00ED2F17">
        <w:rPr>
          <w:rStyle w:val="selectable"/>
          <w:rFonts w:cs="Arial"/>
          <w:color w:val="000000"/>
          <w:sz w:val="16"/>
          <w:szCs w:val="16"/>
          <w:lang w:val="en"/>
        </w:rPr>
        <w:t xml:space="preserve"> care and primary care.</w:t>
      </w:r>
      <w:proofErr w:type="gramEnd"/>
      <w:r w:rsidRPr="00ED2F17">
        <w:rPr>
          <w:rStyle w:val="selectable"/>
          <w:rFonts w:cs="Arial"/>
          <w:color w:val="000000"/>
          <w:sz w:val="16"/>
          <w:szCs w:val="16"/>
          <w:lang w:val="en"/>
        </w:rPr>
        <w:t xml:space="preserve"> </w:t>
      </w:r>
      <w:proofErr w:type="spellStart"/>
      <w:proofErr w:type="gramStart"/>
      <w:r w:rsidRPr="00ED2F17">
        <w:rPr>
          <w:rStyle w:val="selectable"/>
          <w:rFonts w:cs="Arial"/>
          <w:i/>
          <w:iCs/>
          <w:color w:val="000000"/>
          <w:sz w:val="16"/>
          <w:szCs w:val="16"/>
          <w:lang w:val="en"/>
        </w:rPr>
        <w:t>Endocrinología</w:t>
      </w:r>
      <w:proofErr w:type="spellEnd"/>
      <w:r w:rsidRPr="00ED2F17">
        <w:rPr>
          <w:rStyle w:val="selectable"/>
          <w:rFonts w:cs="Arial"/>
          <w:i/>
          <w:iCs/>
          <w:color w:val="000000"/>
          <w:sz w:val="16"/>
          <w:szCs w:val="16"/>
          <w:lang w:val="en"/>
        </w:rPr>
        <w:t xml:space="preserve"> y </w:t>
      </w:r>
      <w:proofErr w:type="spellStart"/>
      <w:r w:rsidRPr="00ED2F17">
        <w:rPr>
          <w:rStyle w:val="selectable"/>
          <w:rFonts w:cs="Arial"/>
          <w:i/>
          <w:iCs/>
          <w:color w:val="000000"/>
          <w:sz w:val="16"/>
          <w:szCs w:val="16"/>
          <w:lang w:val="en"/>
        </w:rPr>
        <w:t>Nutrición</w:t>
      </w:r>
      <w:proofErr w:type="spellEnd"/>
      <w:r w:rsidRPr="00ED2F17">
        <w:rPr>
          <w:rStyle w:val="selectable"/>
          <w:rFonts w:cs="Arial"/>
          <w:i/>
          <w:iCs/>
          <w:color w:val="000000"/>
          <w:sz w:val="16"/>
          <w:szCs w:val="16"/>
          <w:lang w:val="en"/>
        </w:rPr>
        <w:t xml:space="preserve"> (English Edition)</w:t>
      </w:r>
      <w:r w:rsidRPr="00ED2F17">
        <w:rPr>
          <w:rStyle w:val="selectable"/>
          <w:rFonts w:cs="Arial"/>
          <w:color w:val="000000"/>
          <w:sz w:val="16"/>
          <w:szCs w:val="16"/>
          <w:lang w:val="en"/>
        </w:rPr>
        <w:t>, 60(1), pp.4-9.</w:t>
      </w:r>
      <w:proofErr w:type="gramEnd"/>
    </w:p>
  </w:footnote>
  <w:footnote w:id="19">
    <w:p w:rsidR="00437150" w:rsidRDefault="00437150" w:rsidP="00415AC1">
      <w:pPr>
        <w:pStyle w:val="FootnoteText"/>
      </w:pPr>
      <w:r w:rsidRPr="002848FE">
        <w:rPr>
          <w:rStyle w:val="FootnoteReference"/>
          <w:sz w:val="16"/>
          <w:szCs w:val="16"/>
        </w:rPr>
        <w:footnoteRef/>
      </w:r>
      <w:r w:rsidRPr="002848FE">
        <w:rPr>
          <w:sz w:val="16"/>
          <w:szCs w:val="16"/>
        </w:rPr>
        <w:t xml:space="preserve"> </w:t>
      </w:r>
      <w:proofErr w:type="gramStart"/>
      <w:r w:rsidRPr="002848FE">
        <w:rPr>
          <w:rStyle w:val="selectable"/>
          <w:rFonts w:cs="Arial"/>
          <w:color w:val="000000"/>
          <w:sz w:val="16"/>
          <w:szCs w:val="16"/>
          <w:lang w:val="en"/>
        </w:rPr>
        <w:t xml:space="preserve">Walker, J., Rourke, D., Allen, K., </w:t>
      </w:r>
      <w:proofErr w:type="spellStart"/>
      <w:r w:rsidRPr="002848FE">
        <w:rPr>
          <w:rStyle w:val="selectable"/>
          <w:rFonts w:cs="Arial"/>
          <w:color w:val="000000"/>
          <w:sz w:val="16"/>
          <w:szCs w:val="16"/>
          <w:lang w:val="en"/>
        </w:rPr>
        <w:t>Karavitaki</w:t>
      </w:r>
      <w:proofErr w:type="spellEnd"/>
      <w:r w:rsidRPr="002848FE">
        <w:rPr>
          <w:rStyle w:val="selectable"/>
          <w:rFonts w:cs="Arial"/>
          <w:color w:val="000000"/>
          <w:sz w:val="16"/>
          <w:szCs w:val="16"/>
          <w:lang w:val="en"/>
        </w:rPr>
        <w:t xml:space="preserve">, N., Levy, J. and </w:t>
      </w:r>
      <w:proofErr w:type="spellStart"/>
      <w:r w:rsidRPr="002848FE">
        <w:rPr>
          <w:rStyle w:val="selectable"/>
          <w:rFonts w:cs="Arial"/>
          <w:color w:val="000000"/>
          <w:sz w:val="16"/>
          <w:szCs w:val="16"/>
          <w:lang w:val="en"/>
        </w:rPr>
        <w:t>Wass</w:t>
      </w:r>
      <w:proofErr w:type="spellEnd"/>
      <w:r w:rsidRPr="002848FE">
        <w:rPr>
          <w:rStyle w:val="selectable"/>
          <w:rFonts w:cs="Arial"/>
          <w:color w:val="000000"/>
          <w:sz w:val="16"/>
          <w:szCs w:val="16"/>
          <w:lang w:val="en"/>
        </w:rPr>
        <w:t>, J. (2009).</w:t>
      </w:r>
      <w:proofErr w:type="gramEnd"/>
      <w:r w:rsidRPr="002848FE">
        <w:rPr>
          <w:rStyle w:val="selectable"/>
          <w:rFonts w:cs="Arial"/>
          <w:color w:val="000000"/>
          <w:sz w:val="16"/>
          <w:szCs w:val="16"/>
          <w:lang w:val="en"/>
        </w:rPr>
        <w:t xml:space="preserve"> An e-mail GP advisory service: a more efficient way of dealing with clinical enquiries. </w:t>
      </w:r>
      <w:proofErr w:type="gramStart"/>
      <w:r w:rsidRPr="002848FE">
        <w:rPr>
          <w:rStyle w:val="selectable"/>
          <w:rFonts w:cs="Arial"/>
          <w:i/>
          <w:iCs/>
          <w:color w:val="000000"/>
          <w:sz w:val="16"/>
          <w:szCs w:val="16"/>
          <w:lang w:val="en"/>
        </w:rPr>
        <w:t xml:space="preserve">Br J </w:t>
      </w:r>
      <w:proofErr w:type="spellStart"/>
      <w:r w:rsidRPr="002848FE">
        <w:rPr>
          <w:rStyle w:val="selectable"/>
          <w:rFonts w:cs="Arial"/>
          <w:i/>
          <w:iCs/>
          <w:color w:val="000000"/>
          <w:sz w:val="16"/>
          <w:szCs w:val="16"/>
          <w:lang w:val="en"/>
        </w:rPr>
        <w:t>Hosp</w:t>
      </w:r>
      <w:proofErr w:type="spellEnd"/>
      <w:r w:rsidRPr="002848FE">
        <w:rPr>
          <w:rStyle w:val="selectable"/>
          <w:rFonts w:cs="Arial"/>
          <w:i/>
          <w:iCs/>
          <w:color w:val="000000"/>
          <w:sz w:val="16"/>
          <w:szCs w:val="16"/>
          <w:lang w:val="en"/>
        </w:rPr>
        <w:t xml:space="preserve"> Med</w:t>
      </w:r>
      <w:r w:rsidRPr="002848FE">
        <w:rPr>
          <w:rStyle w:val="selectable"/>
          <w:rFonts w:cs="Arial"/>
          <w:color w:val="000000"/>
          <w:sz w:val="16"/>
          <w:szCs w:val="16"/>
          <w:lang w:val="en"/>
        </w:rPr>
        <w:t>, 70(9), pp.532-533.</w:t>
      </w:r>
      <w:proofErr w:type="gramEnd"/>
    </w:p>
  </w:footnote>
  <w:footnote w:id="20">
    <w:p w:rsidR="00437150" w:rsidRDefault="00437150" w:rsidP="00D06808">
      <w:pPr>
        <w:pStyle w:val="FootnoteText"/>
      </w:pPr>
      <w:r w:rsidRPr="006F4C51">
        <w:rPr>
          <w:rStyle w:val="FootnoteReference"/>
          <w:rFonts w:cs="Arial"/>
        </w:rPr>
        <w:footnoteRef/>
      </w:r>
      <w:r w:rsidRPr="006F4C51">
        <w:rPr>
          <w:rFonts w:cs="Arial"/>
        </w:rPr>
        <w:t xml:space="preserve"> </w:t>
      </w:r>
      <w:r w:rsidRPr="0060028B">
        <w:rPr>
          <w:rFonts w:asciiTheme="minorHAnsi" w:hAnsiTheme="minorHAnsi" w:cstheme="minorHAnsi"/>
        </w:rPr>
        <w:t>National Audit Office, (2016) Discharging Older Patients from Hospital</w:t>
      </w:r>
      <w:r w:rsidRPr="006F4C51">
        <w:rPr>
          <w:rFonts w:cs="Arial"/>
        </w:rPr>
        <w:t xml:space="preserve"> </w:t>
      </w:r>
    </w:p>
  </w:footnote>
  <w:footnote w:id="21">
    <w:p w:rsidR="00437150" w:rsidRPr="00585A88" w:rsidRDefault="00437150" w:rsidP="00D06808">
      <w:pPr>
        <w:pStyle w:val="FootnoteText"/>
        <w:rPr>
          <w:rFonts w:asciiTheme="minorHAnsi" w:hAnsiTheme="minorHAnsi" w:cstheme="minorHAnsi"/>
        </w:rPr>
      </w:pPr>
      <w:r w:rsidRPr="00585A88">
        <w:rPr>
          <w:rStyle w:val="FootnoteReference"/>
          <w:rFonts w:asciiTheme="minorHAnsi" w:hAnsiTheme="minorHAnsi" w:cstheme="minorHAnsi"/>
        </w:rPr>
        <w:footnoteRef/>
      </w:r>
      <w:r w:rsidRPr="00585A88">
        <w:rPr>
          <w:rFonts w:asciiTheme="minorHAnsi" w:hAnsiTheme="minorHAnsi" w:cstheme="minorHAnsi"/>
        </w:rPr>
        <w:t xml:space="preserve"> Quick Guide: Discharge to assess </w:t>
      </w:r>
      <w:hyperlink r:id="rId10" w:history="1">
        <w:r w:rsidRPr="00585A88">
          <w:rPr>
            <w:rStyle w:val="Hyperlink"/>
            <w:rFonts w:asciiTheme="minorHAnsi" w:hAnsiTheme="minorHAnsi" w:cstheme="minorHAnsi"/>
          </w:rPr>
          <w:t>www.nhs.uk/quickguide</w:t>
        </w:r>
      </w:hyperlink>
      <w:r w:rsidRPr="00585A88">
        <w:rPr>
          <w:rFonts w:asciiTheme="minorHAnsi" w:hAnsiTheme="minorHAnsi" w:cstheme="minorHAnsi"/>
        </w:rPr>
        <w:t xml:space="preserve"> </w:t>
      </w:r>
    </w:p>
  </w:footnote>
  <w:footnote w:id="22">
    <w:p w:rsidR="00437150" w:rsidRDefault="00437150" w:rsidP="007B719E">
      <w:pPr>
        <w:pStyle w:val="FootnoteText"/>
      </w:pPr>
      <w:r w:rsidRPr="006F4C51">
        <w:rPr>
          <w:rStyle w:val="FootnoteReference"/>
          <w:rFonts w:cs="Arial"/>
        </w:rPr>
        <w:footnoteRef/>
      </w:r>
      <w:r w:rsidRPr="006F4C51">
        <w:rPr>
          <w:rFonts w:cs="Arial"/>
        </w:rPr>
        <w:t xml:space="preserve"> </w:t>
      </w:r>
      <w:r w:rsidRPr="0060028B">
        <w:rPr>
          <w:rFonts w:asciiTheme="minorHAnsi" w:hAnsiTheme="minorHAnsi" w:cstheme="minorHAnsi"/>
        </w:rPr>
        <w:t>National Audit Office, (2016) Discharging Older Patients from Hospital</w:t>
      </w:r>
      <w:r w:rsidRPr="006F4C51">
        <w:rPr>
          <w:rFonts w:cs="Arial"/>
        </w:rPr>
        <w:t xml:space="preserve"> </w:t>
      </w:r>
    </w:p>
  </w:footnote>
  <w:footnote w:id="23">
    <w:p w:rsidR="00437150" w:rsidRPr="00585A88" w:rsidRDefault="00437150" w:rsidP="007B719E">
      <w:pPr>
        <w:pStyle w:val="FootnoteText"/>
        <w:rPr>
          <w:rFonts w:asciiTheme="minorHAnsi" w:hAnsiTheme="minorHAnsi" w:cstheme="minorHAnsi"/>
        </w:rPr>
      </w:pPr>
      <w:r w:rsidRPr="00585A88">
        <w:rPr>
          <w:rStyle w:val="FootnoteReference"/>
          <w:rFonts w:asciiTheme="minorHAnsi" w:hAnsiTheme="minorHAnsi" w:cstheme="minorHAnsi"/>
        </w:rPr>
        <w:footnoteRef/>
      </w:r>
      <w:r w:rsidRPr="00585A88">
        <w:rPr>
          <w:rFonts w:asciiTheme="minorHAnsi" w:hAnsiTheme="minorHAnsi" w:cstheme="minorHAnsi"/>
        </w:rPr>
        <w:t xml:space="preserve"> Quick Guide: Discharge to assess </w:t>
      </w:r>
      <w:hyperlink r:id="rId11" w:history="1">
        <w:r w:rsidRPr="00585A88">
          <w:rPr>
            <w:rStyle w:val="Hyperlink"/>
            <w:rFonts w:asciiTheme="minorHAnsi" w:hAnsiTheme="minorHAnsi" w:cstheme="minorHAnsi"/>
          </w:rPr>
          <w:t>www.nhs.uk/quickguide</w:t>
        </w:r>
      </w:hyperlink>
      <w:r w:rsidRPr="00585A88">
        <w:rPr>
          <w:rFonts w:asciiTheme="minorHAnsi" w:hAnsiTheme="minorHAnsi" w:cstheme="minorHAnsi"/>
        </w:rPr>
        <w:t xml:space="preserve"> </w:t>
      </w:r>
    </w:p>
  </w:footnote>
  <w:footnote w:id="24">
    <w:p w:rsidR="00437150" w:rsidRDefault="00437150" w:rsidP="00FE277D">
      <w:pPr>
        <w:pStyle w:val="FootnoteText"/>
      </w:pPr>
      <w:r w:rsidRPr="006F4C51">
        <w:rPr>
          <w:rStyle w:val="FootnoteReference"/>
          <w:rFonts w:cs="Arial"/>
        </w:rPr>
        <w:footnoteRef/>
      </w:r>
      <w:r w:rsidRPr="006F4C51">
        <w:rPr>
          <w:rFonts w:cs="Arial"/>
        </w:rPr>
        <w:t xml:space="preserve"> </w:t>
      </w:r>
      <w:r w:rsidRPr="0060028B">
        <w:rPr>
          <w:rFonts w:asciiTheme="minorHAnsi" w:hAnsiTheme="minorHAnsi" w:cstheme="minorHAnsi"/>
        </w:rPr>
        <w:t>National Audit Office, (2016) Discharging Older Patients from Hospital</w:t>
      </w:r>
      <w:r w:rsidRPr="006F4C51">
        <w:rPr>
          <w:rFonts w:cs="Arial"/>
        </w:rPr>
        <w:t xml:space="preserve"> </w:t>
      </w:r>
    </w:p>
  </w:footnote>
  <w:footnote w:id="25">
    <w:p w:rsidR="00437150" w:rsidRPr="00585A88" w:rsidRDefault="00437150" w:rsidP="00FE277D">
      <w:pPr>
        <w:pStyle w:val="FootnoteText"/>
        <w:rPr>
          <w:rFonts w:asciiTheme="minorHAnsi" w:hAnsiTheme="minorHAnsi" w:cstheme="minorHAnsi"/>
        </w:rPr>
      </w:pPr>
      <w:r w:rsidRPr="00585A88">
        <w:rPr>
          <w:rStyle w:val="FootnoteReference"/>
          <w:rFonts w:asciiTheme="minorHAnsi" w:hAnsiTheme="minorHAnsi" w:cstheme="minorHAnsi"/>
        </w:rPr>
        <w:footnoteRef/>
      </w:r>
      <w:r w:rsidRPr="00585A88">
        <w:rPr>
          <w:rFonts w:asciiTheme="minorHAnsi" w:hAnsiTheme="minorHAnsi" w:cstheme="minorHAnsi"/>
        </w:rPr>
        <w:t xml:space="preserve"> Quick Guide: Discharge to assess </w:t>
      </w:r>
      <w:hyperlink r:id="rId12" w:history="1">
        <w:r w:rsidRPr="00585A88">
          <w:rPr>
            <w:rStyle w:val="Hyperlink"/>
            <w:rFonts w:asciiTheme="minorHAnsi" w:hAnsiTheme="minorHAnsi" w:cstheme="minorHAnsi"/>
          </w:rPr>
          <w:t>www.nhs.uk/quickguide</w:t>
        </w:r>
      </w:hyperlink>
      <w:r w:rsidRPr="00585A88">
        <w:rPr>
          <w:rFonts w:asciiTheme="minorHAnsi" w:hAnsiTheme="minorHAnsi" w:cstheme="minorHAnsi"/>
        </w:rPr>
        <w:t xml:space="preserve"> </w:t>
      </w:r>
    </w:p>
  </w:footnote>
  <w:footnote w:id="26">
    <w:p w:rsidR="00437150" w:rsidRPr="005769F9" w:rsidRDefault="00437150" w:rsidP="00DF18AB">
      <w:pPr>
        <w:pStyle w:val="FootnoteText"/>
        <w:rPr>
          <w:sz w:val="18"/>
          <w:szCs w:val="18"/>
        </w:rPr>
      </w:pPr>
      <w:r w:rsidRPr="005769F9">
        <w:rPr>
          <w:rStyle w:val="FootnoteReference"/>
          <w:sz w:val="18"/>
          <w:szCs w:val="18"/>
        </w:rPr>
        <w:footnoteRef/>
      </w:r>
      <w:r w:rsidRPr="005769F9">
        <w:rPr>
          <w:sz w:val="18"/>
          <w:szCs w:val="18"/>
        </w:rPr>
        <w:t xml:space="preserve"> </w:t>
      </w:r>
      <w:hyperlink r:id="rId13" w:history="1">
        <w:r w:rsidRPr="005769F9">
          <w:rPr>
            <w:rStyle w:val="Hyperlink"/>
            <w:sz w:val="18"/>
            <w:szCs w:val="18"/>
          </w:rPr>
          <w:t>https://www.gov.uk/government/uploads/system/uploads/attachment_data/file/366852/PHE_Priorities.pdf</w:t>
        </w:r>
      </w:hyperlink>
      <w:r w:rsidRPr="005769F9">
        <w:rPr>
          <w:sz w:val="18"/>
          <w:szCs w:val="18"/>
        </w:rPr>
        <w:t xml:space="preserve"> </w:t>
      </w:r>
    </w:p>
  </w:footnote>
  <w:footnote w:id="27">
    <w:p w:rsidR="00437150" w:rsidRPr="005769F9" w:rsidRDefault="00437150" w:rsidP="00DF18AB">
      <w:pPr>
        <w:rPr>
          <w:sz w:val="18"/>
          <w:szCs w:val="18"/>
        </w:rPr>
      </w:pPr>
      <w:r w:rsidRPr="005769F9">
        <w:rPr>
          <w:rStyle w:val="FootnoteReference"/>
          <w:sz w:val="18"/>
          <w:szCs w:val="18"/>
        </w:rPr>
        <w:footnoteRef/>
      </w:r>
      <w:r w:rsidRPr="005769F9">
        <w:rPr>
          <w:sz w:val="18"/>
          <w:szCs w:val="18"/>
        </w:rPr>
        <w:t xml:space="preserve"> </w:t>
      </w:r>
      <w:hyperlink r:id="rId14" w:history="1">
        <w:r w:rsidRPr="005769F9">
          <w:rPr>
            <w:rStyle w:val="Hyperlink"/>
            <w:sz w:val="18"/>
            <w:szCs w:val="18"/>
          </w:rPr>
          <w:t>http://www.sciencedirect.com/science/article/pii/S0140673606689757</w:t>
        </w:r>
      </w:hyperlink>
    </w:p>
  </w:footnote>
  <w:footnote w:id="28">
    <w:p w:rsidR="00437150" w:rsidRPr="005769F9" w:rsidRDefault="00437150" w:rsidP="00DF18AB">
      <w:pPr>
        <w:widowControl w:val="0"/>
        <w:autoSpaceDE w:val="0"/>
        <w:autoSpaceDN w:val="0"/>
        <w:adjustRightInd w:val="0"/>
        <w:ind w:right="-570"/>
        <w:rPr>
          <w:sz w:val="18"/>
          <w:szCs w:val="18"/>
        </w:rPr>
      </w:pPr>
      <w:r w:rsidRPr="005769F9">
        <w:rPr>
          <w:rStyle w:val="FootnoteReference"/>
          <w:sz w:val="18"/>
          <w:szCs w:val="18"/>
        </w:rPr>
        <w:footnoteRef/>
      </w:r>
      <w:r w:rsidRPr="005769F9">
        <w:rPr>
          <w:sz w:val="18"/>
          <w:szCs w:val="18"/>
        </w:rPr>
        <w:t xml:space="preserve"> </w:t>
      </w:r>
      <w:proofErr w:type="spellStart"/>
      <w:r w:rsidRPr="005769F9">
        <w:rPr>
          <w:rFonts w:cs="ArialMT"/>
          <w:sz w:val="18"/>
          <w:szCs w:val="18"/>
          <w:lang w:val="en-US"/>
        </w:rPr>
        <w:t>Rigotti</w:t>
      </w:r>
      <w:proofErr w:type="spellEnd"/>
      <w:r w:rsidRPr="005769F9">
        <w:rPr>
          <w:rFonts w:cs="ArialMT"/>
          <w:sz w:val="18"/>
          <w:szCs w:val="18"/>
          <w:lang w:val="en-US"/>
        </w:rPr>
        <w:t xml:space="preserve"> N, </w:t>
      </w:r>
      <w:proofErr w:type="spellStart"/>
      <w:r w:rsidRPr="005769F9">
        <w:rPr>
          <w:rFonts w:cs="ArialMT"/>
          <w:sz w:val="18"/>
          <w:szCs w:val="18"/>
          <w:lang w:val="en-US"/>
        </w:rPr>
        <w:t>Munafo</w:t>
      </w:r>
      <w:proofErr w:type="spellEnd"/>
      <w:r w:rsidRPr="005769F9">
        <w:rPr>
          <w:rFonts w:cs="ArialMT"/>
          <w:sz w:val="18"/>
          <w:szCs w:val="18"/>
          <w:lang w:val="en-US"/>
        </w:rPr>
        <w:t xml:space="preserve"> MR, Stead LF. Interventions for smoking cessation in </w:t>
      </w:r>
      <w:proofErr w:type="spellStart"/>
      <w:r w:rsidRPr="005769F9">
        <w:rPr>
          <w:rFonts w:cs="ArialMT"/>
          <w:sz w:val="18"/>
          <w:szCs w:val="18"/>
          <w:lang w:val="en-US"/>
        </w:rPr>
        <w:t>hospitalised</w:t>
      </w:r>
      <w:proofErr w:type="spellEnd"/>
      <w:r w:rsidRPr="005769F9">
        <w:rPr>
          <w:rFonts w:cs="ArialMT"/>
          <w:sz w:val="18"/>
          <w:szCs w:val="18"/>
          <w:lang w:val="en-US"/>
        </w:rPr>
        <w:t xml:space="preserve"> </w:t>
      </w:r>
      <w:proofErr w:type="spellStart"/>
      <w:r w:rsidRPr="005769F9">
        <w:rPr>
          <w:rFonts w:cs="ArialMT"/>
          <w:sz w:val="18"/>
          <w:szCs w:val="18"/>
          <w:lang w:val="en-US"/>
        </w:rPr>
        <w:t>patients.Cochrane</w:t>
      </w:r>
      <w:proofErr w:type="spellEnd"/>
      <w:r w:rsidRPr="005769F9">
        <w:rPr>
          <w:rFonts w:cs="ArialMT"/>
          <w:sz w:val="18"/>
          <w:szCs w:val="18"/>
          <w:lang w:val="en-US"/>
        </w:rPr>
        <w:t xml:space="preserve"> Database of Systematic Reviews 2007; Issue3.Art.No.:CD001837.DOI:10.1002/14651858.CD001837.pub2</w:t>
      </w:r>
    </w:p>
  </w:footnote>
  <w:footnote w:id="29">
    <w:p w:rsidR="00437150" w:rsidRPr="005769F9" w:rsidRDefault="00437150" w:rsidP="00DF18AB">
      <w:pPr>
        <w:pStyle w:val="FootnoteText"/>
        <w:rPr>
          <w:sz w:val="18"/>
          <w:szCs w:val="18"/>
        </w:rPr>
      </w:pPr>
      <w:r w:rsidRPr="005769F9">
        <w:rPr>
          <w:rStyle w:val="FootnoteReference"/>
          <w:sz w:val="18"/>
          <w:szCs w:val="18"/>
        </w:rPr>
        <w:footnoteRef/>
      </w:r>
      <w:r w:rsidRPr="005769F9">
        <w:rPr>
          <w:sz w:val="18"/>
          <w:szCs w:val="18"/>
        </w:rPr>
        <w:t xml:space="preserve"> </w:t>
      </w:r>
      <w:hyperlink r:id="rId15" w:history="1">
        <w:r w:rsidRPr="005769F9">
          <w:rPr>
            <w:rStyle w:val="Hyperlink"/>
            <w:sz w:val="18"/>
            <w:szCs w:val="18"/>
          </w:rPr>
          <w:t>http://www.ncsct.co.uk/usr/pub/Briefing%208.pdf</w:t>
        </w:r>
      </w:hyperlink>
      <w:r w:rsidRPr="005769F9">
        <w:rPr>
          <w:sz w:val="18"/>
          <w:szCs w:val="18"/>
        </w:rPr>
        <w:t xml:space="preserve"> </w:t>
      </w:r>
    </w:p>
  </w:footnote>
  <w:footnote w:id="30">
    <w:p w:rsidR="00437150" w:rsidRDefault="00437150" w:rsidP="00DF18AB">
      <w:pPr>
        <w:pStyle w:val="FootnoteText"/>
      </w:pPr>
      <w:r>
        <w:rPr>
          <w:rStyle w:val="FootnoteReference"/>
        </w:rPr>
        <w:footnoteRef/>
      </w:r>
      <w:r>
        <w:t xml:space="preserve"> Note that staff and healthcare professionals are used interchangeably throughout this document. The intention is to ensure that the intervention is delivered by the most appropriate healthcare professionals and is not restricted to one particular professional group. Providers will be best placed to judge who in their organisations should deliver. </w:t>
      </w:r>
    </w:p>
  </w:footnote>
  <w:footnote w:id="31">
    <w:p w:rsidR="00437150" w:rsidRPr="005769F9" w:rsidRDefault="00437150" w:rsidP="00DF18AB">
      <w:pPr>
        <w:pStyle w:val="FootnoteText"/>
        <w:rPr>
          <w:sz w:val="18"/>
          <w:szCs w:val="18"/>
        </w:rPr>
      </w:pPr>
      <w:r w:rsidRPr="005769F9">
        <w:rPr>
          <w:rStyle w:val="FootnoteReference"/>
          <w:sz w:val="18"/>
          <w:szCs w:val="18"/>
        </w:rPr>
        <w:footnoteRef/>
      </w:r>
      <w:r w:rsidRPr="005769F9">
        <w:rPr>
          <w:sz w:val="18"/>
          <w:szCs w:val="18"/>
        </w:rPr>
        <w:t xml:space="preserve"> </w:t>
      </w:r>
      <w:hyperlink r:id="rId16" w:history="1">
        <w:r w:rsidRPr="005769F9">
          <w:rPr>
            <w:rStyle w:val="Hyperlink"/>
            <w:sz w:val="18"/>
            <w:szCs w:val="18"/>
          </w:rPr>
          <w:t>http://digital.nhs.uk/catalogue/PUB16076</w:t>
        </w:r>
      </w:hyperlink>
      <w:r w:rsidRPr="005769F9">
        <w:rPr>
          <w:sz w:val="18"/>
          <w:szCs w:val="18"/>
        </w:rPr>
        <w:t xml:space="preserve"> </w:t>
      </w:r>
    </w:p>
  </w:footnote>
  <w:footnote w:id="32">
    <w:p w:rsidR="00437150" w:rsidRPr="005769F9" w:rsidRDefault="00437150" w:rsidP="00DF18AB">
      <w:pPr>
        <w:pStyle w:val="FootnoteText"/>
        <w:rPr>
          <w:sz w:val="18"/>
          <w:szCs w:val="18"/>
        </w:rPr>
      </w:pPr>
      <w:r w:rsidRPr="005769F9">
        <w:rPr>
          <w:rStyle w:val="FootnoteReference"/>
          <w:sz w:val="18"/>
          <w:szCs w:val="18"/>
        </w:rPr>
        <w:footnoteRef/>
      </w:r>
      <w:r w:rsidRPr="005769F9">
        <w:rPr>
          <w:sz w:val="18"/>
          <w:szCs w:val="18"/>
        </w:rPr>
        <w:t xml:space="preserve"> </w:t>
      </w:r>
      <w:hyperlink r:id="rId17" w:history="1">
        <w:r w:rsidRPr="005769F9">
          <w:rPr>
            <w:rStyle w:val="Hyperlink"/>
            <w:sz w:val="18"/>
            <w:szCs w:val="18"/>
          </w:rPr>
          <w:t>http://www.hscic.gov.uk/catalogue/PUB13218/HSE2012-Ch6-Alc-cons.pdf</w:t>
        </w:r>
      </w:hyperlink>
      <w:r w:rsidRPr="005769F9">
        <w:rPr>
          <w:sz w:val="18"/>
          <w:szCs w:val="18"/>
        </w:rPr>
        <w:t xml:space="preserve"> </w:t>
      </w:r>
    </w:p>
  </w:footnote>
  <w:footnote w:id="33">
    <w:p w:rsidR="00437150" w:rsidRPr="005769F9" w:rsidRDefault="00437150" w:rsidP="00DF18AB">
      <w:pPr>
        <w:pStyle w:val="NormalWeb"/>
        <w:rPr>
          <w:rFonts w:asciiTheme="minorHAnsi" w:hAnsiTheme="minorHAnsi"/>
          <w:color w:val="000000"/>
          <w:sz w:val="18"/>
          <w:szCs w:val="18"/>
        </w:rPr>
      </w:pPr>
      <w:r w:rsidRPr="005769F9">
        <w:rPr>
          <w:rStyle w:val="FootnoteReference"/>
          <w:rFonts w:asciiTheme="minorHAnsi" w:hAnsiTheme="minorHAnsi"/>
          <w:sz w:val="18"/>
          <w:szCs w:val="18"/>
        </w:rPr>
        <w:footnoteRef/>
      </w:r>
      <w:r w:rsidRPr="005769F9">
        <w:rPr>
          <w:rFonts w:asciiTheme="minorHAnsi" w:hAnsiTheme="minorHAnsi"/>
          <w:sz w:val="18"/>
          <w:szCs w:val="18"/>
        </w:rPr>
        <w:t xml:space="preserve"> </w:t>
      </w:r>
      <w:r w:rsidRPr="005769F9">
        <w:rPr>
          <w:rFonts w:asciiTheme="minorHAnsi" w:hAnsiTheme="minorHAnsi" w:cs="Arial"/>
          <w:color w:val="212121"/>
          <w:sz w:val="18"/>
          <w:szCs w:val="18"/>
          <w:shd w:val="clear" w:color="auto" w:fill="FFFFFF"/>
        </w:rPr>
        <w:t>Public Health England (2016), Local Alcohol Profiles for England. Available at: </w:t>
      </w:r>
      <w:hyperlink r:id="rId18" w:tgtFrame="_blank" w:history="1">
        <w:r w:rsidRPr="005769F9">
          <w:rPr>
            <w:rStyle w:val="Hyperlink"/>
            <w:rFonts w:asciiTheme="minorHAnsi" w:hAnsiTheme="minorHAnsi" w:cs="Arial"/>
            <w:sz w:val="18"/>
            <w:szCs w:val="18"/>
            <w:shd w:val="clear" w:color="auto" w:fill="FFFFFF"/>
          </w:rPr>
          <w:t>http://fingertips.phe.org.uk/profile/local-alcohol-profiles</w:t>
        </w:r>
      </w:hyperlink>
    </w:p>
  </w:footnote>
  <w:footnote w:id="34">
    <w:p w:rsidR="00437150" w:rsidRDefault="00437150" w:rsidP="00DF18AB">
      <w:pPr>
        <w:pStyle w:val="FootnoteText"/>
      </w:pPr>
      <w:r>
        <w:rPr>
          <w:rStyle w:val="FootnoteReference"/>
        </w:rPr>
        <w:footnoteRef/>
      </w:r>
      <w:r>
        <w:t xml:space="preserve"> </w:t>
      </w:r>
      <w:r w:rsidRPr="00CD7803">
        <w:rPr>
          <w:color w:val="2C2C2C"/>
          <w:spacing w:val="-5"/>
          <w:sz w:val="18"/>
          <w:szCs w:val="18"/>
          <w:lang w:eastAsia="en-GB"/>
        </w:rPr>
        <w:t xml:space="preserve">Admissions </w:t>
      </w:r>
      <w:r>
        <w:rPr>
          <w:color w:val="2C2C2C"/>
          <w:spacing w:val="-5"/>
          <w:sz w:val="18"/>
          <w:szCs w:val="18"/>
          <w:lang w:eastAsia="en-GB"/>
        </w:rPr>
        <w:t xml:space="preserve">to acute, acute &amp;community and acute specialist providers in 2014/15, excluding maternity and below 18s, based on HES data  </w:t>
      </w:r>
    </w:p>
  </w:footnote>
  <w:footnote w:id="35">
    <w:p w:rsidR="00437150" w:rsidRPr="005769F9" w:rsidRDefault="00437150" w:rsidP="00DF18AB">
      <w:pPr>
        <w:pStyle w:val="NormalWeb"/>
        <w:rPr>
          <w:rFonts w:ascii="Calibri" w:hAnsi="Calibri"/>
          <w:color w:val="000000"/>
          <w:sz w:val="18"/>
          <w:szCs w:val="18"/>
        </w:rPr>
      </w:pPr>
      <w:r w:rsidRPr="005769F9">
        <w:rPr>
          <w:rStyle w:val="FootnoteReference"/>
          <w:rFonts w:asciiTheme="minorHAnsi" w:hAnsiTheme="minorHAnsi"/>
          <w:sz w:val="18"/>
          <w:szCs w:val="18"/>
        </w:rPr>
        <w:footnoteRef/>
      </w:r>
      <w:r w:rsidRPr="005769F9">
        <w:rPr>
          <w:rFonts w:asciiTheme="minorHAnsi" w:hAnsiTheme="minorHAnsi"/>
          <w:sz w:val="18"/>
          <w:szCs w:val="18"/>
        </w:rPr>
        <w:t xml:space="preserve"> </w:t>
      </w:r>
      <w:r w:rsidRPr="005769F9">
        <w:rPr>
          <w:rFonts w:asciiTheme="minorHAnsi" w:hAnsiTheme="minorHAnsi"/>
          <w:color w:val="2C2C2C"/>
          <w:spacing w:val="-5"/>
          <w:sz w:val="18"/>
          <w:szCs w:val="18"/>
        </w:rPr>
        <w:t>Statistics on Alcohol, England, 2016 (NHS Digital, 2016)​</w:t>
      </w:r>
    </w:p>
  </w:footnote>
  <w:footnote w:id="36">
    <w:p w:rsidR="00437150" w:rsidRPr="005769F9" w:rsidRDefault="00437150" w:rsidP="00DF18AB">
      <w:pPr>
        <w:pStyle w:val="FootnoteText"/>
        <w:rPr>
          <w:sz w:val="18"/>
          <w:szCs w:val="18"/>
        </w:rPr>
      </w:pPr>
      <w:r w:rsidRPr="005769F9">
        <w:rPr>
          <w:rStyle w:val="FootnoteReference"/>
          <w:sz w:val="18"/>
          <w:szCs w:val="18"/>
        </w:rPr>
        <w:footnoteRef/>
      </w:r>
      <w:r w:rsidRPr="005769F9">
        <w:rPr>
          <w:sz w:val="18"/>
          <w:szCs w:val="18"/>
        </w:rPr>
        <w:t xml:space="preserve"> </w:t>
      </w:r>
      <w:proofErr w:type="spellStart"/>
      <w:r w:rsidRPr="005769F9">
        <w:rPr>
          <w:rFonts w:cs="Arial"/>
          <w:sz w:val="18"/>
          <w:szCs w:val="18"/>
        </w:rPr>
        <w:t>Kaner</w:t>
      </w:r>
      <w:proofErr w:type="spellEnd"/>
      <w:r w:rsidRPr="005769F9">
        <w:rPr>
          <w:rFonts w:cs="Arial"/>
          <w:sz w:val="18"/>
          <w:szCs w:val="18"/>
        </w:rPr>
        <w:t xml:space="preserve"> EFS, Beyer F, Dickinson HO, </w:t>
      </w:r>
      <w:proofErr w:type="spellStart"/>
      <w:r w:rsidRPr="005769F9">
        <w:rPr>
          <w:rFonts w:cs="Arial"/>
          <w:sz w:val="18"/>
          <w:szCs w:val="18"/>
        </w:rPr>
        <w:t>Pienaar</w:t>
      </w:r>
      <w:proofErr w:type="spellEnd"/>
      <w:r w:rsidRPr="005769F9">
        <w:rPr>
          <w:rFonts w:cs="Arial"/>
          <w:sz w:val="18"/>
          <w:szCs w:val="18"/>
        </w:rPr>
        <w:t xml:space="preserve"> E, Campbell F, Schlesinger C, et al. Effectiveness of brief alcohol interventions in primary care populations. Cochrane database </w:t>
      </w:r>
      <w:proofErr w:type="spellStart"/>
      <w:r w:rsidRPr="005769F9">
        <w:rPr>
          <w:rFonts w:cs="Arial"/>
          <w:sz w:val="18"/>
          <w:szCs w:val="18"/>
        </w:rPr>
        <w:t>Syst</w:t>
      </w:r>
      <w:proofErr w:type="spellEnd"/>
      <w:r w:rsidRPr="005769F9">
        <w:rPr>
          <w:rFonts w:cs="Arial"/>
          <w:sz w:val="18"/>
          <w:szCs w:val="18"/>
        </w:rPr>
        <w:t xml:space="preserve"> Rev Online. Wiley Online Library; 2007; 4(2):CD004148.</w:t>
      </w:r>
    </w:p>
  </w:footnote>
  <w:footnote w:id="37">
    <w:p w:rsidR="00437150" w:rsidRDefault="00437150" w:rsidP="00DF18AB">
      <w:pPr>
        <w:pStyle w:val="FootnoteText"/>
      </w:pPr>
      <w:r>
        <w:rPr>
          <w:rStyle w:val="FootnoteReference"/>
        </w:rPr>
        <w:footnoteRef/>
      </w:r>
      <w:r>
        <w:t xml:space="preserve"> </w:t>
      </w:r>
      <w:hyperlink r:id="rId19" w:history="1">
        <w:r w:rsidRPr="000D1187">
          <w:rPr>
            <w:rStyle w:val="Hyperlink"/>
          </w:rPr>
          <w:t>http://www.thinklocalactpersonal.org.uk/personalised-care-and-support-planning-tool/</w:t>
        </w:r>
      </w:hyperlink>
      <w:r>
        <w:t xml:space="preserve"> </w:t>
      </w:r>
    </w:p>
  </w:footnote>
  <w:footnote w:id="38">
    <w:p w:rsidR="00437150" w:rsidRDefault="00437150" w:rsidP="00DF18AB">
      <w:pPr>
        <w:pStyle w:val="FootnoteText"/>
      </w:pPr>
      <w:r>
        <w:rPr>
          <w:rStyle w:val="FootnoteReference"/>
        </w:rPr>
        <w:footnoteRef/>
      </w:r>
      <w:r>
        <w:t xml:space="preserve"> NHS England &amp; Coalition for Collaborative Care (2015) </w:t>
      </w:r>
      <w:r>
        <w:rPr>
          <w:i/>
        </w:rPr>
        <w:t xml:space="preserve">Personalised care and support planning handbook </w:t>
      </w:r>
      <w:r>
        <w:t xml:space="preserve">- </w:t>
      </w:r>
      <w:hyperlink r:id="rId20" w:history="1">
        <w:r w:rsidRPr="00A241E8">
          <w:rPr>
            <w:rStyle w:val="Hyperlink"/>
          </w:rPr>
          <w:t>https://www.england.nhs.uk/resources/resources-for-ccgs/out-frwrk/dom-2/ltc-care/</w:t>
        </w:r>
      </w:hyperlink>
      <w:r>
        <w:t xml:space="preserve"> </w:t>
      </w:r>
    </w:p>
  </w:footnote>
  <w:footnote w:id="39">
    <w:p w:rsidR="00437150" w:rsidRDefault="00437150" w:rsidP="00DF18AB">
      <w:pPr>
        <w:pStyle w:val="FootnoteText"/>
      </w:pPr>
      <w:r>
        <w:rPr>
          <w:rStyle w:val="FootnoteReference"/>
        </w:rPr>
        <w:footnoteRef/>
      </w:r>
      <w:r>
        <w:t xml:space="preserve"> See also NICE guideline on </w:t>
      </w:r>
      <w:proofErr w:type="spellStart"/>
      <w:r>
        <w:t>multimorbidity</w:t>
      </w:r>
      <w:proofErr w:type="spellEnd"/>
      <w:r>
        <w:t xml:space="preserve"> - </w:t>
      </w:r>
      <w:hyperlink r:id="rId21" w:history="1">
        <w:r w:rsidRPr="00A241E8">
          <w:rPr>
            <w:rStyle w:val="Hyperlink"/>
          </w:rPr>
          <w:t>https://www.nice.org.uk/guidance/ng56</w:t>
        </w:r>
      </w:hyperlink>
      <w:r>
        <w:t xml:space="preserve"> </w:t>
      </w:r>
    </w:p>
  </w:footnote>
  <w:footnote w:id="40">
    <w:p w:rsidR="00437150" w:rsidRDefault="00437150" w:rsidP="00DF18AB">
      <w:pPr>
        <w:pStyle w:val="FootnoteText"/>
      </w:pPr>
      <w:r>
        <w:rPr>
          <w:rStyle w:val="FootnoteReference"/>
        </w:rPr>
        <w:footnoteRef/>
      </w:r>
      <w:r>
        <w:t xml:space="preserve"> Patient Activation Best Practice Guide (due to be published December 2016)</w:t>
      </w:r>
    </w:p>
  </w:footnote>
  <w:footnote w:id="41">
    <w:p w:rsidR="00437150" w:rsidRDefault="00437150" w:rsidP="00DF18AB">
      <w:pPr>
        <w:pStyle w:val="FootnoteText"/>
      </w:pPr>
      <w:r>
        <w:rPr>
          <w:rStyle w:val="FootnoteReference"/>
        </w:rPr>
        <w:footnoteRef/>
      </w:r>
      <w:r>
        <w:t xml:space="preserve"> </w:t>
      </w:r>
      <w:proofErr w:type="gramStart"/>
      <w:r>
        <w:t>Final position to be confirmed prior to April 2017.</w:t>
      </w:r>
      <w:proofErr w:type="gramEnd"/>
      <w:r>
        <w:t xml:space="preserve"> The current expectation is this will include a broad definition (</w:t>
      </w:r>
      <w:r w:rsidRPr="0081365C">
        <w:t>Long term conditions are health conditions that can’t be cured, last a year or longer, impact on a person’s life, and may require on-going care and support</w:t>
      </w:r>
      <w:r>
        <w:t>) and a list of the specific conditions that fall under this 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50" w:rsidRDefault="00437150" w:rsidP="00EA0535">
    <w:pPr>
      <w:pStyle w:val="Header"/>
      <w:jc w:val="right"/>
      <w:rPr>
        <w:color w:val="0072C6" w:themeColor="text2"/>
      </w:rPr>
    </w:pPr>
  </w:p>
  <w:p w:rsidR="00437150" w:rsidRPr="00EA0535" w:rsidRDefault="00437150" w:rsidP="00EA0535">
    <w:pPr>
      <w:pStyle w:val="Header"/>
      <w:jc w:val="right"/>
      <w:rPr>
        <w:color w:val="0072C6" w:themeColor="text2"/>
      </w:rPr>
    </w:pPr>
    <w:r w:rsidRPr="00EA0535">
      <w:rPr>
        <w:color w:val="0072C6" w:themeColor="text2"/>
      </w:rPr>
      <w:t>Annex A</w:t>
    </w:r>
  </w:p>
  <w:p w:rsidR="00437150" w:rsidRDefault="00437150" w:rsidP="00695D70">
    <w:pPr>
      <w:pStyle w:val="Header"/>
      <w:jc w:val="center"/>
    </w:pPr>
  </w:p>
  <w:sdt>
    <w:sdtPr>
      <w:alias w:val="Protective Marking"/>
      <w:tag w:val="Protective Marking"/>
      <w:id w:val="1657333160"/>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437150" w:rsidRDefault="00437150" w:rsidP="00695D70">
        <w:pPr>
          <w:pStyle w:val="Header"/>
          <w:jc w:val="center"/>
        </w:pPr>
        <w:r>
          <w:t>OFFICIAL</w:t>
        </w:r>
      </w:p>
    </w:sdtContent>
  </w:sdt>
  <w:p w:rsidR="00437150" w:rsidRDefault="00437150" w:rsidP="00695D7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50" w:rsidRDefault="00437150">
    <w:pPr>
      <w:pStyle w:val="Header"/>
    </w:pPr>
  </w:p>
  <w:p w:rsidR="00437150" w:rsidRPr="00EA0535" w:rsidRDefault="00437150" w:rsidP="00EA0535">
    <w:pPr>
      <w:pStyle w:val="Header"/>
      <w:jc w:val="right"/>
      <w:rPr>
        <w:color w:val="0072C6" w:themeColor="text2"/>
      </w:rPr>
    </w:pPr>
    <w:r w:rsidRPr="00EA0535">
      <w:rPr>
        <w:color w:val="0072C6" w:themeColor="text2"/>
      </w:rPr>
      <w:t>Annex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91E"/>
    <w:multiLevelType w:val="hybridMultilevel"/>
    <w:tmpl w:val="F79CAA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DC35B3"/>
    <w:multiLevelType w:val="hybridMultilevel"/>
    <w:tmpl w:val="BE7E7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4B59FA"/>
    <w:multiLevelType w:val="hybridMultilevel"/>
    <w:tmpl w:val="B26EB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2D130DB"/>
    <w:multiLevelType w:val="hybridMultilevel"/>
    <w:tmpl w:val="64244450"/>
    <w:lvl w:ilvl="0" w:tplc="FA5409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D36AC2"/>
    <w:multiLevelType w:val="hybridMultilevel"/>
    <w:tmpl w:val="98244472"/>
    <w:lvl w:ilvl="0" w:tplc="08090001">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4167507"/>
    <w:multiLevelType w:val="hybridMultilevel"/>
    <w:tmpl w:val="76306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45A3050"/>
    <w:multiLevelType w:val="hybridMultilevel"/>
    <w:tmpl w:val="47C6EA3C"/>
    <w:lvl w:ilvl="0" w:tplc="C6B47FE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1353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7259F1"/>
    <w:multiLevelType w:val="hybridMultilevel"/>
    <w:tmpl w:val="71C881E6"/>
    <w:lvl w:ilvl="0" w:tplc="EF4854C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8E9160C"/>
    <w:multiLevelType w:val="hybridMultilevel"/>
    <w:tmpl w:val="0E48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B100CA"/>
    <w:multiLevelType w:val="hybridMultilevel"/>
    <w:tmpl w:val="FFE219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701660"/>
    <w:multiLevelType w:val="hybridMultilevel"/>
    <w:tmpl w:val="0848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9B593D"/>
    <w:multiLevelType w:val="hybridMultilevel"/>
    <w:tmpl w:val="7730FE6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9F06C5"/>
    <w:multiLevelType w:val="hybridMultilevel"/>
    <w:tmpl w:val="C5B89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017785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10061E5"/>
    <w:multiLevelType w:val="hybridMultilevel"/>
    <w:tmpl w:val="2A88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2E3424"/>
    <w:multiLevelType w:val="hybridMultilevel"/>
    <w:tmpl w:val="E8BC0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3874DF6"/>
    <w:multiLevelType w:val="hybridMultilevel"/>
    <w:tmpl w:val="F87E9B62"/>
    <w:lvl w:ilvl="0" w:tplc="93721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1C0CEF"/>
    <w:multiLevelType w:val="hybridMultilevel"/>
    <w:tmpl w:val="47C6EA3C"/>
    <w:lvl w:ilvl="0" w:tplc="C6B47FE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53D01D1"/>
    <w:multiLevelType w:val="hybridMultilevel"/>
    <w:tmpl w:val="C2D027F0"/>
    <w:lvl w:ilvl="0" w:tplc="53A681B0">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153E1CC9"/>
    <w:multiLevelType w:val="hybridMultilevel"/>
    <w:tmpl w:val="BE3A53AA"/>
    <w:lvl w:ilvl="0" w:tplc="501CC42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15D656E9"/>
    <w:multiLevelType w:val="hybridMultilevel"/>
    <w:tmpl w:val="859C50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162F4E02"/>
    <w:multiLevelType w:val="hybridMultilevel"/>
    <w:tmpl w:val="F450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88E4151"/>
    <w:multiLevelType w:val="hybridMultilevel"/>
    <w:tmpl w:val="F87E9B62"/>
    <w:lvl w:ilvl="0" w:tplc="93721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93D7F5B"/>
    <w:multiLevelType w:val="hybridMultilevel"/>
    <w:tmpl w:val="FE360AB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941002B"/>
    <w:multiLevelType w:val="hybridMultilevel"/>
    <w:tmpl w:val="4286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950576B"/>
    <w:multiLevelType w:val="hybridMultilevel"/>
    <w:tmpl w:val="F87E9B62"/>
    <w:lvl w:ilvl="0" w:tplc="93721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A3E6116"/>
    <w:multiLevelType w:val="hybridMultilevel"/>
    <w:tmpl w:val="9C32C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1AF25F1D"/>
    <w:multiLevelType w:val="hybridMultilevel"/>
    <w:tmpl w:val="A72E2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C1469FA"/>
    <w:multiLevelType w:val="hybridMultilevel"/>
    <w:tmpl w:val="52A29900"/>
    <w:lvl w:ilvl="0" w:tplc="08090001">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30">
    <w:nsid w:val="1C3D0B92"/>
    <w:multiLevelType w:val="hybridMultilevel"/>
    <w:tmpl w:val="20C81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1C6A4D4D"/>
    <w:multiLevelType w:val="hybridMultilevel"/>
    <w:tmpl w:val="40BA8774"/>
    <w:lvl w:ilvl="0" w:tplc="FCCCAED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DD70B58"/>
    <w:multiLevelType w:val="hybridMultilevel"/>
    <w:tmpl w:val="24485426"/>
    <w:lvl w:ilvl="0" w:tplc="8C88A86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1E28191B"/>
    <w:multiLevelType w:val="hybridMultilevel"/>
    <w:tmpl w:val="B3E0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E8E6DD6"/>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22A37830"/>
    <w:multiLevelType w:val="hybridMultilevel"/>
    <w:tmpl w:val="C90086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22CA69E2"/>
    <w:multiLevelType w:val="hybridMultilevel"/>
    <w:tmpl w:val="A030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4340975"/>
    <w:multiLevelType w:val="hybridMultilevel"/>
    <w:tmpl w:val="F4F0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44E0BD9"/>
    <w:multiLevelType w:val="multilevel"/>
    <w:tmpl w:val="ED36B610"/>
    <w:lvl w:ilvl="0">
      <w:start w:val="1"/>
      <w:numFmt w:val="decimal"/>
      <w:pStyle w:val="Heading1"/>
      <w:lvlText w:val="%1."/>
      <w:lvlJc w:val="left"/>
      <w:pPr>
        <w:ind w:left="360" w:hanging="360"/>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nsid w:val="248D61C3"/>
    <w:multiLevelType w:val="hybridMultilevel"/>
    <w:tmpl w:val="99666BA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0">
    <w:nsid w:val="26357643"/>
    <w:multiLevelType w:val="hybridMultilevel"/>
    <w:tmpl w:val="567409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6A65586"/>
    <w:multiLevelType w:val="hybridMultilevel"/>
    <w:tmpl w:val="39C810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29DD34E8"/>
    <w:multiLevelType w:val="hybridMultilevel"/>
    <w:tmpl w:val="7A7677CA"/>
    <w:lvl w:ilvl="0" w:tplc="564881C8">
      <w:start w:val="2017"/>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B1C04A1"/>
    <w:multiLevelType w:val="hybridMultilevel"/>
    <w:tmpl w:val="B2329A72"/>
    <w:lvl w:ilvl="0" w:tplc="AC6077D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C2C3DFE"/>
    <w:multiLevelType w:val="hybridMultilevel"/>
    <w:tmpl w:val="D9F637BE"/>
    <w:lvl w:ilvl="0" w:tplc="C412A154">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2CD530D9"/>
    <w:multiLevelType w:val="hybridMultilevel"/>
    <w:tmpl w:val="65CCB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2DEE4CA3"/>
    <w:multiLevelType w:val="hybridMultilevel"/>
    <w:tmpl w:val="F22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F550772"/>
    <w:multiLevelType w:val="hybridMultilevel"/>
    <w:tmpl w:val="7708F7D4"/>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312F0AE4"/>
    <w:multiLevelType w:val="hybridMultilevel"/>
    <w:tmpl w:val="F87E9B62"/>
    <w:lvl w:ilvl="0" w:tplc="937217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1F94F28"/>
    <w:multiLevelType w:val="hybridMultilevel"/>
    <w:tmpl w:val="112AEEFC"/>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50">
    <w:nsid w:val="3383629F"/>
    <w:multiLevelType w:val="hybridMultilevel"/>
    <w:tmpl w:val="B950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4931E7E"/>
    <w:multiLevelType w:val="hybridMultilevel"/>
    <w:tmpl w:val="EE8E7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5A36502"/>
    <w:multiLevelType w:val="hybridMultilevel"/>
    <w:tmpl w:val="D29E7C0C"/>
    <w:lvl w:ilvl="0" w:tplc="52284636">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7D47EBE"/>
    <w:multiLevelType w:val="hybridMultilevel"/>
    <w:tmpl w:val="133E7E8C"/>
    <w:lvl w:ilvl="0" w:tplc="AC6077D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37FC73AE"/>
    <w:multiLevelType w:val="hybridMultilevel"/>
    <w:tmpl w:val="4BD0E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8A30919"/>
    <w:multiLevelType w:val="hybridMultilevel"/>
    <w:tmpl w:val="4410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8F133D4"/>
    <w:multiLevelType w:val="hybridMultilevel"/>
    <w:tmpl w:val="C6FC6B42"/>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3A7D1CAD"/>
    <w:multiLevelType w:val="hybridMultilevel"/>
    <w:tmpl w:val="D6EE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B2E1861"/>
    <w:multiLevelType w:val="hybridMultilevel"/>
    <w:tmpl w:val="06DA2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CB81ECC"/>
    <w:multiLevelType w:val="hybridMultilevel"/>
    <w:tmpl w:val="519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D290141"/>
    <w:multiLevelType w:val="hybridMultilevel"/>
    <w:tmpl w:val="47C6EA3C"/>
    <w:lvl w:ilvl="0" w:tplc="C6B47FE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D5533CD"/>
    <w:multiLevelType w:val="hybridMultilevel"/>
    <w:tmpl w:val="8AB242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179"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DCE4654"/>
    <w:multiLevelType w:val="hybridMultilevel"/>
    <w:tmpl w:val="49C6B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3E5625E1"/>
    <w:multiLevelType w:val="hybridMultilevel"/>
    <w:tmpl w:val="19948984"/>
    <w:lvl w:ilvl="0" w:tplc="D4BA965E">
      <w:start w:val="1"/>
      <w:numFmt w:val="decimal"/>
      <w:lvlText w:val="%1."/>
      <w:lvlJc w:val="left"/>
      <w:pPr>
        <w:ind w:left="720" w:hanging="360"/>
      </w:pPr>
      <w:rPr>
        <w:rFonts w:eastAsia="HGSMinchoE"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EA464F8"/>
    <w:multiLevelType w:val="hybridMultilevel"/>
    <w:tmpl w:val="766CA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3ED6671E"/>
    <w:multiLevelType w:val="hybridMultilevel"/>
    <w:tmpl w:val="4594B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42C82CBE"/>
    <w:multiLevelType w:val="hybridMultilevel"/>
    <w:tmpl w:val="75EC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332205A"/>
    <w:multiLevelType w:val="hybridMultilevel"/>
    <w:tmpl w:val="ACAC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4715A41"/>
    <w:multiLevelType w:val="hybridMultilevel"/>
    <w:tmpl w:val="65947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458000AF"/>
    <w:multiLevelType w:val="hybridMultilevel"/>
    <w:tmpl w:val="2E1E8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458E2022"/>
    <w:multiLevelType w:val="hybridMultilevel"/>
    <w:tmpl w:val="A7560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463A6325"/>
    <w:multiLevelType w:val="hybridMultilevel"/>
    <w:tmpl w:val="F66EA000"/>
    <w:lvl w:ilvl="0" w:tplc="A16ACBE4">
      <w:start w:val="1"/>
      <w:numFmt w:val="bullet"/>
      <w:lvlText w:val="-"/>
      <w:lvlJc w:val="left"/>
      <w:pPr>
        <w:tabs>
          <w:tab w:val="num" w:pos="720"/>
        </w:tabs>
        <w:ind w:left="720" w:hanging="360"/>
      </w:pPr>
      <w:rPr>
        <w:rFonts w:ascii="Times" w:hAnsi="Times" w:hint="default"/>
      </w:rPr>
    </w:lvl>
    <w:lvl w:ilvl="1" w:tplc="9E5C9F0C">
      <w:start w:val="1"/>
      <w:numFmt w:val="decimal"/>
      <w:lvlText w:val="%2."/>
      <w:lvlJc w:val="left"/>
      <w:pPr>
        <w:ind w:left="1440" w:hanging="360"/>
      </w:pPr>
      <w:rPr>
        <w:rFonts w:hint="default"/>
      </w:rPr>
    </w:lvl>
    <w:lvl w:ilvl="2" w:tplc="0409000F">
      <w:start w:val="1"/>
      <w:numFmt w:val="decimal"/>
      <w:lvlText w:val="%3."/>
      <w:lvlJc w:val="left"/>
      <w:pPr>
        <w:ind w:left="1440" w:hanging="360"/>
      </w:pPr>
      <w:rPr>
        <w:rFonts w:hint="default"/>
      </w:rPr>
    </w:lvl>
    <w:lvl w:ilvl="3" w:tplc="037E499E" w:tentative="1">
      <w:start w:val="1"/>
      <w:numFmt w:val="bullet"/>
      <w:lvlText w:val="-"/>
      <w:lvlJc w:val="left"/>
      <w:pPr>
        <w:tabs>
          <w:tab w:val="num" w:pos="2880"/>
        </w:tabs>
        <w:ind w:left="2880" w:hanging="360"/>
      </w:pPr>
      <w:rPr>
        <w:rFonts w:ascii="Times" w:hAnsi="Times" w:hint="default"/>
      </w:rPr>
    </w:lvl>
    <w:lvl w:ilvl="4" w:tplc="8B34CCB8" w:tentative="1">
      <w:start w:val="1"/>
      <w:numFmt w:val="bullet"/>
      <w:lvlText w:val="-"/>
      <w:lvlJc w:val="left"/>
      <w:pPr>
        <w:tabs>
          <w:tab w:val="num" w:pos="3600"/>
        </w:tabs>
        <w:ind w:left="3600" w:hanging="360"/>
      </w:pPr>
      <w:rPr>
        <w:rFonts w:ascii="Times" w:hAnsi="Times" w:hint="default"/>
      </w:rPr>
    </w:lvl>
    <w:lvl w:ilvl="5" w:tplc="302A1B3A" w:tentative="1">
      <w:start w:val="1"/>
      <w:numFmt w:val="bullet"/>
      <w:lvlText w:val="-"/>
      <w:lvlJc w:val="left"/>
      <w:pPr>
        <w:tabs>
          <w:tab w:val="num" w:pos="4320"/>
        </w:tabs>
        <w:ind w:left="4320" w:hanging="360"/>
      </w:pPr>
      <w:rPr>
        <w:rFonts w:ascii="Times" w:hAnsi="Times" w:hint="default"/>
      </w:rPr>
    </w:lvl>
    <w:lvl w:ilvl="6" w:tplc="DF72BDC8" w:tentative="1">
      <w:start w:val="1"/>
      <w:numFmt w:val="bullet"/>
      <w:lvlText w:val="-"/>
      <w:lvlJc w:val="left"/>
      <w:pPr>
        <w:tabs>
          <w:tab w:val="num" w:pos="5040"/>
        </w:tabs>
        <w:ind w:left="5040" w:hanging="360"/>
      </w:pPr>
      <w:rPr>
        <w:rFonts w:ascii="Times" w:hAnsi="Times" w:hint="default"/>
      </w:rPr>
    </w:lvl>
    <w:lvl w:ilvl="7" w:tplc="32044C9E" w:tentative="1">
      <w:start w:val="1"/>
      <w:numFmt w:val="bullet"/>
      <w:lvlText w:val="-"/>
      <w:lvlJc w:val="left"/>
      <w:pPr>
        <w:tabs>
          <w:tab w:val="num" w:pos="5760"/>
        </w:tabs>
        <w:ind w:left="5760" w:hanging="360"/>
      </w:pPr>
      <w:rPr>
        <w:rFonts w:ascii="Times" w:hAnsi="Times" w:hint="default"/>
      </w:rPr>
    </w:lvl>
    <w:lvl w:ilvl="8" w:tplc="9814B29E" w:tentative="1">
      <w:start w:val="1"/>
      <w:numFmt w:val="bullet"/>
      <w:lvlText w:val="-"/>
      <w:lvlJc w:val="left"/>
      <w:pPr>
        <w:tabs>
          <w:tab w:val="num" w:pos="6480"/>
        </w:tabs>
        <w:ind w:left="6480" w:hanging="360"/>
      </w:pPr>
      <w:rPr>
        <w:rFonts w:ascii="Times" w:hAnsi="Times" w:hint="default"/>
      </w:rPr>
    </w:lvl>
  </w:abstractNum>
  <w:abstractNum w:abstractNumId="72">
    <w:nsid w:val="468763CA"/>
    <w:multiLevelType w:val="hybridMultilevel"/>
    <w:tmpl w:val="C4D228FA"/>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3">
    <w:nsid w:val="47235D59"/>
    <w:multiLevelType w:val="hybridMultilevel"/>
    <w:tmpl w:val="51B60F0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74">
    <w:nsid w:val="47D0414A"/>
    <w:multiLevelType w:val="hybridMultilevel"/>
    <w:tmpl w:val="BDDE699C"/>
    <w:lvl w:ilvl="0" w:tplc="FF5871FC">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nsid w:val="48DD07F5"/>
    <w:multiLevelType w:val="hybridMultilevel"/>
    <w:tmpl w:val="CF2A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9EC1D3C"/>
    <w:multiLevelType w:val="hybridMultilevel"/>
    <w:tmpl w:val="75BC1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4E9B63EE"/>
    <w:multiLevelType w:val="hybridMultilevel"/>
    <w:tmpl w:val="0AD86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50A3323A"/>
    <w:multiLevelType w:val="hybridMultilevel"/>
    <w:tmpl w:val="D6EE1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0A624CE"/>
    <w:multiLevelType w:val="hybridMultilevel"/>
    <w:tmpl w:val="69D0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0FC1E0A"/>
    <w:multiLevelType w:val="hybridMultilevel"/>
    <w:tmpl w:val="53C4F960"/>
    <w:lvl w:ilvl="0" w:tplc="FDE61520">
      <w:start w:val="1"/>
      <w:numFmt w:val="bullet"/>
      <w:lvlText w:val="-"/>
      <w:lvlJc w:val="left"/>
      <w:pPr>
        <w:tabs>
          <w:tab w:val="num" w:pos="720"/>
        </w:tabs>
        <w:ind w:left="720" w:hanging="360"/>
      </w:pPr>
      <w:rPr>
        <w:rFonts w:ascii="Times" w:hAnsi="Times" w:hint="default"/>
      </w:rPr>
    </w:lvl>
    <w:lvl w:ilvl="1" w:tplc="0409000F">
      <w:start w:val="1"/>
      <w:numFmt w:val="decimal"/>
      <w:lvlText w:val="%2."/>
      <w:lvlJc w:val="left"/>
      <w:pPr>
        <w:ind w:left="1440" w:hanging="360"/>
      </w:pPr>
      <w:rPr>
        <w:rFonts w:hint="default"/>
      </w:rPr>
    </w:lvl>
    <w:lvl w:ilvl="2" w:tplc="C9264564" w:tentative="1">
      <w:start w:val="1"/>
      <w:numFmt w:val="bullet"/>
      <w:lvlText w:val="-"/>
      <w:lvlJc w:val="left"/>
      <w:pPr>
        <w:tabs>
          <w:tab w:val="num" w:pos="2160"/>
        </w:tabs>
        <w:ind w:left="2160" w:hanging="360"/>
      </w:pPr>
      <w:rPr>
        <w:rFonts w:ascii="Times" w:hAnsi="Times" w:hint="default"/>
      </w:rPr>
    </w:lvl>
    <w:lvl w:ilvl="3" w:tplc="5C3267D2" w:tentative="1">
      <w:start w:val="1"/>
      <w:numFmt w:val="bullet"/>
      <w:lvlText w:val="-"/>
      <w:lvlJc w:val="left"/>
      <w:pPr>
        <w:tabs>
          <w:tab w:val="num" w:pos="2880"/>
        </w:tabs>
        <w:ind w:left="2880" w:hanging="360"/>
      </w:pPr>
      <w:rPr>
        <w:rFonts w:ascii="Times" w:hAnsi="Times" w:hint="default"/>
      </w:rPr>
    </w:lvl>
    <w:lvl w:ilvl="4" w:tplc="50DA4F34" w:tentative="1">
      <w:start w:val="1"/>
      <w:numFmt w:val="bullet"/>
      <w:lvlText w:val="-"/>
      <w:lvlJc w:val="left"/>
      <w:pPr>
        <w:tabs>
          <w:tab w:val="num" w:pos="3600"/>
        </w:tabs>
        <w:ind w:left="3600" w:hanging="360"/>
      </w:pPr>
      <w:rPr>
        <w:rFonts w:ascii="Times" w:hAnsi="Times" w:hint="default"/>
      </w:rPr>
    </w:lvl>
    <w:lvl w:ilvl="5" w:tplc="DD00DD32" w:tentative="1">
      <w:start w:val="1"/>
      <w:numFmt w:val="bullet"/>
      <w:lvlText w:val="-"/>
      <w:lvlJc w:val="left"/>
      <w:pPr>
        <w:tabs>
          <w:tab w:val="num" w:pos="4320"/>
        </w:tabs>
        <w:ind w:left="4320" w:hanging="360"/>
      </w:pPr>
      <w:rPr>
        <w:rFonts w:ascii="Times" w:hAnsi="Times" w:hint="default"/>
      </w:rPr>
    </w:lvl>
    <w:lvl w:ilvl="6" w:tplc="667E7AE8" w:tentative="1">
      <w:start w:val="1"/>
      <w:numFmt w:val="bullet"/>
      <w:lvlText w:val="-"/>
      <w:lvlJc w:val="left"/>
      <w:pPr>
        <w:tabs>
          <w:tab w:val="num" w:pos="5040"/>
        </w:tabs>
        <w:ind w:left="5040" w:hanging="360"/>
      </w:pPr>
      <w:rPr>
        <w:rFonts w:ascii="Times" w:hAnsi="Times" w:hint="default"/>
      </w:rPr>
    </w:lvl>
    <w:lvl w:ilvl="7" w:tplc="743A4370" w:tentative="1">
      <w:start w:val="1"/>
      <w:numFmt w:val="bullet"/>
      <w:lvlText w:val="-"/>
      <w:lvlJc w:val="left"/>
      <w:pPr>
        <w:tabs>
          <w:tab w:val="num" w:pos="5760"/>
        </w:tabs>
        <w:ind w:left="5760" w:hanging="360"/>
      </w:pPr>
      <w:rPr>
        <w:rFonts w:ascii="Times" w:hAnsi="Times" w:hint="default"/>
      </w:rPr>
    </w:lvl>
    <w:lvl w:ilvl="8" w:tplc="ADB23026" w:tentative="1">
      <w:start w:val="1"/>
      <w:numFmt w:val="bullet"/>
      <w:lvlText w:val="-"/>
      <w:lvlJc w:val="left"/>
      <w:pPr>
        <w:tabs>
          <w:tab w:val="num" w:pos="6480"/>
        </w:tabs>
        <w:ind w:left="6480" w:hanging="360"/>
      </w:pPr>
      <w:rPr>
        <w:rFonts w:ascii="Times" w:hAnsi="Times" w:hint="default"/>
      </w:rPr>
    </w:lvl>
  </w:abstractNum>
  <w:abstractNum w:abstractNumId="81">
    <w:nsid w:val="53385ED0"/>
    <w:multiLevelType w:val="hybridMultilevel"/>
    <w:tmpl w:val="8EA4A5E0"/>
    <w:lvl w:ilvl="0" w:tplc="08090017">
      <w:start w:val="1"/>
      <w:numFmt w:val="lowerLetter"/>
      <w:lvlText w:val="%1)"/>
      <w:lvlJc w:val="left"/>
      <w:pPr>
        <w:ind w:left="360" w:hanging="360"/>
      </w:pPr>
      <w:rPr>
        <w:rFonts w:hint="default"/>
      </w:rPr>
    </w:lvl>
    <w:lvl w:ilvl="1" w:tplc="EE56D936">
      <w:start w:val="1"/>
      <w:numFmt w:val="lowerRoman"/>
      <w:lvlText w:val="%2."/>
      <w:lvlJc w:val="left"/>
      <w:pPr>
        <w:ind w:left="1440" w:hanging="72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54411505"/>
    <w:multiLevelType w:val="hybridMultilevel"/>
    <w:tmpl w:val="03F05D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55AA2DE9"/>
    <w:multiLevelType w:val="hybridMultilevel"/>
    <w:tmpl w:val="1E58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5F6156E"/>
    <w:multiLevelType w:val="hybridMultilevel"/>
    <w:tmpl w:val="8F2C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6F11941"/>
    <w:multiLevelType w:val="hybridMultilevel"/>
    <w:tmpl w:val="FFE219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58BB4013"/>
    <w:multiLevelType w:val="hybridMultilevel"/>
    <w:tmpl w:val="B856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94158B1"/>
    <w:multiLevelType w:val="hybridMultilevel"/>
    <w:tmpl w:val="FD044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5A4C52C6"/>
    <w:multiLevelType w:val="hybridMultilevel"/>
    <w:tmpl w:val="9744838A"/>
    <w:lvl w:ilvl="0" w:tplc="774AF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5C155E29"/>
    <w:multiLevelType w:val="hybridMultilevel"/>
    <w:tmpl w:val="453E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5CAD35A8"/>
    <w:multiLevelType w:val="hybridMultilevel"/>
    <w:tmpl w:val="D21C042A"/>
    <w:lvl w:ilvl="0" w:tplc="205E3F7C">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5D4140B1"/>
    <w:multiLevelType w:val="hybridMultilevel"/>
    <w:tmpl w:val="F384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5E181A69"/>
    <w:multiLevelType w:val="hybridMultilevel"/>
    <w:tmpl w:val="4CBA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E616DDE"/>
    <w:multiLevelType w:val="hybridMultilevel"/>
    <w:tmpl w:val="8A985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5E8F5581"/>
    <w:multiLevelType w:val="hybridMultilevel"/>
    <w:tmpl w:val="B5BA4D6C"/>
    <w:lvl w:ilvl="0" w:tplc="443C2D66">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nsid w:val="611E087A"/>
    <w:multiLevelType w:val="hybridMultilevel"/>
    <w:tmpl w:val="A1B6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1EC549D"/>
    <w:multiLevelType w:val="hybridMultilevel"/>
    <w:tmpl w:val="1772C430"/>
    <w:lvl w:ilvl="0" w:tplc="08090001">
      <w:start w:val="1"/>
      <w:numFmt w:val="bullet"/>
      <w:lvlText w:val=""/>
      <w:lvlJc w:val="left"/>
      <w:pPr>
        <w:ind w:left="-404" w:hanging="360"/>
      </w:pPr>
      <w:rPr>
        <w:rFonts w:ascii="Symbol" w:hAnsi="Symbol" w:hint="default"/>
      </w:rPr>
    </w:lvl>
    <w:lvl w:ilvl="1" w:tplc="08090003" w:tentative="1">
      <w:start w:val="1"/>
      <w:numFmt w:val="bullet"/>
      <w:lvlText w:val="o"/>
      <w:lvlJc w:val="left"/>
      <w:pPr>
        <w:ind w:left="316" w:hanging="360"/>
      </w:pPr>
      <w:rPr>
        <w:rFonts w:ascii="Courier New" w:hAnsi="Courier New" w:cs="Courier New" w:hint="default"/>
      </w:rPr>
    </w:lvl>
    <w:lvl w:ilvl="2" w:tplc="08090005" w:tentative="1">
      <w:start w:val="1"/>
      <w:numFmt w:val="bullet"/>
      <w:lvlText w:val=""/>
      <w:lvlJc w:val="left"/>
      <w:pPr>
        <w:ind w:left="1036" w:hanging="360"/>
      </w:pPr>
      <w:rPr>
        <w:rFonts w:ascii="Wingdings" w:hAnsi="Wingdings" w:hint="default"/>
      </w:rPr>
    </w:lvl>
    <w:lvl w:ilvl="3" w:tplc="08090001" w:tentative="1">
      <w:start w:val="1"/>
      <w:numFmt w:val="bullet"/>
      <w:lvlText w:val=""/>
      <w:lvlJc w:val="left"/>
      <w:pPr>
        <w:ind w:left="1756" w:hanging="360"/>
      </w:pPr>
      <w:rPr>
        <w:rFonts w:ascii="Symbol" w:hAnsi="Symbol" w:hint="default"/>
      </w:rPr>
    </w:lvl>
    <w:lvl w:ilvl="4" w:tplc="08090003" w:tentative="1">
      <w:start w:val="1"/>
      <w:numFmt w:val="bullet"/>
      <w:lvlText w:val="o"/>
      <w:lvlJc w:val="left"/>
      <w:pPr>
        <w:ind w:left="2476" w:hanging="360"/>
      </w:pPr>
      <w:rPr>
        <w:rFonts w:ascii="Courier New" w:hAnsi="Courier New" w:cs="Courier New" w:hint="default"/>
      </w:rPr>
    </w:lvl>
    <w:lvl w:ilvl="5" w:tplc="08090005" w:tentative="1">
      <w:start w:val="1"/>
      <w:numFmt w:val="bullet"/>
      <w:lvlText w:val=""/>
      <w:lvlJc w:val="left"/>
      <w:pPr>
        <w:ind w:left="3196" w:hanging="360"/>
      </w:pPr>
      <w:rPr>
        <w:rFonts w:ascii="Wingdings" w:hAnsi="Wingdings" w:hint="default"/>
      </w:rPr>
    </w:lvl>
    <w:lvl w:ilvl="6" w:tplc="08090001" w:tentative="1">
      <w:start w:val="1"/>
      <w:numFmt w:val="bullet"/>
      <w:lvlText w:val=""/>
      <w:lvlJc w:val="left"/>
      <w:pPr>
        <w:ind w:left="3916" w:hanging="360"/>
      </w:pPr>
      <w:rPr>
        <w:rFonts w:ascii="Symbol" w:hAnsi="Symbol" w:hint="default"/>
      </w:rPr>
    </w:lvl>
    <w:lvl w:ilvl="7" w:tplc="08090003" w:tentative="1">
      <w:start w:val="1"/>
      <w:numFmt w:val="bullet"/>
      <w:lvlText w:val="o"/>
      <w:lvlJc w:val="left"/>
      <w:pPr>
        <w:ind w:left="4636" w:hanging="360"/>
      </w:pPr>
      <w:rPr>
        <w:rFonts w:ascii="Courier New" w:hAnsi="Courier New" w:cs="Courier New" w:hint="default"/>
      </w:rPr>
    </w:lvl>
    <w:lvl w:ilvl="8" w:tplc="08090005" w:tentative="1">
      <w:start w:val="1"/>
      <w:numFmt w:val="bullet"/>
      <w:lvlText w:val=""/>
      <w:lvlJc w:val="left"/>
      <w:pPr>
        <w:ind w:left="5356" w:hanging="360"/>
      </w:pPr>
      <w:rPr>
        <w:rFonts w:ascii="Wingdings" w:hAnsi="Wingdings" w:hint="default"/>
      </w:rPr>
    </w:lvl>
  </w:abstractNum>
  <w:abstractNum w:abstractNumId="97">
    <w:nsid w:val="627A3036"/>
    <w:multiLevelType w:val="hybridMultilevel"/>
    <w:tmpl w:val="1444C5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nsid w:val="6285662A"/>
    <w:multiLevelType w:val="hybridMultilevel"/>
    <w:tmpl w:val="3312BF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9">
    <w:nsid w:val="62D856C9"/>
    <w:multiLevelType w:val="hybridMultilevel"/>
    <w:tmpl w:val="9AAAFB48"/>
    <w:lvl w:ilvl="0" w:tplc="BB0684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638A6221"/>
    <w:multiLevelType w:val="hybridMultilevel"/>
    <w:tmpl w:val="3C42FF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65792801"/>
    <w:multiLevelType w:val="hybridMultilevel"/>
    <w:tmpl w:val="1090E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65B644BA"/>
    <w:multiLevelType w:val="hybridMultilevel"/>
    <w:tmpl w:val="EE14F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nsid w:val="66272C49"/>
    <w:multiLevelType w:val="hybridMultilevel"/>
    <w:tmpl w:val="52FE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6E77564"/>
    <w:multiLevelType w:val="hybridMultilevel"/>
    <w:tmpl w:val="AC16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67810DCF"/>
    <w:multiLevelType w:val="hybridMultilevel"/>
    <w:tmpl w:val="E9866C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nsid w:val="67C06B69"/>
    <w:multiLevelType w:val="hybridMultilevel"/>
    <w:tmpl w:val="00F05AB8"/>
    <w:lvl w:ilvl="0" w:tplc="382C7716">
      <w:numFmt w:val="bullet"/>
      <w:lvlText w:val=""/>
      <w:lvlJc w:val="left"/>
      <w:pPr>
        <w:ind w:left="720" w:hanging="360"/>
      </w:pPr>
      <w:rPr>
        <w:rFonts w:ascii="Symbol" w:eastAsia="HGSMinchoE"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69756980"/>
    <w:multiLevelType w:val="hybridMultilevel"/>
    <w:tmpl w:val="9AAAFB48"/>
    <w:lvl w:ilvl="0" w:tplc="BB0684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9AD5DE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6B8236FD"/>
    <w:multiLevelType w:val="hybridMultilevel"/>
    <w:tmpl w:val="9F6206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nsid w:val="6B945D69"/>
    <w:multiLevelType w:val="hybridMultilevel"/>
    <w:tmpl w:val="2FB6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6BDB118E"/>
    <w:multiLevelType w:val="hybridMultilevel"/>
    <w:tmpl w:val="8526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6D4D609F"/>
    <w:multiLevelType w:val="hybridMultilevel"/>
    <w:tmpl w:val="71C881E6"/>
    <w:lvl w:ilvl="0" w:tplc="EF4854C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6DAF2E58"/>
    <w:multiLevelType w:val="hybridMultilevel"/>
    <w:tmpl w:val="4280B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6E6564BE"/>
    <w:multiLevelType w:val="hybridMultilevel"/>
    <w:tmpl w:val="1A8CE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nsid w:val="6FAC6F7E"/>
    <w:multiLevelType w:val="multilevel"/>
    <w:tmpl w:val="08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6FCC41C9"/>
    <w:multiLevelType w:val="hybridMultilevel"/>
    <w:tmpl w:val="AE08D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nsid w:val="708458C3"/>
    <w:multiLevelType w:val="hybridMultilevel"/>
    <w:tmpl w:val="F580C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nsid w:val="725905CD"/>
    <w:multiLevelType w:val="hybridMultilevel"/>
    <w:tmpl w:val="D3D0854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726D0B00"/>
    <w:multiLevelType w:val="hybridMultilevel"/>
    <w:tmpl w:val="6ACA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7285342E"/>
    <w:multiLevelType w:val="hybridMultilevel"/>
    <w:tmpl w:val="47C6EA3C"/>
    <w:lvl w:ilvl="0" w:tplc="C6B47FE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74A11BD7"/>
    <w:multiLevelType w:val="hybridMultilevel"/>
    <w:tmpl w:val="9B14F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2">
    <w:nsid w:val="766C57A7"/>
    <w:multiLevelType w:val="hybridMultilevel"/>
    <w:tmpl w:val="BB72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76E456A0"/>
    <w:multiLevelType w:val="hybridMultilevel"/>
    <w:tmpl w:val="1C88D0E8"/>
    <w:lvl w:ilvl="0" w:tplc="08090001">
      <w:start w:val="1"/>
      <w:numFmt w:val="bullet"/>
      <w:lvlText w:val=""/>
      <w:lvlJc w:val="left"/>
      <w:pPr>
        <w:ind w:left="9" w:hanging="360"/>
      </w:pPr>
      <w:rPr>
        <w:rFonts w:ascii="Symbol" w:hAnsi="Symbol" w:hint="default"/>
      </w:rPr>
    </w:lvl>
    <w:lvl w:ilvl="1" w:tplc="08090003" w:tentative="1">
      <w:start w:val="1"/>
      <w:numFmt w:val="bullet"/>
      <w:lvlText w:val="o"/>
      <w:lvlJc w:val="left"/>
      <w:pPr>
        <w:ind w:left="729" w:hanging="360"/>
      </w:pPr>
      <w:rPr>
        <w:rFonts w:ascii="Courier New" w:hAnsi="Courier New" w:cs="Courier New" w:hint="default"/>
      </w:rPr>
    </w:lvl>
    <w:lvl w:ilvl="2" w:tplc="08090005" w:tentative="1">
      <w:start w:val="1"/>
      <w:numFmt w:val="bullet"/>
      <w:lvlText w:val=""/>
      <w:lvlJc w:val="left"/>
      <w:pPr>
        <w:ind w:left="1449" w:hanging="360"/>
      </w:pPr>
      <w:rPr>
        <w:rFonts w:ascii="Wingdings" w:hAnsi="Wingdings" w:hint="default"/>
      </w:rPr>
    </w:lvl>
    <w:lvl w:ilvl="3" w:tplc="08090001" w:tentative="1">
      <w:start w:val="1"/>
      <w:numFmt w:val="bullet"/>
      <w:lvlText w:val=""/>
      <w:lvlJc w:val="left"/>
      <w:pPr>
        <w:ind w:left="2169" w:hanging="360"/>
      </w:pPr>
      <w:rPr>
        <w:rFonts w:ascii="Symbol" w:hAnsi="Symbol" w:hint="default"/>
      </w:rPr>
    </w:lvl>
    <w:lvl w:ilvl="4" w:tplc="08090003" w:tentative="1">
      <w:start w:val="1"/>
      <w:numFmt w:val="bullet"/>
      <w:lvlText w:val="o"/>
      <w:lvlJc w:val="left"/>
      <w:pPr>
        <w:ind w:left="2889" w:hanging="360"/>
      </w:pPr>
      <w:rPr>
        <w:rFonts w:ascii="Courier New" w:hAnsi="Courier New" w:cs="Courier New" w:hint="default"/>
      </w:rPr>
    </w:lvl>
    <w:lvl w:ilvl="5" w:tplc="08090005" w:tentative="1">
      <w:start w:val="1"/>
      <w:numFmt w:val="bullet"/>
      <w:lvlText w:val=""/>
      <w:lvlJc w:val="left"/>
      <w:pPr>
        <w:ind w:left="3609" w:hanging="360"/>
      </w:pPr>
      <w:rPr>
        <w:rFonts w:ascii="Wingdings" w:hAnsi="Wingdings" w:hint="default"/>
      </w:rPr>
    </w:lvl>
    <w:lvl w:ilvl="6" w:tplc="08090001" w:tentative="1">
      <w:start w:val="1"/>
      <w:numFmt w:val="bullet"/>
      <w:lvlText w:val=""/>
      <w:lvlJc w:val="left"/>
      <w:pPr>
        <w:ind w:left="4329" w:hanging="360"/>
      </w:pPr>
      <w:rPr>
        <w:rFonts w:ascii="Symbol" w:hAnsi="Symbol" w:hint="default"/>
      </w:rPr>
    </w:lvl>
    <w:lvl w:ilvl="7" w:tplc="08090003" w:tentative="1">
      <w:start w:val="1"/>
      <w:numFmt w:val="bullet"/>
      <w:lvlText w:val="o"/>
      <w:lvlJc w:val="left"/>
      <w:pPr>
        <w:ind w:left="5049" w:hanging="360"/>
      </w:pPr>
      <w:rPr>
        <w:rFonts w:ascii="Courier New" w:hAnsi="Courier New" w:cs="Courier New" w:hint="default"/>
      </w:rPr>
    </w:lvl>
    <w:lvl w:ilvl="8" w:tplc="08090005" w:tentative="1">
      <w:start w:val="1"/>
      <w:numFmt w:val="bullet"/>
      <w:lvlText w:val=""/>
      <w:lvlJc w:val="left"/>
      <w:pPr>
        <w:ind w:left="5769" w:hanging="360"/>
      </w:pPr>
      <w:rPr>
        <w:rFonts w:ascii="Wingdings" w:hAnsi="Wingdings" w:hint="default"/>
      </w:rPr>
    </w:lvl>
  </w:abstractNum>
  <w:abstractNum w:abstractNumId="124">
    <w:nsid w:val="77084FA9"/>
    <w:multiLevelType w:val="hybridMultilevel"/>
    <w:tmpl w:val="74DC8E9C"/>
    <w:lvl w:ilvl="0" w:tplc="7B0AA8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770C51BB"/>
    <w:multiLevelType w:val="hybridMultilevel"/>
    <w:tmpl w:val="513CC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nsid w:val="783432DE"/>
    <w:multiLevelType w:val="hybridMultilevel"/>
    <w:tmpl w:val="6F464ECC"/>
    <w:lvl w:ilvl="0" w:tplc="FBD824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nsid w:val="79045D7A"/>
    <w:multiLevelType w:val="hybridMultilevel"/>
    <w:tmpl w:val="DA103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nsid w:val="791E548F"/>
    <w:multiLevelType w:val="hybridMultilevel"/>
    <w:tmpl w:val="6D2A4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79630CC2"/>
    <w:multiLevelType w:val="hybridMultilevel"/>
    <w:tmpl w:val="5ACE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7AEA2FD3"/>
    <w:multiLevelType w:val="hybridMultilevel"/>
    <w:tmpl w:val="4C96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7B1D621F"/>
    <w:multiLevelType w:val="hybridMultilevel"/>
    <w:tmpl w:val="FD044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7BC32AEC"/>
    <w:multiLevelType w:val="hybridMultilevel"/>
    <w:tmpl w:val="9244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7DDB7BEA"/>
    <w:multiLevelType w:val="hybridMultilevel"/>
    <w:tmpl w:val="15F4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7EB82603"/>
    <w:multiLevelType w:val="hybridMultilevel"/>
    <w:tmpl w:val="FA6E12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F176DBE"/>
    <w:multiLevelType w:val="hybridMultilevel"/>
    <w:tmpl w:val="B9C67D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nsid w:val="7F786BFE"/>
    <w:multiLevelType w:val="hybridMultilevel"/>
    <w:tmpl w:val="1AFEF89A"/>
    <w:lvl w:ilvl="0" w:tplc="0809000F">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5"/>
  </w:num>
  <w:num w:numId="2">
    <w:abstractNumId w:val="38"/>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num>
  <w:num w:numId="6">
    <w:abstractNumId w:val="3"/>
  </w:num>
  <w:num w:numId="7">
    <w:abstractNumId w:val="48"/>
  </w:num>
  <w:num w:numId="8">
    <w:abstractNumId w:val="35"/>
  </w:num>
  <w:num w:numId="9">
    <w:abstractNumId w:val="61"/>
  </w:num>
  <w:num w:numId="10">
    <w:abstractNumId w:val="105"/>
  </w:num>
  <w:num w:numId="11">
    <w:abstractNumId w:val="117"/>
  </w:num>
  <w:num w:numId="12">
    <w:abstractNumId w:val="0"/>
  </w:num>
  <w:num w:numId="13">
    <w:abstractNumId w:val="134"/>
  </w:num>
  <w:num w:numId="14">
    <w:abstractNumId w:val="70"/>
  </w:num>
  <w:num w:numId="15">
    <w:abstractNumId w:val="65"/>
  </w:num>
  <w:num w:numId="16">
    <w:abstractNumId w:val="77"/>
  </w:num>
  <w:num w:numId="17">
    <w:abstractNumId w:val="124"/>
  </w:num>
  <w:num w:numId="18">
    <w:abstractNumId w:val="59"/>
  </w:num>
  <w:num w:numId="19">
    <w:abstractNumId w:val="25"/>
  </w:num>
  <w:num w:numId="20">
    <w:abstractNumId w:val="55"/>
  </w:num>
  <w:num w:numId="21">
    <w:abstractNumId w:val="33"/>
  </w:num>
  <w:num w:numId="22">
    <w:abstractNumId w:val="46"/>
  </w:num>
  <w:num w:numId="23">
    <w:abstractNumId w:val="129"/>
  </w:num>
  <w:num w:numId="24">
    <w:abstractNumId w:val="83"/>
  </w:num>
  <w:num w:numId="25">
    <w:abstractNumId w:val="66"/>
  </w:num>
  <w:num w:numId="26">
    <w:abstractNumId w:val="107"/>
  </w:num>
  <w:num w:numId="27">
    <w:abstractNumId w:val="8"/>
  </w:num>
  <w:num w:numId="28">
    <w:abstractNumId w:val="112"/>
  </w:num>
  <w:num w:numId="29">
    <w:abstractNumId w:val="100"/>
  </w:num>
  <w:num w:numId="30">
    <w:abstractNumId w:val="73"/>
  </w:num>
  <w:num w:numId="31">
    <w:abstractNumId w:val="121"/>
  </w:num>
  <w:num w:numId="32">
    <w:abstractNumId w:val="10"/>
  </w:num>
  <w:num w:numId="33">
    <w:abstractNumId w:val="85"/>
  </w:num>
  <w:num w:numId="34">
    <w:abstractNumId w:val="127"/>
  </w:num>
  <w:num w:numId="35">
    <w:abstractNumId w:val="81"/>
  </w:num>
  <w:num w:numId="36">
    <w:abstractNumId w:val="27"/>
  </w:num>
  <w:num w:numId="37">
    <w:abstractNumId w:val="82"/>
  </w:num>
  <w:num w:numId="38">
    <w:abstractNumId w:val="104"/>
  </w:num>
  <w:num w:numId="39">
    <w:abstractNumId w:val="52"/>
  </w:num>
  <w:num w:numId="40">
    <w:abstractNumId w:val="60"/>
  </w:num>
  <w:num w:numId="41">
    <w:abstractNumId w:val="40"/>
  </w:num>
  <w:num w:numId="42">
    <w:abstractNumId w:val="31"/>
  </w:num>
  <w:num w:numId="43">
    <w:abstractNumId w:val="45"/>
  </w:num>
  <w:num w:numId="44">
    <w:abstractNumId w:val="64"/>
  </w:num>
  <w:num w:numId="45">
    <w:abstractNumId w:val="9"/>
  </w:num>
  <w:num w:numId="46">
    <w:abstractNumId w:val="49"/>
  </w:num>
  <w:num w:numId="47">
    <w:abstractNumId w:val="91"/>
  </w:num>
  <w:num w:numId="48">
    <w:abstractNumId w:val="111"/>
  </w:num>
  <w:num w:numId="49">
    <w:abstractNumId w:val="37"/>
  </w:num>
  <w:num w:numId="50">
    <w:abstractNumId w:val="76"/>
  </w:num>
  <w:num w:numId="51">
    <w:abstractNumId w:val="50"/>
  </w:num>
  <w:num w:numId="52">
    <w:abstractNumId w:val="24"/>
  </w:num>
  <w:num w:numId="53">
    <w:abstractNumId w:val="118"/>
  </w:num>
  <w:num w:numId="54">
    <w:abstractNumId w:val="5"/>
  </w:num>
  <w:num w:numId="55">
    <w:abstractNumId w:val="54"/>
  </w:num>
  <w:num w:numId="56">
    <w:abstractNumId w:val="29"/>
  </w:num>
  <w:num w:numId="57">
    <w:abstractNumId w:val="28"/>
  </w:num>
  <w:num w:numId="58">
    <w:abstractNumId w:val="43"/>
  </w:num>
  <w:num w:numId="59">
    <w:abstractNumId w:val="93"/>
  </w:num>
  <w:num w:numId="60">
    <w:abstractNumId w:val="44"/>
  </w:num>
  <w:num w:numId="61">
    <w:abstractNumId w:val="94"/>
  </w:num>
  <w:num w:numId="62">
    <w:abstractNumId w:val="53"/>
  </w:num>
  <w:num w:numId="63">
    <w:abstractNumId w:val="1"/>
  </w:num>
  <w:num w:numId="64">
    <w:abstractNumId w:val="26"/>
  </w:num>
  <w:num w:numId="65">
    <w:abstractNumId w:val="71"/>
  </w:num>
  <w:num w:numId="66">
    <w:abstractNumId w:val="80"/>
  </w:num>
  <w:num w:numId="67">
    <w:abstractNumId w:val="19"/>
  </w:num>
  <w:num w:numId="68">
    <w:abstractNumId w:val="86"/>
  </w:num>
  <w:num w:numId="69">
    <w:abstractNumId w:val="57"/>
  </w:num>
  <w:num w:numId="70">
    <w:abstractNumId w:val="92"/>
  </w:num>
  <w:num w:numId="71">
    <w:abstractNumId w:val="74"/>
  </w:num>
  <w:num w:numId="72">
    <w:abstractNumId w:val="42"/>
  </w:num>
  <w:num w:numId="73">
    <w:abstractNumId w:val="2"/>
  </w:num>
  <w:num w:numId="74">
    <w:abstractNumId w:val="114"/>
  </w:num>
  <w:num w:numId="75">
    <w:abstractNumId w:val="135"/>
  </w:num>
  <w:num w:numId="76">
    <w:abstractNumId w:val="122"/>
  </w:num>
  <w:num w:numId="77">
    <w:abstractNumId w:val="97"/>
  </w:num>
  <w:num w:numId="78">
    <w:abstractNumId w:val="123"/>
  </w:num>
  <w:num w:numId="79">
    <w:abstractNumId w:val="128"/>
  </w:num>
  <w:num w:numId="80">
    <w:abstractNumId w:val="106"/>
  </w:num>
  <w:num w:numId="81">
    <w:abstractNumId w:val="51"/>
  </w:num>
  <w:num w:numId="82">
    <w:abstractNumId w:val="132"/>
  </w:num>
  <w:num w:numId="83">
    <w:abstractNumId w:val="39"/>
  </w:num>
  <w:num w:numId="84">
    <w:abstractNumId w:val="22"/>
  </w:num>
  <w:num w:numId="85">
    <w:abstractNumId w:val="125"/>
  </w:num>
  <w:num w:numId="86">
    <w:abstractNumId w:val="36"/>
  </w:num>
  <w:num w:numId="87">
    <w:abstractNumId w:val="72"/>
  </w:num>
  <w:num w:numId="88">
    <w:abstractNumId w:val="41"/>
  </w:num>
  <w:num w:numId="89">
    <w:abstractNumId w:val="30"/>
  </w:num>
  <w:num w:numId="90">
    <w:abstractNumId w:val="58"/>
  </w:num>
  <w:num w:numId="91">
    <w:abstractNumId w:val="16"/>
  </w:num>
  <w:num w:numId="92">
    <w:abstractNumId w:val="11"/>
  </w:num>
  <w:num w:numId="93">
    <w:abstractNumId w:val="99"/>
  </w:num>
  <w:num w:numId="94">
    <w:abstractNumId w:val="96"/>
  </w:num>
  <w:num w:numId="95">
    <w:abstractNumId w:val="68"/>
  </w:num>
  <w:num w:numId="96">
    <w:abstractNumId w:val="13"/>
  </w:num>
  <w:num w:numId="97">
    <w:abstractNumId w:val="67"/>
  </w:num>
  <w:num w:numId="98">
    <w:abstractNumId w:val="131"/>
  </w:num>
  <w:num w:numId="99">
    <w:abstractNumId w:val="116"/>
  </w:num>
  <w:num w:numId="100">
    <w:abstractNumId w:val="89"/>
  </w:num>
  <w:num w:numId="101">
    <w:abstractNumId w:val="69"/>
  </w:num>
  <w:num w:numId="102">
    <w:abstractNumId w:val="87"/>
  </w:num>
  <w:num w:numId="103">
    <w:abstractNumId w:val="98"/>
  </w:num>
  <w:num w:numId="104">
    <w:abstractNumId w:val="34"/>
  </w:num>
  <w:num w:numId="105">
    <w:abstractNumId w:val="7"/>
  </w:num>
  <w:num w:numId="106">
    <w:abstractNumId w:val="109"/>
  </w:num>
  <w:num w:numId="107">
    <w:abstractNumId w:val="21"/>
  </w:num>
  <w:num w:numId="108">
    <w:abstractNumId w:val="47"/>
  </w:num>
  <w:num w:numId="109">
    <w:abstractNumId w:val="56"/>
  </w:num>
  <w:num w:numId="110">
    <w:abstractNumId w:val="136"/>
  </w:num>
  <w:num w:numId="111">
    <w:abstractNumId w:val="14"/>
  </w:num>
  <w:num w:numId="112">
    <w:abstractNumId w:val="108"/>
  </w:num>
  <w:num w:numId="113">
    <w:abstractNumId w:val="84"/>
  </w:num>
  <w:num w:numId="114">
    <w:abstractNumId w:val="78"/>
  </w:num>
  <w:num w:numId="115">
    <w:abstractNumId w:val="17"/>
  </w:num>
  <w:num w:numId="116">
    <w:abstractNumId w:val="23"/>
  </w:num>
  <w:num w:numId="117">
    <w:abstractNumId w:val="32"/>
  </w:num>
  <w:num w:numId="118">
    <w:abstractNumId w:val="18"/>
  </w:num>
  <w:num w:numId="119">
    <w:abstractNumId w:val="120"/>
  </w:num>
  <w:num w:numId="120">
    <w:abstractNumId w:val="4"/>
  </w:num>
  <w:num w:numId="121">
    <w:abstractNumId w:val="6"/>
  </w:num>
  <w:num w:numId="122">
    <w:abstractNumId w:val="113"/>
  </w:num>
  <w:num w:numId="123">
    <w:abstractNumId w:val="79"/>
  </w:num>
  <w:num w:numId="124">
    <w:abstractNumId w:val="103"/>
  </w:num>
  <w:num w:numId="125">
    <w:abstractNumId w:val="133"/>
  </w:num>
  <w:num w:numId="126">
    <w:abstractNumId w:val="130"/>
  </w:num>
  <w:num w:numId="127">
    <w:abstractNumId w:val="15"/>
  </w:num>
  <w:num w:numId="128">
    <w:abstractNumId w:val="75"/>
  </w:num>
  <w:num w:numId="129">
    <w:abstractNumId w:val="110"/>
  </w:num>
  <w:num w:numId="130">
    <w:abstractNumId w:val="88"/>
  </w:num>
  <w:num w:numId="131">
    <w:abstractNumId w:val="95"/>
  </w:num>
  <w:num w:numId="132">
    <w:abstractNumId w:val="12"/>
  </w:num>
  <w:num w:numId="133">
    <w:abstractNumId w:val="90"/>
  </w:num>
  <w:num w:numId="134">
    <w:abstractNumId w:val="62"/>
  </w:num>
  <w:num w:numId="135">
    <w:abstractNumId w:val="101"/>
  </w:num>
  <w:num w:numId="136">
    <w:abstractNumId w:val="119"/>
  </w:num>
  <w:num w:numId="137">
    <w:abstractNumId w:val="20"/>
  </w:num>
  <w:num w:numId="138">
    <w:abstractNumId w:val="102"/>
  </w:num>
  <w:num w:numId="139">
    <w:abstractNumId w:val="12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0DD5"/>
    <w:rsid w:val="0000162F"/>
    <w:rsid w:val="000210A7"/>
    <w:rsid w:val="0002174B"/>
    <w:rsid w:val="00023944"/>
    <w:rsid w:val="00031797"/>
    <w:rsid w:val="000325BD"/>
    <w:rsid w:val="000357C1"/>
    <w:rsid w:val="00040AE2"/>
    <w:rsid w:val="000419B4"/>
    <w:rsid w:val="00043D24"/>
    <w:rsid w:val="00044F86"/>
    <w:rsid w:val="0004678F"/>
    <w:rsid w:val="00047192"/>
    <w:rsid w:val="000528C7"/>
    <w:rsid w:val="00055930"/>
    <w:rsid w:val="0009592E"/>
    <w:rsid w:val="000A52F7"/>
    <w:rsid w:val="000C13F4"/>
    <w:rsid w:val="000C1762"/>
    <w:rsid w:val="000D1DA3"/>
    <w:rsid w:val="000D4728"/>
    <w:rsid w:val="000E11FB"/>
    <w:rsid w:val="000E2829"/>
    <w:rsid w:val="000E28AE"/>
    <w:rsid w:val="000E4A97"/>
    <w:rsid w:val="000E4C8C"/>
    <w:rsid w:val="000F49E6"/>
    <w:rsid w:val="00102A99"/>
    <w:rsid w:val="00114E58"/>
    <w:rsid w:val="001218B0"/>
    <w:rsid w:val="0013071F"/>
    <w:rsid w:val="00132EFE"/>
    <w:rsid w:val="00133A35"/>
    <w:rsid w:val="00134176"/>
    <w:rsid w:val="001416F0"/>
    <w:rsid w:val="00152FB6"/>
    <w:rsid w:val="0015358B"/>
    <w:rsid w:val="00174767"/>
    <w:rsid w:val="00177D67"/>
    <w:rsid w:val="001A20AA"/>
    <w:rsid w:val="001A3439"/>
    <w:rsid w:val="001A664D"/>
    <w:rsid w:val="001B62FE"/>
    <w:rsid w:val="001C24B5"/>
    <w:rsid w:val="001C77AD"/>
    <w:rsid w:val="001C793A"/>
    <w:rsid w:val="001C7FB3"/>
    <w:rsid w:val="001D46F9"/>
    <w:rsid w:val="001D5B02"/>
    <w:rsid w:val="001D6315"/>
    <w:rsid w:val="001E2EB2"/>
    <w:rsid w:val="001E477C"/>
    <w:rsid w:val="001E69C5"/>
    <w:rsid w:val="001F21AA"/>
    <w:rsid w:val="001F3C54"/>
    <w:rsid w:val="002035D1"/>
    <w:rsid w:val="00211279"/>
    <w:rsid w:val="00211C1A"/>
    <w:rsid w:val="002145BD"/>
    <w:rsid w:val="00222A7E"/>
    <w:rsid w:val="0023312F"/>
    <w:rsid w:val="00237034"/>
    <w:rsid w:val="002378B0"/>
    <w:rsid w:val="0025692A"/>
    <w:rsid w:val="00266E71"/>
    <w:rsid w:val="002871EC"/>
    <w:rsid w:val="002874AD"/>
    <w:rsid w:val="002966F1"/>
    <w:rsid w:val="002A0C8D"/>
    <w:rsid w:val="002A69C0"/>
    <w:rsid w:val="002C228F"/>
    <w:rsid w:val="002C542F"/>
    <w:rsid w:val="002D1DA8"/>
    <w:rsid w:val="002E2C19"/>
    <w:rsid w:val="002E4212"/>
    <w:rsid w:val="002F00EF"/>
    <w:rsid w:val="002F2335"/>
    <w:rsid w:val="0030134B"/>
    <w:rsid w:val="00311336"/>
    <w:rsid w:val="00324B91"/>
    <w:rsid w:val="0033126A"/>
    <w:rsid w:val="003357B2"/>
    <w:rsid w:val="00335ADC"/>
    <w:rsid w:val="00344C9D"/>
    <w:rsid w:val="00352B3E"/>
    <w:rsid w:val="00364AF3"/>
    <w:rsid w:val="00377428"/>
    <w:rsid w:val="00384C3C"/>
    <w:rsid w:val="003919EF"/>
    <w:rsid w:val="00394E98"/>
    <w:rsid w:val="00397E3E"/>
    <w:rsid w:val="003A04D1"/>
    <w:rsid w:val="003A13D3"/>
    <w:rsid w:val="003B2D5D"/>
    <w:rsid w:val="003B399C"/>
    <w:rsid w:val="003B511C"/>
    <w:rsid w:val="003B5A25"/>
    <w:rsid w:val="003D5E21"/>
    <w:rsid w:val="003E1C1F"/>
    <w:rsid w:val="003F2449"/>
    <w:rsid w:val="003F30D3"/>
    <w:rsid w:val="003F4F0A"/>
    <w:rsid w:val="00403186"/>
    <w:rsid w:val="0040457D"/>
    <w:rsid w:val="004057D3"/>
    <w:rsid w:val="00415AC1"/>
    <w:rsid w:val="00420555"/>
    <w:rsid w:val="0042572A"/>
    <w:rsid w:val="004363C2"/>
    <w:rsid w:val="00437150"/>
    <w:rsid w:val="004406F5"/>
    <w:rsid w:val="004409E2"/>
    <w:rsid w:val="00460D6B"/>
    <w:rsid w:val="004704A2"/>
    <w:rsid w:val="0047269C"/>
    <w:rsid w:val="00474D6C"/>
    <w:rsid w:val="004779A7"/>
    <w:rsid w:val="004842CB"/>
    <w:rsid w:val="004863FB"/>
    <w:rsid w:val="004875DA"/>
    <w:rsid w:val="004B058A"/>
    <w:rsid w:val="004C3A47"/>
    <w:rsid w:val="004D5C2A"/>
    <w:rsid w:val="004E2398"/>
    <w:rsid w:val="004E2A87"/>
    <w:rsid w:val="004F001F"/>
    <w:rsid w:val="004F0943"/>
    <w:rsid w:val="004F439E"/>
    <w:rsid w:val="004F4538"/>
    <w:rsid w:val="004F6B93"/>
    <w:rsid w:val="005045B3"/>
    <w:rsid w:val="005215FC"/>
    <w:rsid w:val="00522BE8"/>
    <w:rsid w:val="00522FF7"/>
    <w:rsid w:val="00526046"/>
    <w:rsid w:val="005261F1"/>
    <w:rsid w:val="0055283A"/>
    <w:rsid w:val="0055363C"/>
    <w:rsid w:val="005629D1"/>
    <w:rsid w:val="00563513"/>
    <w:rsid w:val="005636C1"/>
    <w:rsid w:val="00567305"/>
    <w:rsid w:val="00570226"/>
    <w:rsid w:val="00577D7F"/>
    <w:rsid w:val="00582978"/>
    <w:rsid w:val="005868C3"/>
    <w:rsid w:val="00593B8C"/>
    <w:rsid w:val="005A133C"/>
    <w:rsid w:val="005A4142"/>
    <w:rsid w:val="005B40B1"/>
    <w:rsid w:val="005B71D4"/>
    <w:rsid w:val="005C09B2"/>
    <w:rsid w:val="005C350B"/>
    <w:rsid w:val="005D340E"/>
    <w:rsid w:val="005D6B38"/>
    <w:rsid w:val="005E5116"/>
    <w:rsid w:val="005E65DC"/>
    <w:rsid w:val="005F27A1"/>
    <w:rsid w:val="005F5665"/>
    <w:rsid w:val="00633050"/>
    <w:rsid w:val="0063792A"/>
    <w:rsid w:val="0064474A"/>
    <w:rsid w:val="006507EA"/>
    <w:rsid w:val="00662B4D"/>
    <w:rsid w:val="00662ED9"/>
    <w:rsid w:val="006641BA"/>
    <w:rsid w:val="00664DA5"/>
    <w:rsid w:val="00667E6C"/>
    <w:rsid w:val="00687982"/>
    <w:rsid w:val="0069518C"/>
    <w:rsid w:val="00695D70"/>
    <w:rsid w:val="006968CB"/>
    <w:rsid w:val="006A0823"/>
    <w:rsid w:val="006A0B73"/>
    <w:rsid w:val="006B613F"/>
    <w:rsid w:val="006C5902"/>
    <w:rsid w:val="006D4362"/>
    <w:rsid w:val="006D465B"/>
    <w:rsid w:val="006E0353"/>
    <w:rsid w:val="006E0495"/>
    <w:rsid w:val="006E228F"/>
    <w:rsid w:val="006E79D7"/>
    <w:rsid w:val="006F0007"/>
    <w:rsid w:val="006F595D"/>
    <w:rsid w:val="006F6EE6"/>
    <w:rsid w:val="00702E87"/>
    <w:rsid w:val="00703457"/>
    <w:rsid w:val="0071074D"/>
    <w:rsid w:val="00711C75"/>
    <w:rsid w:val="007123DB"/>
    <w:rsid w:val="00725FEE"/>
    <w:rsid w:val="00731A98"/>
    <w:rsid w:val="007335AA"/>
    <w:rsid w:val="00756562"/>
    <w:rsid w:val="0076510E"/>
    <w:rsid w:val="00770155"/>
    <w:rsid w:val="0077027B"/>
    <w:rsid w:val="007850A5"/>
    <w:rsid w:val="0078519C"/>
    <w:rsid w:val="00785EED"/>
    <w:rsid w:val="007914AB"/>
    <w:rsid w:val="00792341"/>
    <w:rsid w:val="007A6491"/>
    <w:rsid w:val="007A6BFE"/>
    <w:rsid w:val="007A6DE5"/>
    <w:rsid w:val="007B719E"/>
    <w:rsid w:val="007C0298"/>
    <w:rsid w:val="007C068F"/>
    <w:rsid w:val="007C1EDF"/>
    <w:rsid w:val="007C2325"/>
    <w:rsid w:val="007C56A7"/>
    <w:rsid w:val="007D1CB2"/>
    <w:rsid w:val="007E08F7"/>
    <w:rsid w:val="007E4182"/>
    <w:rsid w:val="00807249"/>
    <w:rsid w:val="00821E02"/>
    <w:rsid w:val="00822D6A"/>
    <w:rsid w:val="008230AE"/>
    <w:rsid w:val="008258DA"/>
    <w:rsid w:val="00833290"/>
    <w:rsid w:val="00853B39"/>
    <w:rsid w:val="00874A46"/>
    <w:rsid w:val="00875EB5"/>
    <w:rsid w:val="00880B82"/>
    <w:rsid w:val="008938AF"/>
    <w:rsid w:val="00894880"/>
    <w:rsid w:val="008A0516"/>
    <w:rsid w:val="008A2F58"/>
    <w:rsid w:val="008A4B40"/>
    <w:rsid w:val="008A4E55"/>
    <w:rsid w:val="008B71E5"/>
    <w:rsid w:val="008C174F"/>
    <w:rsid w:val="008D1D3C"/>
    <w:rsid w:val="008D7C96"/>
    <w:rsid w:val="008E08BE"/>
    <w:rsid w:val="008E1EF2"/>
    <w:rsid w:val="008E574F"/>
    <w:rsid w:val="0090040F"/>
    <w:rsid w:val="00905318"/>
    <w:rsid w:val="009134B2"/>
    <w:rsid w:val="00917125"/>
    <w:rsid w:val="009176ED"/>
    <w:rsid w:val="00920253"/>
    <w:rsid w:val="00925527"/>
    <w:rsid w:val="0092752F"/>
    <w:rsid w:val="00947CBB"/>
    <w:rsid w:val="00950A53"/>
    <w:rsid w:val="00951A77"/>
    <w:rsid w:val="00952B5B"/>
    <w:rsid w:val="0097361E"/>
    <w:rsid w:val="00990557"/>
    <w:rsid w:val="00991F88"/>
    <w:rsid w:val="00992B1B"/>
    <w:rsid w:val="009962CF"/>
    <w:rsid w:val="00996AB8"/>
    <w:rsid w:val="009A3546"/>
    <w:rsid w:val="009A4CD9"/>
    <w:rsid w:val="009C3A3D"/>
    <w:rsid w:val="009C4211"/>
    <w:rsid w:val="009C6BD6"/>
    <w:rsid w:val="009D0885"/>
    <w:rsid w:val="009D22D2"/>
    <w:rsid w:val="009D3748"/>
    <w:rsid w:val="009D451F"/>
    <w:rsid w:val="009D7A81"/>
    <w:rsid w:val="009E5E08"/>
    <w:rsid w:val="009E6CE1"/>
    <w:rsid w:val="009E7680"/>
    <w:rsid w:val="009F6812"/>
    <w:rsid w:val="009F6929"/>
    <w:rsid w:val="00A00FA3"/>
    <w:rsid w:val="00A15ABD"/>
    <w:rsid w:val="00A2093B"/>
    <w:rsid w:val="00A4250E"/>
    <w:rsid w:val="00A5078E"/>
    <w:rsid w:val="00A55267"/>
    <w:rsid w:val="00A56E0A"/>
    <w:rsid w:val="00A57716"/>
    <w:rsid w:val="00A621FC"/>
    <w:rsid w:val="00A6666D"/>
    <w:rsid w:val="00A716D1"/>
    <w:rsid w:val="00A71B20"/>
    <w:rsid w:val="00A84BC2"/>
    <w:rsid w:val="00A84E4E"/>
    <w:rsid w:val="00A868F4"/>
    <w:rsid w:val="00A87D8D"/>
    <w:rsid w:val="00A91133"/>
    <w:rsid w:val="00A927DE"/>
    <w:rsid w:val="00AA20C5"/>
    <w:rsid w:val="00AB549D"/>
    <w:rsid w:val="00AC03E2"/>
    <w:rsid w:val="00AD18FA"/>
    <w:rsid w:val="00AD31D1"/>
    <w:rsid w:val="00AD5DA7"/>
    <w:rsid w:val="00AD69B8"/>
    <w:rsid w:val="00AE0D75"/>
    <w:rsid w:val="00AE3334"/>
    <w:rsid w:val="00B0295F"/>
    <w:rsid w:val="00B134C0"/>
    <w:rsid w:val="00B165C2"/>
    <w:rsid w:val="00B25663"/>
    <w:rsid w:val="00B429DF"/>
    <w:rsid w:val="00B44E3A"/>
    <w:rsid w:val="00B51CDD"/>
    <w:rsid w:val="00B87119"/>
    <w:rsid w:val="00B875DD"/>
    <w:rsid w:val="00B961B8"/>
    <w:rsid w:val="00BA1EF6"/>
    <w:rsid w:val="00BC7B88"/>
    <w:rsid w:val="00BC7D99"/>
    <w:rsid w:val="00BD0523"/>
    <w:rsid w:val="00BE3726"/>
    <w:rsid w:val="00BF20AE"/>
    <w:rsid w:val="00BF4DE0"/>
    <w:rsid w:val="00BF6F98"/>
    <w:rsid w:val="00C02AC7"/>
    <w:rsid w:val="00C109C5"/>
    <w:rsid w:val="00C14075"/>
    <w:rsid w:val="00C16200"/>
    <w:rsid w:val="00C30980"/>
    <w:rsid w:val="00C35B9C"/>
    <w:rsid w:val="00C40E5A"/>
    <w:rsid w:val="00C42F71"/>
    <w:rsid w:val="00C44C77"/>
    <w:rsid w:val="00C459BA"/>
    <w:rsid w:val="00C51EE0"/>
    <w:rsid w:val="00C56BCA"/>
    <w:rsid w:val="00C73CA0"/>
    <w:rsid w:val="00C751B5"/>
    <w:rsid w:val="00C77E34"/>
    <w:rsid w:val="00C8067B"/>
    <w:rsid w:val="00C90A4B"/>
    <w:rsid w:val="00C94F2C"/>
    <w:rsid w:val="00C953C8"/>
    <w:rsid w:val="00C95454"/>
    <w:rsid w:val="00CA6F8F"/>
    <w:rsid w:val="00CA78CE"/>
    <w:rsid w:val="00CB5FDC"/>
    <w:rsid w:val="00CB65F3"/>
    <w:rsid w:val="00CC5B4D"/>
    <w:rsid w:val="00CD0169"/>
    <w:rsid w:val="00CD0877"/>
    <w:rsid w:val="00CD2CF5"/>
    <w:rsid w:val="00CD478E"/>
    <w:rsid w:val="00CD6685"/>
    <w:rsid w:val="00CE1D8A"/>
    <w:rsid w:val="00CE2F07"/>
    <w:rsid w:val="00CE3904"/>
    <w:rsid w:val="00CF7D2E"/>
    <w:rsid w:val="00D04A3A"/>
    <w:rsid w:val="00D05782"/>
    <w:rsid w:val="00D06808"/>
    <w:rsid w:val="00D11826"/>
    <w:rsid w:val="00D11CB8"/>
    <w:rsid w:val="00D35011"/>
    <w:rsid w:val="00D41638"/>
    <w:rsid w:val="00D42637"/>
    <w:rsid w:val="00D57039"/>
    <w:rsid w:val="00D57CF5"/>
    <w:rsid w:val="00D626F7"/>
    <w:rsid w:val="00D672D1"/>
    <w:rsid w:val="00D76BA1"/>
    <w:rsid w:val="00D86A05"/>
    <w:rsid w:val="00D9536A"/>
    <w:rsid w:val="00DA112A"/>
    <w:rsid w:val="00DA131B"/>
    <w:rsid w:val="00DA1E83"/>
    <w:rsid w:val="00DA2AB7"/>
    <w:rsid w:val="00DC174C"/>
    <w:rsid w:val="00DC7716"/>
    <w:rsid w:val="00DD6E4F"/>
    <w:rsid w:val="00DE05E4"/>
    <w:rsid w:val="00DE4841"/>
    <w:rsid w:val="00DE703A"/>
    <w:rsid w:val="00DF18AB"/>
    <w:rsid w:val="00E01309"/>
    <w:rsid w:val="00E033C2"/>
    <w:rsid w:val="00E27BBA"/>
    <w:rsid w:val="00E31F94"/>
    <w:rsid w:val="00E3231C"/>
    <w:rsid w:val="00E3236C"/>
    <w:rsid w:val="00E3238D"/>
    <w:rsid w:val="00E33BF4"/>
    <w:rsid w:val="00E3766B"/>
    <w:rsid w:val="00E43065"/>
    <w:rsid w:val="00E52ACB"/>
    <w:rsid w:val="00E65103"/>
    <w:rsid w:val="00E70E9A"/>
    <w:rsid w:val="00E71417"/>
    <w:rsid w:val="00E72C89"/>
    <w:rsid w:val="00E7671B"/>
    <w:rsid w:val="00E81E5D"/>
    <w:rsid w:val="00E9155B"/>
    <w:rsid w:val="00E9173C"/>
    <w:rsid w:val="00E9354A"/>
    <w:rsid w:val="00E962C0"/>
    <w:rsid w:val="00E97DA1"/>
    <w:rsid w:val="00EA02DE"/>
    <w:rsid w:val="00EA0535"/>
    <w:rsid w:val="00EA1A1D"/>
    <w:rsid w:val="00EA48B0"/>
    <w:rsid w:val="00EB33AA"/>
    <w:rsid w:val="00EB549C"/>
    <w:rsid w:val="00EB6EC2"/>
    <w:rsid w:val="00EC02B9"/>
    <w:rsid w:val="00EC11B4"/>
    <w:rsid w:val="00ED2681"/>
    <w:rsid w:val="00ED4391"/>
    <w:rsid w:val="00EE6064"/>
    <w:rsid w:val="00F03BEF"/>
    <w:rsid w:val="00F119E7"/>
    <w:rsid w:val="00F11B7F"/>
    <w:rsid w:val="00F12609"/>
    <w:rsid w:val="00F15D90"/>
    <w:rsid w:val="00F1638B"/>
    <w:rsid w:val="00F25765"/>
    <w:rsid w:val="00F32D88"/>
    <w:rsid w:val="00F365BF"/>
    <w:rsid w:val="00F40149"/>
    <w:rsid w:val="00F40BC7"/>
    <w:rsid w:val="00F45A60"/>
    <w:rsid w:val="00F47528"/>
    <w:rsid w:val="00F61FE0"/>
    <w:rsid w:val="00F623F3"/>
    <w:rsid w:val="00F62C73"/>
    <w:rsid w:val="00F63757"/>
    <w:rsid w:val="00F64C17"/>
    <w:rsid w:val="00F66AF6"/>
    <w:rsid w:val="00F72035"/>
    <w:rsid w:val="00F76189"/>
    <w:rsid w:val="00F775D6"/>
    <w:rsid w:val="00F80D03"/>
    <w:rsid w:val="00F844D5"/>
    <w:rsid w:val="00F9693D"/>
    <w:rsid w:val="00FA7FDE"/>
    <w:rsid w:val="00FB587A"/>
    <w:rsid w:val="00FB5DF0"/>
    <w:rsid w:val="00FB7825"/>
    <w:rsid w:val="00FC6081"/>
    <w:rsid w:val="00FD2140"/>
    <w:rsid w:val="00FD4B05"/>
    <w:rsid w:val="00FE277D"/>
    <w:rsid w:val="00FE4062"/>
    <w:rsid w:val="00FE464E"/>
    <w:rsid w:val="00FE6F47"/>
    <w:rsid w:val="00FF2262"/>
    <w:rsid w:val="00FF52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3919EF"/>
    <w:rPr>
      <w:rFonts w:eastAsia="Times New Roman"/>
      <w:bCs/>
      <w:szCs w:val="26"/>
      <w:lang w:eastAsia="en-US"/>
    </w:rPr>
  </w:style>
  <w:style w:type="paragraph" w:styleId="Heading1">
    <w:name w:val="heading 1"/>
    <w:basedOn w:val="Normal"/>
    <w:next w:val="Normal"/>
    <w:link w:val="Heading1Char"/>
    <w:uiPriority w:val="9"/>
    <w:qFormat/>
    <w:rsid w:val="00992B1B"/>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unhideWhenUsed/>
    <w:qFormat/>
    <w:rsid w:val="005F5665"/>
    <w:pPr>
      <w:keepNext/>
      <w:keepLines/>
      <w:outlineLvl w:val="3"/>
    </w:pPr>
    <w:rPr>
      <w:rFonts w:eastAsiaTheme="majorEastAsia" w:cstheme="majorBidi"/>
      <w:b/>
      <w:bCs w:val="0"/>
      <w:iCs/>
      <w:color w:val="A00054" w:themeColor="accent2"/>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992B1B"/>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5F5665"/>
    <w:rPr>
      <w:rFonts w:eastAsiaTheme="majorEastAsia" w:cstheme="majorBidi"/>
      <w:b/>
      <w:iCs/>
      <w:color w:val="A00054" w:themeColor="accent2"/>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695D70"/>
    <w:rPr>
      <w:color w:val="808080"/>
    </w:rPr>
  </w:style>
  <w:style w:type="table" w:customStyle="1" w:styleId="TableGrid5">
    <w:name w:val="Table Grid5"/>
    <w:basedOn w:val="TableNormal"/>
    <w:next w:val="TableGrid"/>
    <w:uiPriority w:val="59"/>
    <w:rsid w:val="00301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F5665"/>
    <w:rPr>
      <w:sz w:val="20"/>
      <w:szCs w:val="20"/>
    </w:rPr>
  </w:style>
  <w:style w:type="character" w:customStyle="1" w:styleId="FootnoteTextChar">
    <w:name w:val="Footnote Text Char"/>
    <w:basedOn w:val="DefaultParagraphFont"/>
    <w:link w:val="FootnoteText"/>
    <w:uiPriority w:val="99"/>
    <w:semiHidden/>
    <w:rsid w:val="005F5665"/>
    <w:rPr>
      <w:rFonts w:eastAsia="Times New Roman"/>
      <w:bCs/>
      <w:sz w:val="20"/>
      <w:szCs w:val="20"/>
      <w:lang w:eastAsia="en-US"/>
    </w:rPr>
  </w:style>
  <w:style w:type="character" w:styleId="FootnoteReference">
    <w:name w:val="footnote reference"/>
    <w:basedOn w:val="DefaultParagraphFont"/>
    <w:uiPriority w:val="99"/>
    <w:unhideWhenUsed/>
    <w:rsid w:val="005F5665"/>
    <w:rPr>
      <w:vertAlign w:val="superscript"/>
    </w:rPr>
  </w:style>
  <w:style w:type="table" w:customStyle="1" w:styleId="TableGrid51">
    <w:name w:val="Table Grid51"/>
    <w:basedOn w:val="TableNormal"/>
    <w:next w:val="TableGrid"/>
    <w:uiPriority w:val="59"/>
    <w:rsid w:val="005F5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2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A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
    <w:name w:val="selectable"/>
    <w:basedOn w:val="DefaultParagraphFont"/>
    <w:rsid w:val="00EA0535"/>
  </w:style>
  <w:style w:type="character" w:customStyle="1" w:styleId="ListParagraphChar">
    <w:name w:val="List Paragraph Char"/>
    <w:basedOn w:val="DefaultParagraphFont"/>
    <w:link w:val="ListParagraph"/>
    <w:uiPriority w:val="34"/>
    <w:rsid w:val="007850A5"/>
    <w:rPr>
      <w:rFonts w:eastAsia="Times New Roman"/>
      <w:bCs/>
      <w:szCs w:val="26"/>
      <w:lang w:eastAsia="en-US"/>
    </w:rPr>
  </w:style>
  <w:style w:type="character" w:styleId="CommentReference">
    <w:name w:val="annotation reference"/>
    <w:basedOn w:val="DefaultParagraphFont"/>
    <w:uiPriority w:val="99"/>
    <w:semiHidden/>
    <w:unhideWhenUsed/>
    <w:rsid w:val="004E2A87"/>
    <w:rPr>
      <w:sz w:val="16"/>
      <w:szCs w:val="16"/>
    </w:rPr>
  </w:style>
  <w:style w:type="paragraph" w:styleId="CommentText">
    <w:name w:val="annotation text"/>
    <w:basedOn w:val="Normal"/>
    <w:link w:val="CommentTextChar"/>
    <w:uiPriority w:val="99"/>
    <w:unhideWhenUsed/>
    <w:rsid w:val="004E2A87"/>
    <w:rPr>
      <w:sz w:val="20"/>
      <w:szCs w:val="20"/>
    </w:rPr>
  </w:style>
  <w:style w:type="character" w:customStyle="1" w:styleId="CommentTextChar">
    <w:name w:val="Comment Text Char"/>
    <w:basedOn w:val="DefaultParagraphFont"/>
    <w:link w:val="CommentText"/>
    <w:uiPriority w:val="99"/>
    <w:rsid w:val="004E2A87"/>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040AE2"/>
    <w:rPr>
      <w:b/>
    </w:rPr>
  </w:style>
  <w:style w:type="character" w:customStyle="1" w:styleId="CommentSubjectChar">
    <w:name w:val="Comment Subject Char"/>
    <w:basedOn w:val="CommentTextChar"/>
    <w:link w:val="CommentSubject"/>
    <w:uiPriority w:val="99"/>
    <w:semiHidden/>
    <w:rsid w:val="00040AE2"/>
    <w:rPr>
      <w:rFonts w:eastAsia="Times New Roman"/>
      <w:b/>
      <w:bCs/>
      <w:sz w:val="20"/>
      <w:szCs w:val="20"/>
      <w:lang w:eastAsia="en-US"/>
    </w:rPr>
  </w:style>
  <w:style w:type="table" w:customStyle="1" w:styleId="TableGrid2">
    <w:name w:val="Table Grid2"/>
    <w:basedOn w:val="TableNormal"/>
    <w:next w:val="TableGrid"/>
    <w:uiPriority w:val="59"/>
    <w:rsid w:val="0068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A91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DA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0F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0F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0F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49E6"/>
    <w:rPr>
      <w:rFonts w:ascii="Times New Roman" w:hAnsi="Times New Roman"/>
      <w:szCs w:val="24"/>
    </w:rPr>
  </w:style>
  <w:style w:type="table" w:customStyle="1" w:styleId="TableGrid58">
    <w:name w:val="Table Grid58"/>
    <w:basedOn w:val="TableNormal"/>
    <w:next w:val="TableGrid"/>
    <w:uiPriority w:val="59"/>
    <w:rsid w:val="000F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0F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B87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71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17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17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00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00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30980"/>
    <w:rPr>
      <w:sz w:val="20"/>
      <w:szCs w:val="20"/>
    </w:rPr>
  </w:style>
  <w:style w:type="character" w:customStyle="1" w:styleId="EndnoteTextChar">
    <w:name w:val="Endnote Text Char"/>
    <w:basedOn w:val="DefaultParagraphFont"/>
    <w:link w:val="EndnoteText"/>
    <w:uiPriority w:val="99"/>
    <w:semiHidden/>
    <w:rsid w:val="00C30980"/>
    <w:rPr>
      <w:rFonts w:eastAsia="Times New Roman"/>
      <w:bCs/>
      <w:sz w:val="20"/>
      <w:szCs w:val="20"/>
      <w:lang w:eastAsia="en-US"/>
    </w:rPr>
  </w:style>
  <w:style w:type="numbering" w:customStyle="1" w:styleId="NoList1">
    <w:name w:val="No List1"/>
    <w:next w:val="NoList"/>
    <w:uiPriority w:val="99"/>
    <w:semiHidden/>
    <w:unhideWhenUsed/>
    <w:rsid w:val="00DF18AB"/>
  </w:style>
  <w:style w:type="numbering" w:customStyle="1" w:styleId="1111111">
    <w:name w:val="1 / 1.1 / 1.1.11"/>
    <w:basedOn w:val="NoList"/>
    <w:next w:val="111111"/>
    <w:uiPriority w:val="99"/>
    <w:semiHidden/>
    <w:unhideWhenUsed/>
    <w:rsid w:val="00DF18AB"/>
    <w:pPr>
      <w:numPr>
        <w:numId w:val="1"/>
      </w:numPr>
    </w:pPr>
  </w:style>
  <w:style w:type="table" w:customStyle="1" w:styleId="TableGrid10">
    <w:name w:val="Table Grid10"/>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F18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3919EF"/>
    <w:rPr>
      <w:rFonts w:eastAsia="Times New Roman"/>
      <w:bCs/>
      <w:szCs w:val="26"/>
      <w:lang w:eastAsia="en-US"/>
    </w:rPr>
  </w:style>
  <w:style w:type="paragraph" w:styleId="Heading1">
    <w:name w:val="heading 1"/>
    <w:basedOn w:val="Normal"/>
    <w:next w:val="Normal"/>
    <w:link w:val="Heading1Char"/>
    <w:uiPriority w:val="9"/>
    <w:qFormat/>
    <w:rsid w:val="00992B1B"/>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unhideWhenUsed/>
    <w:qFormat/>
    <w:rsid w:val="005F5665"/>
    <w:pPr>
      <w:keepNext/>
      <w:keepLines/>
      <w:outlineLvl w:val="3"/>
    </w:pPr>
    <w:rPr>
      <w:rFonts w:eastAsiaTheme="majorEastAsia" w:cstheme="majorBidi"/>
      <w:b/>
      <w:bCs w:val="0"/>
      <w:iCs/>
      <w:color w:val="A00054" w:themeColor="accent2"/>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992B1B"/>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5F5665"/>
    <w:rPr>
      <w:rFonts w:eastAsiaTheme="majorEastAsia" w:cstheme="majorBidi"/>
      <w:b/>
      <w:iCs/>
      <w:color w:val="A00054" w:themeColor="accent2"/>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695D70"/>
    <w:rPr>
      <w:color w:val="808080"/>
    </w:rPr>
  </w:style>
  <w:style w:type="table" w:customStyle="1" w:styleId="TableGrid5">
    <w:name w:val="Table Grid5"/>
    <w:basedOn w:val="TableNormal"/>
    <w:next w:val="TableGrid"/>
    <w:uiPriority w:val="59"/>
    <w:rsid w:val="00301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F5665"/>
    <w:rPr>
      <w:sz w:val="20"/>
      <w:szCs w:val="20"/>
    </w:rPr>
  </w:style>
  <w:style w:type="character" w:customStyle="1" w:styleId="FootnoteTextChar">
    <w:name w:val="Footnote Text Char"/>
    <w:basedOn w:val="DefaultParagraphFont"/>
    <w:link w:val="FootnoteText"/>
    <w:uiPriority w:val="99"/>
    <w:semiHidden/>
    <w:rsid w:val="005F5665"/>
    <w:rPr>
      <w:rFonts w:eastAsia="Times New Roman"/>
      <w:bCs/>
      <w:sz w:val="20"/>
      <w:szCs w:val="20"/>
      <w:lang w:eastAsia="en-US"/>
    </w:rPr>
  </w:style>
  <w:style w:type="character" w:styleId="FootnoteReference">
    <w:name w:val="footnote reference"/>
    <w:basedOn w:val="DefaultParagraphFont"/>
    <w:uiPriority w:val="99"/>
    <w:unhideWhenUsed/>
    <w:rsid w:val="005F5665"/>
    <w:rPr>
      <w:vertAlign w:val="superscript"/>
    </w:rPr>
  </w:style>
  <w:style w:type="table" w:customStyle="1" w:styleId="TableGrid51">
    <w:name w:val="Table Grid51"/>
    <w:basedOn w:val="TableNormal"/>
    <w:next w:val="TableGrid"/>
    <w:uiPriority w:val="59"/>
    <w:rsid w:val="005F5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2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A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
    <w:name w:val="selectable"/>
    <w:basedOn w:val="DefaultParagraphFont"/>
    <w:rsid w:val="00EA0535"/>
  </w:style>
  <w:style w:type="character" w:customStyle="1" w:styleId="ListParagraphChar">
    <w:name w:val="List Paragraph Char"/>
    <w:basedOn w:val="DefaultParagraphFont"/>
    <w:link w:val="ListParagraph"/>
    <w:uiPriority w:val="34"/>
    <w:rsid w:val="007850A5"/>
    <w:rPr>
      <w:rFonts w:eastAsia="Times New Roman"/>
      <w:bCs/>
      <w:szCs w:val="26"/>
      <w:lang w:eastAsia="en-US"/>
    </w:rPr>
  </w:style>
  <w:style w:type="character" w:styleId="CommentReference">
    <w:name w:val="annotation reference"/>
    <w:basedOn w:val="DefaultParagraphFont"/>
    <w:uiPriority w:val="99"/>
    <w:semiHidden/>
    <w:unhideWhenUsed/>
    <w:rsid w:val="004E2A87"/>
    <w:rPr>
      <w:sz w:val="16"/>
      <w:szCs w:val="16"/>
    </w:rPr>
  </w:style>
  <w:style w:type="paragraph" w:styleId="CommentText">
    <w:name w:val="annotation text"/>
    <w:basedOn w:val="Normal"/>
    <w:link w:val="CommentTextChar"/>
    <w:uiPriority w:val="99"/>
    <w:unhideWhenUsed/>
    <w:rsid w:val="004E2A87"/>
    <w:rPr>
      <w:sz w:val="20"/>
      <w:szCs w:val="20"/>
    </w:rPr>
  </w:style>
  <w:style w:type="character" w:customStyle="1" w:styleId="CommentTextChar">
    <w:name w:val="Comment Text Char"/>
    <w:basedOn w:val="DefaultParagraphFont"/>
    <w:link w:val="CommentText"/>
    <w:uiPriority w:val="99"/>
    <w:rsid w:val="004E2A87"/>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040AE2"/>
    <w:rPr>
      <w:b/>
    </w:rPr>
  </w:style>
  <w:style w:type="character" w:customStyle="1" w:styleId="CommentSubjectChar">
    <w:name w:val="Comment Subject Char"/>
    <w:basedOn w:val="CommentTextChar"/>
    <w:link w:val="CommentSubject"/>
    <w:uiPriority w:val="99"/>
    <w:semiHidden/>
    <w:rsid w:val="00040AE2"/>
    <w:rPr>
      <w:rFonts w:eastAsia="Times New Roman"/>
      <w:b/>
      <w:bCs/>
      <w:sz w:val="20"/>
      <w:szCs w:val="20"/>
      <w:lang w:eastAsia="en-US"/>
    </w:rPr>
  </w:style>
  <w:style w:type="table" w:customStyle="1" w:styleId="TableGrid2">
    <w:name w:val="Table Grid2"/>
    <w:basedOn w:val="TableNormal"/>
    <w:next w:val="TableGrid"/>
    <w:uiPriority w:val="59"/>
    <w:rsid w:val="0068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A91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DA1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0F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0F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0F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49E6"/>
    <w:rPr>
      <w:rFonts w:ascii="Times New Roman" w:hAnsi="Times New Roman"/>
      <w:szCs w:val="24"/>
    </w:rPr>
  </w:style>
  <w:style w:type="table" w:customStyle="1" w:styleId="TableGrid58">
    <w:name w:val="Table Grid58"/>
    <w:basedOn w:val="TableNormal"/>
    <w:next w:val="TableGrid"/>
    <w:uiPriority w:val="59"/>
    <w:rsid w:val="000F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0F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B87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71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17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17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00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00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30980"/>
    <w:rPr>
      <w:sz w:val="20"/>
      <w:szCs w:val="20"/>
    </w:rPr>
  </w:style>
  <w:style w:type="character" w:customStyle="1" w:styleId="EndnoteTextChar">
    <w:name w:val="Endnote Text Char"/>
    <w:basedOn w:val="DefaultParagraphFont"/>
    <w:link w:val="EndnoteText"/>
    <w:uiPriority w:val="99"/>
    <w:semiHidden/>
    <w:rsid w:val="00C30980"/>
    <w:rPr>
      <w:rFonts w:eastAsia="Times New Roman"/>
      <w:bCs/>
      <w:sz w:val="20"/>
      <w:szCs w:val="20"/>
      <w:lang w:eastAsia="en-US"/>
    </w:rPr>
  </w:style>
  <w:style w:type="numbering" w:customStyle="1" w:styleId="NoList1">
    <w:name w:val="No List1"/>
    <w:next w:val="NoList"/>
    <w:uiPriority w:val="99"/>
    <w:semiHidden/>
    <w:unhideWhenUsed/>
    <w:rsid w:val="00DF18AB"/>
  </w:style>
  <w:style w:type="numbering" w:customStyle="1" w:styleId="1111111">
    <w:name w:val="1 / 1.1 / 1.1.11"/>
    <w:basedOn w:val="NoList"/>
    <w:next w:val="111111"/>
    <w:uiPriority w:val="99"/>
    <w:semiHidden/>
    <w:unhideWhenUsed/>
    <w:rsid w:val="00DF18AB"/>
    <w:pPr>
      <w:numPr>
        <w:numId w:val="1"/>
      </w:numPr>
    </w:pPr>
  </w:style>
  <w:style w:type="table" w:customStyle="1" w:styleId="TableGrid10">
    <w:name w:val="Table Grid10"/>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F18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DF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3366">
      <w:bodyDiv w:val="1"/>
      <w:marLeft w:val="0"/>
      <w:marRight w:val="0"/>
      <w:marTop w:val="0"/>
      <w:marBottom w:val="0"/>
      <w:divBdr>
        <w:top w:val="none" w:sz="0" w:space="0" w:color="auto"/>
        <w:left w:val="none" w:sz="0" w:space="0" w:color="auto"/>
        <w:bottom w:val="none" w:sz="0" w:space="0" w:color="auto"/>
        <w:right w:val="none" w:sz="0" w:space="0" w:color="auto"/>
      </w:divBdr>
      <w:divsChild>
        <w:div w:id="1995987234">
          <w:marLeft w:val="360"/>
          <w:marRight w:val="0"/>
          <w:marTop w:val="0"/>
          <w:marBottom w:val="0"/>
          <w:divBdr>
            <w:top w:val="none" w:sz="0" w:space="0" w:color="auto"/>
            <w:left w:val="none" w:sz="0" w:space="0" w:color="auto"/>
            <w:bottom w:val="none" w:sz="0" w:space="0" w:color="auto"/>
            <w:right w:val="none" w:sz="0" w:space="0" w:color="auto"/>
          </w:divBdr>
        </w:div>
      </w:divsChild>
    </w:div>
    <w:div w:id="680663953">
      <w:bodyDiv w:val="1"/>
      <w:marLeft w:val="0"/>
      <w:marRight w:val="0"/>
      <w:marTop w:val="0"/>
      <w:marBottom w:val="0"/>
      <w:divBdr>
        <w:top w:val="none" w:sz="0" w:space="0" w:color="auto"/>
        <w:left w:val="none" w:sz="0" w:space="0" w:color="auto"/>
        <w:bottom w:val="none" w:sz="0" w:space="0" w:color="auto"/>
        <w:right w:val="none" w:sz="0" w:space="0" w:color="auto"/>
      </w:divBdr>
    </w:div>
    <w:div w:id="1398018476">
      <w:bodyDiv w:val="1"/>
      <w:marLeft w:val="0"/>
      <w:marRight w:val="0"/>
      <w:marTop w:val="0"/>
      <w:marBottom w:val="0"/>
      <w:divBdr>
        <w:top w:val="none" w:sz="0" w:space="0" w:color="auto"/>
        <w:left w:val="none" w:sz="0" w:space="0" w:color="auto"/>
        <w:bottom w:val="none" w:sz="0" w:space="0" w:color="auto"/>
        <w:right w:val="none" w:sz="0" w:space="0" w:color="auto"/>
      </w:divBdr>
      <w:divsChild>
        <w:div w:id="1630358715">
          <w:marLeft w:val="360"/>
          <w:marRight w:val="0"/>
          <w:marTop w:val="0"/>
          <w:marBottom w:val="0"/>
          <w:divBdr>
            <w:top w:val="none" w:sz="0" w:space="0" w:color="auto"/>
            <w:left w:val="none" w:sz="0" w:space="0" w:color="auto"/>
            <w:bottom w:val="none" w:sz="0" w:space="0" w:color="auto"/>
            <w:right w:val="none" w:sz="0" w:space="0" w:color="auto"/>
          </w:divBdr>
        </w:div>
      </w:divsChild>
    </w:div>
    <w:div w:id="1613633497">
      <w:bodyDiv w:val="1"/>
      <w:marLeft w:val="0"/>
      <w:marRight w:val="0"/>
      <w:marTop w:val="0"/>
      <w:marBottom w:val="0"/>
      <w:divBdr>
        <w:top w:val="none" w:sz="0" w:space="0" w:color="auto"/>
        <w:left w:val="none" w:sz="0" w:space="0" w:color="auto"/>
        <w:bottom w:val="none" w:sz="0" w:space="0" w:color="auto"/>
        <w:right w:val="none" w:sz="0" w:space="0" w:color="auto"/>
      </w:divBdr>
      <w:divsChild>
        <w:div w:id="1496219129">
          <w:marLeft w:val="360"/>
          <w:marRight w:val="0"/>
          <w:marTop w:val="0"/>
          <w:marBottom w:val="0"/>
          <w:divBdr>
            <w:top w:val="none" w:sz="0" w:space="0" w:color="auto"/>
            <w:left w:val="none" w:sz="0" w:space="0" w:color="auto"/>
            <w:bottom w:val="none" w:sz="0" w:space="0" w:color="auto"/>
            <w:right w:val="none" w:sz="0" w:space="0" w:color="auto"/>
          </w:divBdr>
        </w:div>
      </w:divsChild>
    </w:div>
    <w:div w:id="1869565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nhs-standard-contract/cquin/cquin-17-19/" TargetMode="External"/><Relationship Id="rId18" Type="http://schemas.openxmlformats.org/officeDocument/2006/relationships/hyperlink" Target="http://ccforum.com/content/supplementary/cc11895-s2.pdf" TargetMode="External"/><Relationship Id="rId26" Type="http://schemas.openxmlformats.org/officeDocument/2006/relationships/hyperlink" Target="http://sepsistrust.org/professional/professional-resources/" TargetMode="External"/><Relationship Id="rId39" Type="http://schemas.openxmlformats.org/officeDocument/2006/relationships/hyperlink" Target="https://www.england.nhs.uk/ourwork/tsd/ec-data-set/" TargetMode="External"/><Relationship Id="rId21" Type="http://schemas.openxmlformats.org/officeDocument/2006/relationships/hyperlink" Target="http://www.random.org/" TargetMode="External"/><Relationship Id="rId34" Type="http://schemas.openxmlformats.org/officeDocument/2006/relationships/hyperlink" Target="https://www.england.nhs.uk/ourwork/gpfv/" TargetMode="External"/><Relationship Id="rId42" Type="http://schemas.openxmlformats.org/officeDocument/2006/relationships/hyperlink" Target="https://www.england.nhs.uk/wp-content/uploads/2014/10/5yfv-web.pdf" TargetMode="External"/><Relationship Id="rId47" Type="http://schemas.openxmlformats.org/officeDocument/2006/relationships/hyperlink" Target="http://www.rcpsych.ac.uk/pdf/e-version%20NICE%20Endorsed%20Lester%20UK%20adaptation%20.pdf" TargetMode="External"/><Relationship Id="rId50" Type="http://schemas.openxmlformats.org/officeDocument/2006/relationships/hyperlink" Target="https://www.england.nhs.uk/wp-content/uploads/2014/10/5yfv-web.pdf"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psistrust.org/clinical-toolkit" TargetMode="External"/><Relationship Id="rId20" Type="http://schemas.openxmlformats.org/officeDocument/2006/relationships/hyperlink" Target="http://www.random.org/" TargetMode="External"/><Relationship Id="rId29" Type="http://schemas.openxmlformats.org/officeDocument/2006/relationships/hyperlink" Target="http://www.rcpsych.ac.uk/workinpsychiatry/qualityimprovement/ccqiprojects/earlyinterventionpsychosis.aspx" TargetMode="External"/><Relationship Id="rId41" Type="http://schemas.openxmlformats.org/officeDocument/2006/relationships/hyperlink" Target="http://www.rcpsych.ac.uk/pdf/e-version%20NICE%20Endorsed%20Lester%20UK%20adaptation%20.pdf" TargetMode="External"/><Relationship Id="rId54" Type="http://schemas.openxmlformats.org/officeDocument/2006/relationships/hyperlink" Target="http://www.random.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epsistrust.org/clinical-toolkit" TargetMode="External"/><Relationship Id="rId32" Type="http://schemas.openxmlformats.org/officeDocument/2006/relationships/hyperlink" Target="https://www.nice.org.uk/guidance/cg178/resources" TargetMode="External"/><Relationship Id="rId37" Type="http://schemas.openxmlformats.org/officeDocument/2006/relationships/hyperlink" Target="https://improvement.nhs.uk/resources/outpatient-capacity-and-demand-tool/" TargetMode="External"/><Relationship Id="rId40" Type="http://schemas.openxmlformats.org/officeDocument/2006/relationships/hyperlink" Target="http://www.ncsct.co.uk/usr/pub/hospitalised-patients.pdf" TargetMode="External"/><Relationship Id="rId45" Type="http://schemas.openxmlformats.org/officeDocument/2006/relationships/hyperlink" Target="http://www.ncsct.co.uk/usr/pub/hospitalised-patients.pdf" TargetMode="External"/><Relationship Id="rId53" Type="http://schemas.openxmlformats.org/officeDocument/2006/relationships/hyperlink" Target="http://www.random.org/" TargetMode="External"/><Relationship Id="rId58"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nice.org.uk/guidance/ng51" TargetMode="External"/><Relationship Id="rId23" Type="http://schemas.openxmlformats.org/officeDocument/2006/relationships/hyperlink" Target="http://sepsistrust.org/clinical-toolkit" TargetMode="External"/><Relationship Id="rId28" Type="http://schemas.openxmlformats.org/officeDocument/2006/relationships/hyperlink" Target="https://improvement.nhs.uk/uploads/documents/Single_Oversight_Framework_published_30_September_2016.pdf" TargetMode="External"/><Relationship Id="rId36" Type="http://schemas.openxmlformats.org/officeDocument/2006/relationships/hyperlink" Target="http://www.digital.nhs.uk/referrals" TargetMode="External"/><Relationship Id="rId49" Type="http://schemas.openxmlformats.org/officeDocument/2006/relationships/hyperlink" Target="http://www.rcpsych.ac.uk/pdf/e-version%20NICE%20Endorsed%20Lester%20UK%20adaptation%20.pdf"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epsistrust.org/professional/professional-resources/" TargetMode="External"/><Relationship Id="rId31" Type="http://schemas.openxmlformats.org/officeDocument/2006/relationships/hyperlink" Target="http://www.rcpsych.ac.uk/pdf/RCP_11049_Positive%20Cardiometabolic%20Health%20chart-%20website.pdf" TargetMode="External"/><Relationship Id="rId44" Type="http://schemas.openxmlformats.org/officeDocument/2006/relationships/hyperlink" Target="http://www.rcpsych.ac.uk/pdf/e-version%20NICE%20Endorsed%20Lester%20UK%20adaptation%20.pdf" TargetMode="External"/><Relationship Id="rId52" Type="http://schemas.openxmlformats.org/officeDocument/2006/relationships/hyperlink" Target="https://pathways.nice.org.uk/pathways/alcohol-use-disorder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hsemployers.org/campaigns/flu-fighter/nhs-flu-fighter" TargetMode="External"/><Relationship Id="rId22" Type="http://schemas.openxmlformats.org/officeDocument/2006/relationships/hyperlink" Target="https://www.nice.org.uk/guidance/ng51" TargetMode="External"/><Relationship Id="rId27" Type="http://schemas.openxmlformats.org/officeDocument/2006/relationships/hyperlink" Target="https://www.england.nhs.uk/wp-content/uploads/2016/09/NHS-operational-planning-guidance-201617-201819.pdf" TargetMode="External"/><Relationship Id="rId30" Type="http://schemas.openxmlformats.org/officeDocument/2006/relationships/hyperlink" Target="http://www.rcpsych.ac.uk/pdf/EIPN%20Self%20Assessment%20Tool.pdf" TargetMode="External"/><Relationship Id="rId35" Type="http://schemas.openxmlformats.org/officeDocument/2006/relationships/hyperlink" Target="http://www.england.nhs.uk/ourwork/demand-and-capacity/" TargetMode="External"/><Relationship Id="rId43" Type="http://schemas.openxmlformats.org/officeDocument/2006/relationships/hyperlink" Target="http://www.ncsct.co.uk/usr/pub/hospitalised-patients.pdf" TargetMode="External"/><Relationship Id="rId48" Type="http://schemas.openxmlformats.org/officeDocument/2006/relationships/hyperlink" Target="https://pathways.nice.org.uk/pathways/alcohol-use-disorders" TargetMode="External"/><Relationship Id="rId56" Type="http://schemas.openxmlformats.org/officeDocument/2006/relationships/footer" Target="footer1.xml"/><Relationship Id="rId8" Type="http://schemas.microsoft.com/office/2007/relationships/stylesWithEffects" Target="stylesWithEffects.xml"/><Relationship Id="rId51" Type="http://schemas.openxmlformats.org/officeDocument/2006/relationships/hyperlink" Target="https://pathways.nice.org.uk/pathways/alcohol-use-disorder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epsistrust.org/clinical-toolkit" TargetMode="External"/><Relationship Id="rId25" Type="http://schemas.openxmlformats.org/officeDocument/2006/relationships/hyperlink" Target="http://ccforum.com/content/supplementary/cc11895-s2.pdf" TargetMode="External"/><Relationship Id="rId33" Type="http://schemas.openxmlformats.org/officeDocument/2006/relationships/hyperlink" Target="http://www.qualitywatch.org.uk/focus-on/physical-and-mental-health" TargetMode="External"/><Relationship Id="rId38" Type="http://schemas.openxmlformats.org/officeDocument/2006/relationships/hyperlink" Target="http://www.england.nhs.uk/ourwork/demand-and-capacity/" TargetMode="External"/><Relationship Id="rId46" Type="http://schemas.openxmlformats.org/officeDocument/2006/relationships/hyperlink" Target="http://www.rcpsych.ac.uk/pdf/e-version%20NICE%20Endorsed%20Lester%20UK%20adaptation%20.pdf" TargetMode="Externa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informationsharing.org.uk/our-work/learning-good-practice/" TargetMode="External"/><Relationship Id="rId13" Type="http://schemas.openxmlformats.org/officeDocument/2006/relationships/hyperlink" Target="https://www.gov.uk/government/uploads/system/uploads/attachment_data/file/366852/PHE_Priorities.pdf" TargetMode="External"/><Relationship Id="rId18" Type="http://schemas.openxmlformats.org/officeDocument/2006/relationships/hyperlink" Target="http://fingertips.phe.org.uk/profile/local-alcohol-profiles" TargetMode="External"/><Relationship Id="rId3" Type="http://schemas.openxmlformats.org/officeDocument/2006/relationships/hyperlink" Target="https://www.gov.uk/government/uploads/system/uploads/attachment_data/file/419245/balanced-scorecard-annotated-march2015.pdf" TargetMode="External"/><Relationship Id="rId21" Type="http://schemas.openxmlformats.org/officeDocument/2006/relationships/hyperlink" Target="https://www.nice.org.uk/guidance/ng56" TargetMode="External"/><Relationship Id="rId7" Type="http://schemas.openxmlformats.org/officeDocument/2006/relationships/hyperlink" Target="http://systems.digital.nhs.uk/infogov/iga/resources/infosharing" TargetMode="External"/><Relationship Id="rId12" Type="http://schemas.openxmlformats.org/officeDocument/2006/relationships/hyperlink" Target="http://www.nhs.uk/quickguide" TargetMode="External"/><Relationship Id="rId17" Type="http://schemas.openxmlformats.org/officeDocument/2006/relationships/hyperlink" Target="http://www.hscic.gov.uk/catalogue/PUB13218/HSE2012-Ch6-Alc-cons.pdf" TargetMode="External"/><Relationship Id="rId2" Type="http://schemas.openxmlformats.org/officeDocument/2006/relationships/hyperlink" Target="https://www.gov.uk/government/uploads/system/uploads/attachment_data/file/419245/balanced-scorecard-annotated-march2015.pdf" TargetMode="External"/><Relationship Id="rId16" Type="http://schemas.openxmlformats.org/officeDocument/2006/relationships/hyperlink" Target="http://digital.nhs.uk/catalogue/PUB16076" TargetMode="External"/><Relationship Id="rId20" Type="http://schemas.openxmlformats.org/officeDocument/2006/relationships/hyperlink" Target="https://www.england.nhs.uk/resources/resources-for-ccgs/out-frwrk/dom-2/ltc-care/" TargetMode="External"/><Relationship Id="rId1" Type="http://schemas.openxmlformats.org/officeDocument/2006/relationships/hyperlink" Target="https://www.gov.uk/government/publications/the-nutrient-profiling-model" TargetMode="External"/><Relationship Id="rId6" Type="http://schemas.openxmlformats.org/officeDocument/2006/relationships/hyperlink" Target="http://www.nhs.uk/NHSEngland/keogh-review/Documents/160203-qucik-guide-Sharing-Patient-Information-for-Urgent-Care.pdf" TargetMode="External"/><Relationship Id="rId11" Type="http://schemas.openxmlformats.org/officeDocument/2006/relationships/hyperlink" Target="http://www.nhs.uk/quickguide" TargetMode="External"/><Relationship Id="rId5" Type="http://schemas.openxmlformats.org/officeDocument/2006/relationships/hyperlink" Target="https://www.gov.uk/government/uploads/system/uploads/attachment_data/file/147882/Green-Book-Chapter-12.pdf" TargetMode="External"/><Relationship Id="rId15" Type="http://schemas.openxmlformats.org/officeDocument/2006/relationships/hyperlink" Target="http://www.ncsct.co.uk/usr/pub/Briefing%208.pdf" TargetMode="External"/><Relationship Id="rId10" Type="http://schemas.openxmlformats.org/officeDocument/2006/relationships/hyperlink" Target="http://www.nhs.uk/quickguide" TargetMode="External"/><Relationship Id="rId19" Type="http://schemas.openxmlformats.org/officeDocument/2006/relationships/hyperlink" Target="http://www.thinklocalactpersonal.org.uk/personalised-care-and-support-planning-tool/" TargetMode="External"/><Relationship Id="rId4" Type="http://schemas.openxmlformats.org/officeDocument/2006/relationships/hyperlink" Target="https://www.gov.uk/government/uploads/system/uploads/attachment_data/file/544536/Seasonal_influenza_vaccine_uptake_HCWs_2015_16_Annual_Report.pdf" TargetMode="External"/><Relationship Id="rId9" Type="http://schemas.openxmlformats.org/officeDocument/2006/relationships/hyperlink" Target="http://informationsharing.org.uk/our-work/resources/" TargetMode="External"/><Relationship Id="rId14" Type="http://schemas.openxmlformats.org/officeDocument/2006/relationships/hyperlink" Target="http://www.sciencedirect.com/science/article/pii/S01406736066897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5" ma:contentTypeDescription="Content Type for all the documents with a classification attached" ma:contentTypeScope="" ma:versionID="b1fbb1afb96d9777b5ca060c0f84f1e3">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8003274fa0b1393ec009b35395814555"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K57F673QWXRZ-1160-132</_dlc_DocId>
    <_dlc_DocIdUrl xmlns="cccaf3ac-2de9-44d4-aa31-54302fceb5f7">
      <Url>https://nhsengland.sharepoint.com/TeamCentre/VisionandValues/_layouts/15/DocIdRedir.aspx?ID=K57F673QWXRZ-1160-132</Url>
      <Description>K57F673QWXRZ-1160-132</Description>
    </_dlc_DocIdUrl>
    <ReviewDate xmlns="51367701-27c8-403e-a234-85855c5cd73e" xsi:nil="true"/>
    <SubjectArea xmlns="51367701-27c8-403e-a234-85855c5cd73e"/>
    <sub_x0020_topic xmlns="ddfc0607-48e1-4f98-8c6f-3287da82a77f">Policy template-no cover photo</sub_x0020_topic>
    <Topic xmlns="ddfc0607-48e1-4f98-8c6f-3287da82a77f">Reports and Policy templates</Topic>
    <FOIClass xmlns="51367701-27c8-403e-a234-85855c5cd73e"/>
    <Classification xmlns="51367701-27c8-403e-a234-85855c5cd73e">Template</Classification>
    <Directorate xmlns="51367701-27c8-403e-a234-85855c5cd73e" xsi:nil="true"/>
    <Dept xmlns="51367701-27c8-403e-a234-85855c5cd73e" xsi:nil="true"/>
    <NHSOutcomesFrameworkDomain xmlns="51367701-27c8-403e-a234-85855c5cd73e"/>
    <DocumentCategory xmlns="51367701-27c8-403e-a234-85855c5cd73e" xsi:nil="true"/>
    <TaxCatchAll xmlns="cccaf3ac-2de9-44d4-aa31-54302fceb5f7">
      <Value>3236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report template</TermName>
          <TermId xmlns="http://schemas.microsoft.com/office/infopath/2007/PartnerControls">f95a4524-c1cb-44ec-834f-0ddcbaf82d06</TermId>
        </TermInfo>
      </Terms>
    </TaxKeywordTaxHTField>
    <DocumentStatus xmlns="51367701-27c8-403e-a234-85855c5cd73e">Final</DocumentStatus>
    <DocumentVersion xmlns="51367701-27c8-403e-a234-85855c5cd73e">0.1</DocumentVersion>
    <DocumentAuthor xmlns="51367701-27c8-403e-a234-85855c5cd73e">
      <UserInfo>
        <DisplayName>Sally McMillan</DisplayName>
        <AccountId>9242</AccountId>
        <AccountType/>
      </UserInfo>
    </DocumentAuthor>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C1C2-FE30-4D7F-B86C-6DBDFA431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1CC75-53C5-4DD1-A551-3B72BDC96556}">
  <ds:schemaRefs>
    <ds:schemaRef ds:uri="http://schemas.microsoft.com/sharepoint/v3/contenttype/forms"/>
  </ds:schemaRefs>
</ds:datastoreItem>
</file>

<file path=customXml/itemProps3.xml><?xml version="1.0" encoding="utf-8"?>
<ds:datastoreItem xmlns:ds="http://schemas.openxmlformats.org/officeDocument/2006/customXml" ds:itemID="{E82D1951-1B75-4392-817E-C01D2878B2C1}">
  <ds:schemaRefs>
    <ds:schemaRef ds:uri="cccaf3ac-2de9-44d4-aa31-54302fceb5f7"/>
    <ds:schemaRef ds:uri="http://schemas.microsoft.com/office/infopath/2007/PartnerControls"/>
    <ds:schemaRef ds:uri="http://schemas.microsoft.com/office/2006/documentManagement/types"/>
    <ds:schemaRef ds:uri="51367701-27c8-403e-a234-85855c5cd73e"/>
    <ds:schemaRef ds:uri="http://purl.org/dc/dcmitype/"/>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ddfc0607-48e1-4f98-8c6f-3287da82a77f"/>
  </ds:schemaRefs>
</ds:datastoreItem>
</file>

<file path=customXml/itemProps4.xml><?xml version="1.0" encoding="utf-8"?>
<ds:datastoreItem xmlns:ds="http://schemas.openxmlformats.org/officeDocument/2006/customXml" ds:itemID="{B9404F3D-9859-46F4-BAD2-F049C7695C5A}">
  <ds:schemaRefs>
    <ds:schemaRef ds:uri="http://schemas.microsoft.com/sharepoint/events"/>
  </ds:schemaRefs>
</ds:datastoreItem>
</file>

<file path=customXml/itemProps5.xml><?xml version="1.0" encoding="utf-8"?>
<ds:datastoreItem xmlns:ds="http://schemas.openxmlformats.org/officeDocument/2006/customXml" ds:itemID="{E11FA76D-1C6D-40A6-BFDA-4C9FEEFA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10</TotalTime>
  <Pages>128</Pages>
  <Words>30421</Words>
  <Characters>173404</Characters>
  <Application>Microsoft Office Word</Application>
  <DocSecurity>0</DocSecurity>
  <Lines>1445</Lines>
  <Paragraphs>406</Paragraphs>
  <ScaleCrop>false</ScaleCrop>
  <HeadingPairs>
    <vt:vector size="2" baseType="variant">
      <vt:variant>
        <vt:lpstr>Title</vt:lpstr>
      </vt:variant>
      <vt:variant>
        <vt:i4>1</vt:i4>
      </vt:variant>
    </vt:vector>
  </HeadingPairs>
  <TitlesOfParts>
    <vt:vector size="1" baseType="lpstr">
      <vt:lpstr>NHS England policy template 3 - no photo on cover</vt:lpstr>
    </vt:vector>
  </TitlesOfParts>
  <Company>Smith &amp; Milton</Company>
  <LinksUpToDate>false</LinksUpToDate>
  <CharactersWithSpaces>203419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policy template 3 - no photo on cover</dc:title>
  <dc:subject>template</dc:subject>
  <dc:creator>Sarah Hunter</dc:creator>
  <cp:keywords>report template</cp:keywords>
  <cp:lastModifiedBy>Deborah Helen Kershaw</cp:lastModifiedBy>
  <cp:revision>3</cp:revision>
  <cp:lastPrinted>2016-11-04T11:48:00Z</cp:lastPrinted>
  <dcterms:created xsi:type="dcterms:W3CDTF">2016-11-07T13:48:00Z</dcterms:created>
  <dcterms:modified xsi:type="dcterms:W3CDTF">2016-11-07T13:57:00Z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e4c0b562-2e1f-4e0d-a47b-666551964ac0</vt:lpwstr>
  </property>
  <property fmtid="{D5CDD505-2E9C-101B-9397-08002B2CF9AE}" pid="4" name="TaxKeyword">
    <vt:lpwstr>3236;#report template|f95a4524-c1cb-44ec-834f-0ddcbaf82d06</vt:lpwstr>
  </property>
</Properties>
</file>